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4D03" w:rsidRDefault="00604D03" w:rsidP="00604D03">
      <w:pPr>
        <w:jc w:val="center"/>
        <w:rPr>
          <w:rFonts w:asciiTheme="majorBidi" w:eastAsia="Times New Roman" w:hAnsiTheme="majorBidi" w:cstheme="majorBidi"/>
          <w:b/>
          <w:bCs/>
          <w:sz w:val="56"/>
          <w:szCs w:val="56"/>
        </w:rPr>
      </w:pPr>
    </w:p>
    <w:p w:rsidR="00604D03" w:rsidRDefault="00604D03" w:rsidP="00604D03">
      <w:pPr>
        <w:jc w:val="center"/>
        <w:rPr>
          <w:rFonts w:asciiTheme="majorBidi" w:eastAsia="Times New Roman" w:hAnsiTheme="majorBidi" w:cstheme="majorBidi"/>
          <w:b/>
          <w:bCs/>
          <w:sz w:val="56"/>
          <w:szCs w:val="56"/>
        </w:rPr>
      </w:pPr>
    </w:p>
    <w:p w:rsidR="00604D03" w:rsidRDefault="00604D03" w:rsidP="00604D03">
      <w:pPr>
        <w:jc w:val="center"/>
        <w:rPr>
          <w:rFonts w:asciiTheme="majorBidi" w:eastAsia="Times New Roman" w:hAnsiTheme="majorBidi" w:cstheme="majorBidi"/>
          <w:b/>
          <w:bCs/>
          <w:sz w:val="56"/>
          <w:szCs w:val="56"/>
        </w:rPr>
      </w:pPr>
    </w:p>
    <w:p w:rsidR="00604D03" w:rsidRDefault="00604D03" w:rsidP="00604D03">
      <w:pPr>
        <w:jc w:val="center"/>
        <w:rPr>
          <w:rFonts w:asciiTheme="majorBidi" w:eastAsia="Times New Roman" w:hAnsiTheme="majorBidi" w:cstheme="majorBidi"/>
          <w:b/>
          <w:bCs/>
          <w:sz w:val="56"/>
          <w:szCs w:val="56"/>
        </w:rPr>
      </w:pPr>
    </w:p>
    <w:p w:rsidR="00604D03" w:rsidRDefault="00604D03" w:rsidP="00604D03">
      <w:pPr>
        <w:jc w:val="center"/>
        <w:rPr>
          <w:rFonts w:asciiTheme="majorBidi" w:eastAsia="Times New Roman" w:hAnsiTheme="majorBidi" w:cstheme="majorBidi"/>
          <w:b/>
          <w:bCs/>
          <w:sz w:val="56"/>
          <w:szCs w:val="56"/>
        </w:rPr>
      </w:pPr>
    </w:p>
    <w:p w:rsidR="00604D03" w:rsidRDefault="00604D03" w:rsidP="00604D03">
      <w:pPr>
        <w:jc w:val="center"/>
        <w:rPr>
          <w:rFonts w:asciiTheme="majorBidi" w:eastAsia="Times New Roman" w:hAnsiTheme="majorBidi" w:cstheme="majorBidi"/>
          <w:b/>
          <w:bCs/>
          <w:sz w:val="56"/>
          <w:szCs w:val="56"/>
        </w:rPr>
      </w:pPr>
    </w:p>
    <w:p w:rsidR="00604D03" w:rsidRDefault="00604D03" w:rsidP="00604D03">
      <w:pPr>
        <w:jc w:val="center"/>
        <w:rPr>
          <w:rFonts w:asciiTheme="majorBidi" w:eastAsia="Times New Roman" w:hAnsiTheme="majorBidi" w:cstheme="majorBidi"/>
          <w:b/>
          <w:bCs/>
          <w:sz w:val="56"/>
          <w:szCs w:val="56"/>
        </w:rPr>
      </w:pPr>
      <w:r w:rsidRPr="00595FF8">
        <w:rPr>
          <w:rFonts w:asciiTheme="majorBidi" w:eastAsia="Times New Roman" w:hAnsiTheme="majorBidi" w:cstheme="majorBidi"/>
          <w:b/>
          <w:bCs/>
          <w:sz w:val="56"/>
          <w:szCs w:val="56"/>
        </w:rPr>
        <w:t>Summary</w:t>
      </w:r>
    </w:p>
    <w:p w:rsidR="00604D03" w:rsidRDefault="00604D03">
      <w:pPr>
        <w:rPr>
          <w:rFonts w:asciiTheme="majorBidi" w:eastAsia="Times New Roman" w:hAnsiTheme="majorBidi" w:cstheme="majorBidi"/>
          <w:b/>
          <w:bCs/>
          <w:sz w:val="56"/>
          <w:szCs w:val="56"/>
        </w:rPr>
      </w:pPr>
      <w:r>
        <w:rPr>
          <w:rFonts w:asciiTheme="majorBidi" w:eastAsia="Times New Roman" w:hAnsiTheme="majorBidi" w:cstheme="majorBidi"/>
          <w:b/>
          <w:bCs/>
          <w:sz w:val="56"/>
          <w:szCs w:val="56"/>
        </w:rPr>
        <w:br w:type="page"/>
      </w:r>
    </w:p>
    <w:p w:rsidR="007C7814" w:rsidRPr="007C7814" w:rsidRDefault="007C7814" w:rsidP="007C7814">
      <w:pPr>
        <w:jc w:val="both"/>
        <w:rPr>
          <w:rFonts w:asciiTheme="majorBidi" w:hAnsiTheme="majorBidi" w:cstheme="majorBidi"/>
          <w:b/>
          <w:sz w:val="24"/>
          <w:szCs w:val="24"/>
        </w:rPr>
      </w:pPr>
      <w:r w:rsidRPr="007C7814">
        <w:rPr>
          <w:rFonts w:asciiTheme="majorBidi" w:hAnsiTheme="majorBidi" w:cstheme="majorBidi"/>
          <w:b/>
          <w:sz w:val="24"/>
          <w:szCs w:val="24"/>
        </w:rPr>
        <w:lastRenderedPageBreak/>
        <w:t>Population:</w:t>
      </w:r>
    </w:p>
    <w:p w:rsidR="007C7814" w:rsidRPr="007C7814" w:rsidRDefault="007C7814" w:rsidP="007C7814">
      <w:pPr>
        <w:pStyle w:val="ListParagraph"/>
        <w:numPr>
          <w:ilvl w:val="0"/>
          <w:numId w:val="5"/>
        </w:numPr>
        <w:spacing w:after="0" w:line="240" w:lineRule="auto"/>
        <w:ind w:left="426" w:hanging="426"/>
        <w:jc w:val="both"/>
        <w:rPr>
          <w:rFonts w:asciiTheme="majorBidi" w:hAnsiTheme="majorBidi" w:cstheme="majorBidi"/>
          <w:sz w:val="24"/>
          <w:szCs w:val="24"/>
        </w:rPr>
      </w:pPr>
      <w:r w:rsidRPr="007C7814">
        <w:rPr>
          <w:rFonts w:asciiTheme="majorBidi" w:hAnsiTheme="majorBidi" w:cstheme="majorBidi"/>
          <w:sz w:val="24"/>
          <w:szCs w:val="24"/>
        </w:rPr>
        <w:t>Palestinian society is youthful: children under 15 years of age constitute about 40.0% of the population. There are clear regional differences: the ratio in the West Bank is 38.0 % compared with 44.0% in the Gaza Strip.</w:t>
      </w:r>
    </w:p>
    <w:p w:rsidR="007C7814" w:rsidRPr="007C7814" w:rsidRDefault="007C7814" w:rsidP="007C7814">
      <w:pPr>
        <w:pStyle w:val="ListParagraph"/>
        <w:spacing w:after="0" w:line="240" w:lineRule="auto"/>
        <w:ind w:left="426"/>
        <w:jc w:val="both"/>
        <w:rPr>
          <w:rFonts w:asciiTheme="majorBidi" w:hAnsiTheme="majorBidi" w:cstheme="majorBidi"/>
          <w:sz w:val="24"/>
          <w:szCs w:val="24"/>
        </w:rPr>
      </w:pPr>
    </w:p>
    <w:p w:rsidR="007C7814" w:rsidRPr="007C7814" w:rsidRDefault="007C7814" w:rsidP="007C7814">
      <w:pPr>
        <w:pStyle w:val="ListParagraph"/>
        <w:numPr>
          <w:ilvl w:val="0"/>
          <w:numId w:val="5"/>
        </w:numPr>
        <w:spacing w:after="0" w:line="240" w:lineRule="auto"/>
        <w:ind w:left="426" w:hanging="426"/>
        <w:jc w:val="both"/>
        <w:rPr>
          <w:rFonts w:asciiTheme="majorBidi" w:hAnsiTheme="majorBidi" w:cstheme="majorBidi"/>
          <w:sz w:val="24"/>
          <w:szCs w:val="24"/>
        </w:rPr>
      </w:pPr>
      <w:r w:rsidRPr="007C7814">
        <w:rPr>
          <w:rFonts w:asciiTheme="majorBidi" w:hAnsiTheme="majorBidi" w:cstheme="majorBidi"/>
          <w:sz w:val="24"/>
          <w:szCs w:val="24"/>
        </w:rPr>
        <w:t>Despite a decrease, fertility rates remain high. The total fertility rate was 4.6 births per woman, with a significantly higher rate in the Gaza Strip (5.2 births in the Gaza Strip and 4.0 births in the West Bank).</w:t>
      </w:r>
    </w:p>
    <w:p w:rsidR="007C7814" w:rsidRPr="007C7814" w:rsidRDefault="007C7814" w:rsidP="007C7814">
      <w:pPr>
        <w:pStyle w:val="ListParagraph"/>
        <w:spacing w:after="0" w:line="240" w:lineRule="auto"/>
        <w:rPr>
          <w:rFonts w:asciiTheme="majorBidi" w:hAnsiTheme="majorBidi" w:cstheme="majorBidi"/>
          <w:sz w:val="24"/>
          <w:szCs w:val="24"/>
        </w:rPr>
      </w:pPr>
    </w:p>
    <w:p w:rsidR="007C7814" w:rsidRPr="007C7814" w:rsidRDefault="007C7814" w:rsidP="007C7814">
      <w:pPr>
        <w:pStyle w:val="ListParagraph"/>
        <w:numPr>
          <w:ilvl w:val="0"/>
          <w:numId w:val="5"/>
        </w:numPr>
        <w:spacing w:after="0" w:line="240" w:lineRule="auto"/>
        <w:ind w:left="426" w:hanging="426"/>
        <w:jc w:val="both"/>
        <w:rPr>
          <w:rFonts w:asciiTheme="majorBidi" w:hAnsiTheme="majorBidi" w:cstheme="majorBidi"/>
          <w:sz w:val="24"/>
          <w:szCs w:val="24"/>
        </w:rPr>
      </w:pPr>
      <w:r w:rsidRPr="007C7814">
        <w:rPr>
          <w:rFonts w:asciiTheme="majorBidi" w:hAnsiTheme="majorBidi" w:cstheme="majorBidi"/>
          <w:sz w:val="24"/>
          <w:szCs w:val="24"/>
        </w:rPr>
        <w:t>Infant mortality rates in Palestine are moderate compared to other Arab countries. Infant mortality in Palestine was 18.9 per thousand live births (20.6 for males and 17.1 for females) for the period 2005-2009.</w:t>
      </w:r>
    </w:p>
    <w:p w:rsidR="007C7814" w:rsidRPr="007C7814" w:rsidRDefault="007C7814" w:rsidP="007C7814">
      <w:pPr>
        <w:pStyle w:val="ListParagraph"/>
        <w:spacing w:after="0" w:line="240" w:lineRule="auto"/>
        <w:ind w:left="426"/>
        <w:jc w:val="both"/>
        <w:rPr>
          <w:rFonts w:asciiTheme="majorBidi" w:hAnsiTheme="majorBidi" w:cstheme="majorBidi"/>
          <w:sz w:val="24"/>
          <w:szCs w:val="24"/>
        </w:rPr>
      </w:pPr>
    </w:p>
    <w:p w:rsidR="007C7814" w:rsidRPr="007C7814" w:rsidRDefault="007C7814" w:rsidP="007C7814">
      <w:pPr>
        <w:pStyle w:val="ListParagraph"/>
        <w:numPr>
          <w:ilvl w:val="0"/>
          <w:numId w:val="5"/>
        </w:numPr>
        <w:spacing w:after="0" w:line="240" w:lineRule="auto"/>
        <w:ind w:left="426" w:hanging="426"/>
        <w:jc w:val="both"/>
        <w:rPr>
          <w:rFonts w:asciiTheme="majorBidi" w:hAnsiTheme="majorBidi" w:cstheme="majorBidi"/>
          <w:sz w:val="24"/>
          <w:szCs w:val="24"/>
        </w:rPr>
      </w:pPr>
      <w:r w:rsidRPr="007C7814">
        <w:rPr>
          <w:rFonts w:asciiTheme="majorBidi" w:hAnsiTheme="majorBidi" w:cstheme="majorBidi"/>
          <w:sz w:val="24"/>
          <w:szCs w:val="24"/>
        </w:rPr>
        <w:t>The percentage of elderly persons aged 65 years and above is relatively low at only 3.4%. The percentage of females in this category (3.4%) is significantly higher than that of males (2.4 %).</w:t>
      </w:r>
    </w:p>
    <w:p w:rsidR="007C7814" w:rsidRPr="007C7814" w:rsidRDefault="007C7814" w:rsidP="007C7814">
      <w:pPr>
        <w:spacing w:after="0" w:line="240" w:lineRule="auto"/>
        <w:jc w:val="both"/>
        <w:rPr>
          <w:rFonts w:asciiTheme="majorBidi" w:hAnsiTheme="majorBidi" w:cstheme="majorBidi"/>
          <w:sz w:val="24"/>
          <w:szCs w:val="24"/>
        </w:rPr>
      </w:pPr>
    </w:p>
    <w:p w:rsidR="007C7814" w:rsidRPr="007C7814" w:rsidRDefault="007C7814" w:rsidP="007C7814">
      <w:pPr>
        <w:jc w:val="both"/>
        <w:rPr>
          <w:rFonts w:asciiTheme="majorBidi" w:hAnsiTheme="majorBidi" w:cstheme="majorBidi"/>
          <w:b/>
          <w:sz w:val="24"/>
          <w:szCs w:val="24"/>
        </w:rPr>
      </w:pPr>
      <w:r w:rsidRPr="007C7814">
        <w:rPr>
          <w:rFonts w:asciiTheme="majorBidi" w:hAnsiTheme="majorBidi" w:cstheme="majorBidi"/>
          <w:b/>
          <w:sz w:val="24"/>
          <w:szCs w:val="24"/>
        </w:rPr>
        <w:t>Education:</w:t>
      </w:r>
    </w:p>
    <w:p w:rsidR="007C7814" w:rsidRPr="007C7814" w:rsidRDefault="007C7814" w:rsidP="007C7814">
      <w:pPr>
        <w:pStyle w:val="ListParagraph"/>
        <w:numPr>
          <w:ilvl w:val="0"/>
          <w:numId w:val="5"/>
        </w:numPr>
        <w:ind w:left="426" w:hanging="426"/>
        <w:jc w:val="both"/>
        <w:rPr>
          <w:rFonts w:asciiTheme="majorBidi" w:hAnsiTheme="majorBidi" w:cstheme="majorBidi"/>
          <w:sz w:val="24"/>
          <w:szCs w:val="24"/>
        </w:rPr>
      </w:pPr>
      <w:r w:rsidRPr="007C7814">
        <w:rPr>
          <w:rFonts w:asciiTheme="majorBidi" w:hAnsiTheme="majorBidi" w:cstheme="majorBidi"/>
          <w:sz w:val="24"/>
          <w:szCs w:val="24"/>
        </w:rPr>
        <w:t>There has been a remarkable improvement in the educational level of Palestinians aged 15 years and over. Illiteracy rates have dropped from 15.7 % in 1995 to 4.1 % in 2012. The percentage of the population (15 years and older) who have completed secondary level education has increased from 13.8 % to 21.7%.</w:t>
      </w:r>
    </w:p>
    <w:p w:rsidR="007C7814" w:rsidRPr="007C7814" w:rsidRDefault="007C7814" w:rsidP="007C7814">
      <w:pPr>
        <w:pStyle w:val="ListParagraph"/>
        <w:ind w:left="426"/>
        <w:jc w:val="both"/>
        <w:rPr>
          <w:rFonts w:asciiTheme="majorBidi" w:hAnsiTheme="majorBidi" w:cstheme="majorBidi"/>
          <w:sz w:val="24"/>
          <w:szCs w:val="24"/>
        </w:rPr>
      </w:pPr>
    </w:p>
    <w:p w:rsidR="007C7814" w:rsidRPr="007C7814" w:rsidRDefault="007C7814" w:rsidP="007C7814">
      <w:pPr>
        <w:pStyle w:val="ListParagraph"/>
        <w:numPr>
          <w:ilvl w:val="0"/>
          <w:numId w:val="5"/>
        </w:numPr>
        <w:ind w:left="426" w:hanging="426"/>
        <w:jc w:val="both"/>
        <w:rPr>
          <w:rFonts w:asciiTheme="majorBidi" w:hAnsiTheme="majorBidi" w:cstheme="majorBidi"/>
          <w:sz w:val="24"/>
          <w:szCs w:val="24"/>
        </w:rPr>
      </w:pPr>
      <w:r w:rsidRPr="007C7814">
        <w:rPr>
          <w:rFonts w:asciiTheme="majorBidi" w:hAnsiTheme="majorBidi" w:cstheme="majorBidi"/>
          <w:sz w:val="24"/>
          <w:szCs w:val="24"/>
        </w:rPr>
        <w:t>The percentage of high school students increased from 7.0% (8.0 % for males and 7.0 % for females) of all students in the 1994/1995 academic year to 13.0 % in     2011 /2012 (12.0 % for males and 14.0 % for females). There has been significant expansion in the volume of secondary education, especially for females.</w:t>
      </w:r>
    </w:p>
    <w:p w:rsidR="007C7814" w:rsidRPr="007C7814" w:rsidRDefault="007C7814" w:rsidP="007C7814">
      <w:pPr>
        <w:pStyle w:val="ListParagraph"/>
        <w:ind w:left="426"/>
        <w:jc w:val="both"/>
        <w:rPr>
          <w:rFonts w:asciiTheme="majorBidi" w:hAnsiTheme="majorBidi" w:cstheme="majorBidi"/>
          <w:sz w:val="24"/>
          <w:szCs w:val="24"/>
        </w:rPr>
      </w:pPr>
    </w:p>
    <w:p w:rsidR="007C7814" w:rsidRPr="007C7814" w:rsidRDefault="007C7814" w:rsidP="007C7814">
      <w:pPr>
        <w:pStyle w:val="ListParagraph"/>
        <w:numPr>
          <w:ilvl w:val="0"/>
          <w:numId w:val="5"/>
        </w:numPr>
        <w:ind w:left="426" w:hanging="426"/>
        <w:jc w:val="both"/>
        <w:rPr>
          <w:rFonts w:asciiTheme="majorBidi" w:hAnsiTheme="majorBidi" w:cstheme="majorBidi"/>
          <w:sz w:val="24"/>
          <w:szCs w:val="24"/>
        </w:rPr>
      </w:pPr>
      <w:r w:rsidRPr="007C7814">
        <w:rPr>
          <w:rFonts w:asciiTheme="majorBidi" w:hAnsiTheme="majorBidi" w:cstheme="majorBidi"/>
          <w:sz w:val="24"/>
          <w:szCs w:val="24"/>
        </w:rPr>
        <w:t>More women work in the educational sector than men. However, there are more males than females with a Master's degree and 'more women than men hold qualifications such as a bachelor's degree or lower.</w:t>
      </w:r>
    </w:p>
    <w:p w:rsidR="007C7814" w:rsidRPr="007C7814" w:rsidRDefault="007C7814" w:rsidP="007C7814">
      <w:pPr>
        <w:pStyle w:val="ListParagraph"/>
        <w:rPr>
          <w:rFonts w:asciiTheme="majorBidi" w:hAnsiTheme="majorBidi" w:cstheme="majorBidi"/>
          <w:sz w:val="24"/>
          <w:szCs w:val="24"/>
          <w:highlight w:val="yellow"/>
        </w:rPr>
      </w:pPr>
    </w:p>
    <w:p w:rsidR="007C7814" w:rsidRPr="007C7814" w:rsidRDefault="007C7814" w:rsidP="007C7814">
      <w:pPr>
        <w:pStyle w:val="ListParagraph"/>
        <w:rPr>
          <w:rFonts w:asciiTheme="majorBidi" w:hAnsiTheme="majorBidi" w:cstheme="majorBidi"/>
          <w:sz w:val="24"/>
          <w:szCs w:val="24"/>
        </w:rPr>
      </w:pPr>
    </w:p>
    <w:p w:rsidR="007C7814" w:rsidRPr="007C7814" w:rsidRDefault="007C7814" w:rsidP="007C7814">
      <w:pPr>
        <w:pStyle w:val="ListParagraph"/>
        <w:numPr>
          <w:ilvl w:val="0"/>
          <w:numId w:val="5"/>
        </w:numPr>
        <w:ind w:left="426" w:hanging="426"/>
        <w:jc w:val="both"/>
        <w:rPr>
          <w:rFonts w:asciiTheme="majorBidi" w:hAnsiTheme="majorBidi" w:cstheme="majorBidi"/>
          <w:sz w:val="24"/>
          <w:szCs w:val="24"/>
        </w:rPr>
      </w:pPr>
      <w:r w:rsidRPr="007C7814">
        <w:rPr>
          <w:rFonts w:asciiTheme="majorBidi" w:hAnsiTheme="majorBidi" w:cstheme="majorBidi"/>
          <w:sz w:val="24"/>
          <w:szCs w:val="24"/>
        </w:rPr>
        <w:t>Interest in technical and vocational education is still very limited.  The percentage of secondary students in academic education was 93.0% in 2011/2012 (90.0% males and 95.0% females).</w:t>
      </w:r>
    </w:p>
    <w:p w:rsidR="007C7814" w:rsidRPr="007C7814" w:rsidRDefault="007C7814" w:rsidP="007C7814">
      <w:pPr>
        <w:pStyle w:val="ListParagraph"/>
        <w:ind w:left="426"/>
        <w:jc w:val="both"/>
        <w:rPr>
          <w:rFonts w:asciiTheme="majorBidi" w:hAnsiTheme="majorBidi" w:cstheme="majorBidi"/>
          <w:sz w:val="24"/>
          <w:szCs w:val="24"/>
        </w:rPr>
      </w:pPr>
    </w:p>
    <w:p w:rsidR="007C7814" w:rsidRPr="007C7814" w:rsidRDefault="007C7814" w:rsidP="007C7814">
      <w:pPr>
        <w:pStyle w:val="ListParagraph"/>
        <w:ind w:left="426"/>
        <w:jc w:val="both"/>
        <w:rPr>
          <w:rFonts w:asciiTheme="majorBidi" w:hAnsiTheme="majorBidi" w:cstheme="majorBidi"/>
          <w:sz w:val="24"/>
          <w:szCs w:val="24"/>
        </w:rPr>
      </w:pPr>
    </w:p>
    <w:p w:rsidR="007C7814" w:rsidRPr="007C7814" w:rsidRDefault="007C7814" w:rsidP="007C7814">
      <w:pPr>
        <w:pStyle w:val="ListParagraph"/>
        <w:ind w:left="426"/>
        <w:jc w:val="both"/>
        <w:rPr>
          <w:rFonts w:asciiTheme="majorBidi" w:hAnsiTheme="majorBidi" w:cstheme="majorBidi"/>
          <w:sz w:val="24"/>
          <w:szCs w:val="24"/>
        </w:rPr>
      </w:pPr>
    </w:p>
    <w:p w:rsidR="007C7814" w:rsidRPr="007C7814" w:rsidRDefault="007C7814" w:rsidP="007C7814">
      <w:pPr>
        <w:jc w:val="both"/>
        <w:rPr>
          <w:rFonts w:asciiTheme="majorBidi" w:hAnsiTheme="majorBidi" w:cstheme="majorBidi"/>
          <w:b/>
          <w:sz w:val="24"/>
          <w:szCs w:val="24"/>
        </w:rPr>
      </w:pPr>
      <w:r w:rsidRPr="007C7814">
        <w:rPr>
          <w:rFonts w:asciiTheme="majorBidi" w:hAnsiTheme="majorBidi" w:cstheme="majorBidi"/>
          <w:b/>
          <w:sz w:val="24"/>
          <w:szCs w:val="24"/>
        </w:rPr>
        <w:lastRenderedPageBreak/>
        <w:t>Culture:</w:t>
      </w:r>
    </w:p>
    <w:p w:rsidR="007C7814" w:rsidRPr="007C7814" w:rsidRDefault="007C7814" w:rsidP="007C7814">
      <w:pPr>
        <w:pStyle w:val="ListParagraph"/>
        <w:numPr>
          <w:ilvl w:val="0"/>
          <w:numId w:val="8"/>
        </w:numPr>
        <w:spacing w:after="0" w:line="240" w:lineRule="auto"/>
        <w:ind w:left="426" w:hanging="426"/>
        <w:jc w:val="both"/>
        <w:rPr>
          <w:rFonts w:asciiTheme="majorBidi" w:hAnsiTheme="majorBidi" w:cstheme="majorBidi"/>
          <w:sz w:val="24"/>
          <w:szCs w:val="24"/>
        </w:rPr>
      </w:pPr>
      <w:r w:rsidRPr="007C7814">
        <w:rPr>
          <w:rFonts w:asciiTheme="majorBidi" w:hAnsiTheme="majorBidi" w:cstheme="majorBidi"/>
          <w:sz w:val="24"/>
          <w:szCs w:val="24"/>
        </w:rPr>
        <w:t>Palestinian women contribute widely to the cultural sector, specifically in the field of popular culture and heritage conservation, although their contribution is not always acknowledged. There are insufficient statistics and studies of this sector to reflect the size and quality of female participation. The few available statistics indicate that up to 84.0% of workers in this sector are female, which is higher female participation than in any other sector. At the same time, only 36.0 % of journalists are female, although estimates indicate that about 55.0 % of journalism students in Palestine are women.</w:t>
      </w:r>
    </w:p>
    <w:p w:rsidR="007C7814" w:rsidRPr="007C7814" w:rsidRDefault="007C7814" w:rsidP="007C7814">
      <w:pPr>
        <w:spacing w:after="0" w:line="240" w:lineRule="auto"/>
        <w:ind w:left="426" w:hanging="426"/>
        <w:jc w:val="both"/>
        <w:rPr>
          <w:rFonts w:asciiTheme="majorBidi" w:hAnsiTheme="majorBidi" w:cstheme="majorBidi"/>
          <w:sz w:val="24"/>
          <w:szCs w:val="24"/>
        </w:rPr>
      </w:pPr>
    </w:p>
    <w:p w:rsidR="007C7814" w:rsidRPr="007C7814" w:rsidRDefault="007C7814" w:rsidP="007C7814">
      <w:pPr>
        <w:pStyle w:val="ListParagraph"/>
        <w:numPr>
          <w:ilvl w:val="0"/>
          <w:numId w:val="8"/>
        </w:numPr>
        <w:spacing w:after="0" w:line="240" w:lineRule="auto"/>
        <w:ind w:left="426" w:hanging="426"/>
        <w:jc w:val="both"/>
        <w:rPr>
          <w:rFonts w:asciiTheme="majorBidi" w:hAnsiTheme="majorBidi" w:cstheme="majorBidi"/>
          <w:sz w:val="24"/>
          <w:szCs w:val="24"/>
        </w:rPr>
      </w:pPr>
      <w:r w:rsidRPr="007C7814">
        <w:rPr>
          <w:rFonts w:asciiTheme="majorBidi" w:hAnsiTheme="majorBidi" w:cstheme="majorBidi"/>
          <w:sz w:val="24"/>
          <w:szCs w:val="24"/>
        </w:rPr>
        <w:t>Basic infrastructure is weak in the cultural sector. This affects women more than men due to the lack of institutions that offer scope for effective female participation. Nevertheless, recent years have witnessed quality developments in the sector with the establishment of the first radio station specializing in women’s issues, the holding of the eighth consecutive annual festival of women's cinema, the establishment of the first feminist news agency, and the establishment of the first forum for women in the media.  All these trends should be supported and encouraged in light of the importance of the changing images and roles of women in society.</w:t>
      </w:r>
    </w:p>
    <w:p w:rsidR="007C7814" w:rsidRPr="007C7814" w:rsidRDefault="007C7814" w:rsidP="007C7814">
      <w:pPr>
        <w:pStyle w:val="ListParagraph"/>
        <w:rPr>
          <w:rFonts w:asciiTheme="majorBidi" w:hAnsiTheme="majorBidi" w:cstheme="majorBidi"/>
          <w:sz w:val="24"/>
          <w:szCs w:val="24"/>
        </w:rPr>
      </w:pPr>
    </w:p>
    <w:p w:rsidR="007C7814" w:rsidRPr="007C7814" w:rsidRDefault="007C7814" w:rsidP="007C7814">
      <w:pPr>
        <w:spacing w:after="0" w:line="240" w:lineRule="auto"/>
        <w:jc w:val="both"/>
        <w:rPr>
          <w:rFonts w:asciiTheme="majorBidi" w:hAnsiTheme="majorBidi" w:cstheme="majorBidi"/>
          <w:sz w:val="24"/>
          <w:szCs w:val="24"/>
        </w:rPr>
      </w:pPr>
    </w:p>
    <w:p w:rsidR="007C7814" w:rsidRPr="007C7814" w:rsidRDefault="007C7814" w:rsidP="007C7814">
      <w:pPr>
        <w:jc w:val="both"/>
        <w:rPr>
          <w:rFonts w:asciiTheme="majorBidi" w:hAnsiTheme="majorBidi" w:cstheme="majorBidi"/>
          <w:b/>
          <w:sz w:val="24"/>
          <w:szCs w:val="24"/>
        </w:rPr>
      </w:pPr>
      <w:r w:rsidRPr="007C7814">
        <w:rPr>
          <w:rFonts w:asciiTheme="majorBidi" w:hAnsiTheme="majorBidi" w:cstheme="majorBidi"/>
          <w:b/>
          <w:sz w:val="24"/>
          <w:szCs w:val="24"/>
        </w:rPr>
        <w:t>Health:</w:t>
      </w:r>
    </w:p>
    <w:p w:rsidR="007C7814" w:rsidRPr="007C7814" w:rsidRDefault="007C7814" w:rsidP="007C7814">
      <w:pPr>
        <w:pStyle w:val="ListParagraph"/>
        <w:numPr>
          <w:ilvl w:val="0"/>
          <w:numId w:val="8"/>
        </w:numPr>
        <w:spacing w:after="0" w:line="240" w:lineRule="auto"/>
        <w:ind w:left="426" w:hanging="426"/>
        <w:jc w:val="both"/>
        <w:rPr>
          <w:rFonts w:asciiTheme="majorBidi" w:hAnsiTheme="majorBidi" w:cstheme="majorBidi"/>
          <w:sz w:val="24"/>
          <w:szCs w:val="24"/>
        </w:rPr>
      </w:pPr>
      <w:r w:rsidRPr="007C7814">
        <w:rPr>
          <w:rFonts w:asciiTheme="majorBidi" w:hAnsiTheme="majorBidi" w:cstheme="majorBidi"/>
          <w:sz w:val="24"/>
          <w:szCs w:val="24"/>
        </w:rPr>
        <w:t>Female health indicators are usually linked with reproductive health and the role of women as mothers and caregivers of children. This is unavoidable in many developing countries, and in Palestine in particular where the percentage of married women has increased. More than half of women aged 15 years and older are married: 36% of married women were married before the age of 18 and 5% were married before the age of 15. The health of Palestinian women is undoubtedly linked closely to their reproductive role.</w:t>
      </w:r>
    </w:p>
    <w:p w:rsidR="007C7814" w:rsidRPr="007C7814" w:rsidRDefault="007C7814" w:rsidP="007C7814">
      <w:pPr>
        <w:spacing w:after="0" w:line="240" w:lineRule="auto"/>
        <w:jc w:val="both"/>
        <w:rPr>
          <w:rFonts w:asciiTheme="majorBidi" w:hAnsiTheme="majorBidi" w:cstheme="majorBidi"/>
          <w:sz w:val="24"/>
          <w:szCs w:val="24"/>
        </w:rPr>
      </w:pPr>
    </w:p>
    <w:p w:rsidR="007C7814" w:rsidRPr="007C7814" w:rsidRDefault="007C7814" w:rsidP="007C7814">
      <w:pPr>
        <w:pStyle w:val="ListParagraph"/>
        <w:numPr>
          <w:ilvl w:val="0"/>
          <w:numId w:val="8"/>
        </w:numPr>
        <w:spacing w:after="0" w:line="240" w:lineRule="auto"/>
        <w:ind w:left="426" w:hanging="426"/>
        <w:jc w:val="both"/>
        <w:rPr>
          <w:rFonts w:asciiTheme="majorBidi" w:hAnsiTheme="majorBidi" w:cstheme="majorBidi"/>
          <w:sz w:val="24"/>
          <w:szCs w:val="24"/>
        </w:rPr>
      </w:pPr>
      <w:r w:rsidRPr="007C7814">
        <w:rPr>
          <w:rFonts w:asciiTheme="majorBidi" w:hAnsiTheme="majorBidi" w:cstheme="majorBidi"/>
          <w:sz w:val="24"/>
          <w:szCs w:val="24"/>
        </w:rPr>
        <w:t>There has been a gradual improvement in women's reproductive health. The average size of the Palestinian family has fallen gradually to 5.8 in 2010 compared to 6.4 in 1997, easing the reproductive and family care burden on Palestinian women. Despite the fact that 94% of women received health care during pregnancy and about 98% gave birth under medical supervision, the quality of care provided remains questionable and only half of all pregnant women received all the tests recommended during pregnancy.  Post- natal services remain limited.</w:t>
      </w:r>
    </w:p>
    <w:p w:rsidR="007C7814" w:rsidRPr="007C7814" w:rsidRDefault="007C7814" w:rsidP="007C7814">
      <w:pPr>
        <w:pStyle w:val="ListParagraph"/>
        <w:rPr>
          <w:rFonts w:asciiTheme="majorBidi" w:hAnsiTheme="majorBidi" w:cstheme="majorBidi"/>
          <w:sz w:val="24"/>
          <w:szCs w:val="24"/>
        </w:rPr>
      </w:pPr>
    </w:p>
    <w:p w:rsidR="007C7814" w:rsidRPr="007C7814" w:rsidRDefault="007C7814" w:rsidP="007C7814">
      <w:pPr>
        <w:pStyle w:val="ListParagraph"/>
        <w:numPr>
          <w:ilvl w:val="0"/>
          <w:numId w:val="8"/>
        </w:numPr>
        <w:spacing w:after="0" w:line="240" w:lineRule="auto"/>
        <w:ind w:left="426" w:hanging="426"/>
        <w:jc w:val="both"/>
        <w:rPr>
          <w:rFonts w:asciiTheme="majorBidi" w:hAnsiTheme="majorBidi" w:cstheme="majorBidi"/>
          <w:sz w:val="24"/>
          <w:szCs w:val="24"/>
        </w:rPr>
      </w:pPr>
      <w:r w:rsidRPr="007C7814">
        <w:rPr>
          <w:rFonts w:asciiTheme="majorBidi" w:hAnsiTheme="majorBidi" w:cstheme="majorBidi"/>
          <w:sz w:val="24"/>
          <w:szCs w:val="24"/>
        </w:rPr>
        <w:t>Access to health insurance remains generally low. There is no health insurance coverage for nearly half of Palestinian society, both men and women.</w:t>
      </w:r>
    </w:p>
    <w:p w:rsidR="007C7814" w:rsidRPr="007C7814" w:rsidRDefault="007C7814" w:rsidP="007C7814">
      <w:pPr>
        <w:pStyle w:val="ListParagraph"/>
        <w:rPr>
          <w:rFonts w:asciiTheme="majorBidi" w:hAnsiTheme="majorBidi" w:cstheme="majorBidi"/>
          <w:sz w:val="24"/>
          <w:szCs w:val="24"/>
        </w:rPr>
      </w:pPr>
    </w:p>
    <w:p w:rsidR="007C7814" w:rsidRPr="007C7814" w:rsidRDefault="007C7814" w:rsidP="007C7814">
      <w:pPr>
        <w:pStyle w:val="ListParagraph"/>
        <w:spacing w:after="0" w:line="240" w:lineRule="auto"/>
        <w:ind w:left="426"/>
        <w:jc w:val="both"/>
        <w:rPr>
          <w:rFonts w:asciiTheme="majorBidi" w:hAnsiTheme="majorBidi" w:cstheme="majorBidi"/>
          <w:sz w:val="24"/>
          <w:szCs w:val="24"/>
        </w:rPr>
      </w:pPr>
    </w:p>
    <w:p w:rsidR="007C7814" w:rsidRPr="007C7814" w:rsidRDefault="007C7814" w:rsidP="007C7814">
      <w:pPr>
        <w:jc w:val="both"/>
        <w:rPr>
          <w:rFonts w:asciiTheme="majorBidi" w:hAnsiTheme="majorBidi" w:cstheme="majorBidi"/>
          <w:b/>
          <w:sz w:val="24"/>
          <w:szCs w:val="24"/>
        </w:rPr>
      </w:pPr>
      <w:r w:rsidRPr="007C7814">
        <w:rPr>
          <w:rFonts w:asciiTheme="majorBidi" w:hAnsiTheme="majorBidi" w:cstheme="majorBidi"/>
          <w:b/>
          <w:sz w:val="24"/>
          <w:szCs w:val="24"/>
        </w:rPr>
        <w:lastRenderedPageBreak/>
        <w:t>Labor Market and the Economy:</w:t>
      </w:r>
    </w:p>
    <w:p w:rsidR="007C7814" w:rsidRPr="007C7814" w:rsidRDefault="007C7814" w:rsidP="007C7814">
      <w:pPr>
        <w:pStyle w:val="ListParagraph"/>
        <w:numPr>
          <w:ilvl w:val="0"/>
          <w:numId w:val="8"/>
        </w:numPr>
        <w:spacing w:after="0" w:line="240" w:lineRule="auto"/>
        <w:ind w:left="426" w:hanging="426"/>
        <w:jc w:val="both"/>
        <w:rPr>
          <w:rFonts w:asciiTheme="majorBidi" w:hAnsiTheme="majorBidi" w:cstheme="majorBidi"/>
          <w:sz w:val="24"/>
          <w:szCs w:val="24"/>
        </w:rPr>
      </w:pPr>
      <w:r w:rsidRPr="007C7814">
        <w:rPr>
          <w:rFonts w:asciiTheme="majorBidi" w:hAnsiTheme="majorBidi" w:cstheme="majorBidi"/>
          <w:sz w:val="24"/>
          <w:szCs w:val="24"/>
        </w:rPr>
        <w:t>Participation by Palestinian women in the economy, particularly the labor market, is very low compared to regional and international figures. At the same time, their participation in the informal sector and unpaid family and care economy is very high and higher than Palestinian men. This situation has remained unchanged since the establishment of the Palestinian Authority.</w:t>
      </w:r>
    </w:p>
    <w:p w:rsidR="007C7814" w:rsidRPr="007C7814" w:rsidRDefault="007C7814" w:rsidP="007C7814">
      <w:pPr>
        <w:pStyle w:val="ListParagraph"/>
        <w:spacing w:after="0" w:line="240" w:lineRule="auto"/>
        <w:ind w:left="426"/>
        <w:jc w:val="both"/>
        <w:rPr>
          <w:rFonts w:asciiTheme="majorBidi" w:hAnsiTheme="majorBidi" w:cstheme="majorBidi"/>
          <w:sz w:val="24"/>
          <w:szCs w:val="24"/>
        </w:rPr>
      </w:pPr>
    </w:p>
    <w:p w:rsidR="007C7814" w:rsidRPr="007C7814" w:rsidRDefault="007C7814" w:rsidP="007C7814">
      <w:pPr>
        <w:pStyle w:val="ListParagraph"/>
        <w:numPr>
          <w:ilvl w:val="0"/>
          <w:numId w:val="8"/>
        </w:numPr>
        <w:spacing w:after="0" w:line="240" w:lineRule="auto"/>
        <w:ind w:left="426" w:hanging="426"/>
        <w:jc w:val="both"/>
        <w:rPr>
          <w:rFonts w:asciiTheme="majorBidi" w:hAnsiTheme="majorBidi" w:cstheme="majorBidi"/>
          <w:sz w:val="24"/>
          <w:szCs w:val="24"/>
        </w:rPr>
      </w:pPr>
      <w:r w:rsidRPr="007C7814">
        <w:rPr>
          <w:rFonts w:asciiTheme="majorBidi" w:hAnsiTheme="majorBidi" w:cstheme="majorBidi"/>
          <w:sz w:val="24"/>
          <w:szCs w:val="24"/>
        </w:rPr>
        <w:t>The Palestinian economy is an economy under occupation and siege. It is a helpless economy and cannot accommodate the capabilities and capacities of all Palestinians. However, two positive trends are emerging: first, the increase in the number of young people expected to enter the labor market in coming years; second, the decline in fertility rates of Palestinian women, which relieves pressure on their reproductive role and enhances the potential for wider economic participation.</w:t>
      </w:r>
    </w:p>
    <w:p w:rsidR="007C7814" w:rsidRPr="007C7814" w:rsidRDefault="007C7814" w:rsidP="007C7814">
      <w:pPr>
        <w:spacing w:after="0" w:line="240" w:lineRule="auto"/>
        <w:jc w:val="both"/>
        <w:rPr>
          <w:rFonts w:asciiTheme="majorBidi" w:hAnsiTheme="majorBidi" w:cstheme="majorBidi"/>
          <w:sz w:val="24"/>
          <w:szCs w:val="24"/>
        </w:rPr>
      </w:pPr>
    </w:p>
    <w:p w:rsidR="007C7814" w:rsidRPr="007C7814" w:rsidRDefault="007C7814" w:rsidP="007C7814">
      <w:pPr>
        <w:pStyle w:val="ListParagraph"/>
        <w:numPr>
          <w:ilvl w:val="0"/>
          <w:numId w:val="8"/>
        </w:numPr>
        <w:spacing w:after="0" w:line="240" w:lineRule="auto"/>
        <w:ind w:left="426" w:hanging="426"/>
        <w:jc w:val="both"/>
        <w:rPr>
          <w:rFonts w:asciiTheme="majorBidi" w:hAnsiTheme="majorBidi" w:cstheme="majorBidi"/>
          <w:sz w:val="24"/>
          <w:szCs w:val="24"/>
        </w:rPr>
      </w:pPr>
      <w:r w:rsidRPr="007C7814">
        <w:rPr>
          <w:rFonts w:asciiTheme="majorBidi" w:hAnsiTheme="majorBidi" w:cstheme="majorBidi"/>
          <w:sz w:val="24"/>
          <w:szCs w:val="24"/>
        </w:rPr>
        <w:t>Participation by Palestinian women in the labor market increased gradually from 1996 to 2012, but the increase remained below 5%, (from 11.4 % in 1996 to 17.4% in 2012); it declined in 2002, the year in which Israeli incursions in the West Bank took place. The employment prospects for youth and women are not promising in the short and medium term because of Israeli occupation practices.</w:t>
      </w:r>
    </w:p>
    <w:p w:rsidR="007C7814" w:rsidRPr="007C7814" w:rsidRDefault="007C7814" w:rsidP="007C7814">
      <w:pPr>
        <w:pStyle w:val="ListParagraph"/>
        <w:spacing w:after="0" w:line="240" w:lineRule="auto"/>
        <w:ind w:left="426"/>
        <w:jc w:val="both"/>
        <w:rPr>
          <w:rFonts w:asciiTheme="majorBidi" w:hAnsiTheme="majorBidi" w:cstheme="majorBidi"/>
          <w:sz w:val="24"/>
          <w:szCs w:val="24"/>
        </w:rPr>
      </w:pPr>
    </w:p>
    <w:p w:rsidR="007C7814" w:rsidRPr="007C7814" w:rsidRDefault="007C7814" w:rsidP="007C7814">
      <w:pPr>
        <w:pStyle w:val="ListParagraph"/>
        <w:numPr>
          <w:ilvl w:val="0"/>
          <w:numId w:val="8"/>
        </w:numPr>
        <w:spacing w:after="0" w:line="240" w:lineRule="auto"/>
        <w:ind w:left="426" w:hanging="426"/>
        <w:jc w:val="both"/>
        <w:rPr>
          <w:rFonts w:asciiTheme="majorBidi" w:hAnsiTheme="majorBidi" w:cstheme="majorBidi"/>
          <w:sz w:val="24"/>
          <w:szCs w:val="24"/>
        </w:rPr>
      </w:pPr>
      <w:r w:rsidRPr="007C7814">
        <w:rPr>
          <w:rFonts w:asciiTheme="majorBidi" w:hAnsiTheme="majorBidi" w:cstheme="majorBidi"/>
          <w:sz w:val="24"/>
          <w:szCs w:val="24"/>
        </w:rPr>
        <w:t>The largest contribution to the labor market by Palestinian women is in the agricultural sector: their contribution is 37.9 % in the West Bank and 27.5 % in the Gaza Strip. This is a higher percentage of participation than in any other sector. The deteriorating situation in the labor market affects young people, especially young women. Participation rates in the labor force by young females are relatively low compared to the long periods spent in education. The participation rate of young women aged 15-24 years is 49 % of that of young males.</w:t>
      </w:r>
    </w:p>
    <w:p w:rsidR="007C7814" w:rsidRPr="007C7814" w:rsidRDefault="007C7814" w:rsidP="007C7814">
      <w:pPr>
        <w:pStyle w:val="ListParagraph"/>
        <w:spacing w:after="0" w:line="240" w:lineRule="auto"/>
        <w:ind w:left="426"/>
        <w:jc w:val="both"/>
        <w:rPr>
          <w:rFonts w:asciiTheme="majorBidi" w:hAnsiTheme="majorBidi" w:cstheme="majorBidi"/>
          <w:sz w:val="24"/>
          <w:szCs w:val="24"/>
        </w:rPr>
      </w:pPr>
    </w:p>
    <w:p w:rsidR="007C7814" w:rsidRPr="007C7814" w:rsidRDefault="007C7814" w:rsidP="007C7814">
      <w:pPr>
        <w:rPr>
          <w:rFonts w:asciiTheme="majorBidi" w:hAnsiTheme="majorBidi" w:cstheme="majorBidi"/>
          <w:b/>
          <w:sz w:val="24"/>
          <w:szCs w:val="24"/>
        </w:rPr>
      </w:pPr>
      <w:r w:rsidRPr="007C7814">
        <w:rPr>
          <w:rFonts w:asciiTheme="majorBidi" w:hAnsiTheme="majorBidi" w:cstheme="majorBidi"/>
          <w:b/>
          <w:sz w:val="24"/>
          <w:szCs w:val="24"/>
        </w:rPr>
        <w:br w:type="page"/>
      </w:r>
    </w:p>
    <w:p w:rsidR="007C7814" w:rsidRPr="007C7814" w:rsidRDefault="007C7814" w:rsidP="007C7814">
      <w:pPr>
        <w:jc w:val="both"/>
        <w:rPr>
          <w:rFonts w:asciiTheme="majorBidi" w:hAnsiTheme="majorBidi" w:cstheme="majorBidi"/>
          <w:b/>
          <w:sz w:val="24"/>
          <w:szCs w:val="24"/>
        </w:rPr>
      </w:pPr>
      <w:r w:rsidRPr="007C7814">
        <w:rPr>
          <w:rFonts w:asciiTheme="majorBidi" w:hAnsiTheme="majorBidi" w:cstheme="majorBidi"/>
          <w:b/>
          <w:sz w:val="24"/>
          <w:szCs w:val="24"/>
        </w:rPr>
        <w:lastRenderedPageBreak/>
        <w:t>Violence Against Women:</w:t>
      </w:r>
    </w:p>
    <w:p w:rsidR="007C7814" w:rsidRPr="007C7814" w:rsidRDefault="007C7814" w:rsidP="007C7814">
      <w:pPr>
        <w:pStyle w:val="ListParagraph"/>
        <w:numPr>
          <w:ilvl w:val="0"/>
          <w:numId w:val="8"/>
        </w:numPr>
        <w:spacing w:after="0" w:line="240" w:lineRule="auto"/>
        <w:ind w:left="426" w:hanging="426"/>
        <w:jc w:val="both"/>
        <w:rPr>
          <w:rFonts w:asciiTheme="majorBidi" w:hAnsiTheme="majorBidi" w:cstheme="majorBidi"/>
          <w:sz w:val="24"/>
          <w:szCs w:val="24"/>
        </w:rPr>
      </w:pPr>
      <w:r w:rsidRPr="007C7814">
        <w:rPr>
          <w:rFonts w:asciiTheme="majorBidi" w:hAnsiTheme="majorBidi" w:cstheme="majorBidi"/>
          <w:sz w:val="24"/>
          <w:szCs w:val="24"/>
        </w:rPr>
        <w:t>Married and previously married women are those most subjected to all forms of violence in Palestine. The percentage is as high as 51% in the Gaza Strip: this means that one in every two married/ previously married women has been a victim of at least one form of violence. The percentage in the West Bank is 29.5%, which means that one in every three married/ previously married women has been a victim of at least one form of violence. In the Gaza Strip 34.8% of women have been subject to physical abuse compared to 17.8% in the West Bank. These percentages are higher than the international average. </w:t>
      </w:r>
    </w:p>
    <w:p w:rsidR="007C7814" w:rsidRPr="007C7814" w:rsidRDefault="007C7814" w:rsidP="007C7814">
      <w:pPr>
        <w:spacing w:after="0" w:line="240" w:lineRule="auto"/>
        <w:jc w:val="both"/>
        <w:rPr>
          <w:rFonts w:asciiTheme="majorBidi" w:hAnsiTheme="majorBidi" w:cstheme="majorBidi"/>
          <w:sz w:val="24"/>
          <w:szCs w:val="24"/>
        </w:rPr>
      </w:pPr>
    </w:p>
    <w:p w:rsidR="007C7814" w:rsidRPr="007C7814" w:rsidRDefault="007C7814" w:rsidP="007C7814">
      <w:pPr>
        <w:pStyle w:val="ListParagraph"/>
        <w:numPr>
          <w:ilvl w:val="0"/>
          <w:numId w:val="8"/>
        </w:numPr>
        <w:spacing w:after="0" w:line="240" w:lineRule="auto"/>
        <w:ind w:left="426" w:hanging="426"/>
        <w:jc w:val="both"/>
        <w:rPr>
          <w:rFonts w:asciiTheme="majorBidi" w:hAnsiTheme="majorBidi" w:cstheme="majorBidi"/>
          <w:sz w:val="24"/>
          <w:szCs w:val="24"/>
        </w:rPr>
      </w:pPr>
      <w:r w:rsidRPr="007C7814">
        <w:rPr>
          <w:rFonts w:asciiTheme="majorBidi" w:hAnsiTheme="majorBidi" w:cstheme="majorBidi"/>
          <w:sz w:val="24"/>
          <w:szCs w:val="24"/>
        </w:rPr>
        <w:t>Married and previously married women in the Gaza Strip are subjected to more violence and abuse than the same category of women in the West Bank. Married and previously married women in urban areas and refugee camps are subjected to greater violence and abuse than the same category in rural areas. </w:t>
      </w:r>
    </w:p>
    <w:p w:rsidR="007C7814" w:rsidRPr="007C7814" w:rsidRDefault="007C7814" w:rsidP="007C7814">
      <w:pPr>
        <w:pStyle w:val="ListParagraph"/>
        <w:spacing w:after="0" w:line="240" w:lineRule="auto"/>
        <w:ind w:left="426"/>
        <w:jc w:val="both"/>
        <w:rPr>
          <w:rFonts w:asciiTheme="majorBidi" w:hAnsiTheme="majorBidi" w:cstheme="majorBidi"/>
          <w:sz w:val="24"/>
          <w:szCs w:val="24"/>
        </w:rPr>
      </w:pPr>
    </w:p>
    <w:p w:rsidR="007C7814" w:rsidRPr="007C7814" w:rsidRDefault="007C7814" w:rsidP="007C7814">
      <w:pPr>
        <w:pStyle w:val="ListParagraph"/>
        <w:numPr>
          <w:ilvl w:val="0"/>
          <w:numId w:val="8"/>
        </w:numPr>
        <w:spacing w:after="0" w:line="240" w:lineRule="auto"/>
        <w:ind w:left="426" w:hanging="426"/>
        <w:jc w:val="both"/>
        <w:rPr>
          <w:rFonts w:asciiTheme="majorBidi" w:hAnsiTheme="majorBidi" w:cstheme="majorBidi"/>
          <w:sz w:val="24"/>
          <w:szCs w:val="24"/>
        </w:rPr>
      </w:pPr>
      <w:r w:rsidRPr="007C7814">
        <w:rPr>
          <w:rFonts w:asciiTheme="majorBidi" w:hAnsiTheme="majorBidi" w:cstheme="majorBidi"/>
          <w:sz w:val="24"/>
          <w:szCs w:val="24"/>
        </w:rPr>
        <w:t>The results show that women in the 18-44 year age group are subjected to more violence than the over-45 age group. This applies to the last year of marriage as well as throughout the period of the marriage. The most common strategy adopted by victims of violence is to remain silent and not to inform anybody about what has happened; 65.3% of female victims of violence adopted this strategy, probably due to lack of faith in alternatives and lack of awareness of means available to stop the violence or leave a violent relationship.</w:t>
      </w:r>
    </w:p>
    <w:p w:rsidR="007C7814" w:rsidRPr="007C7814" w:rsidRDefault="007C7814" w:rsidP="007C7814">
      <w:pPr>
        <w:pStyle w:val="ListParagraph"/>
        <w:spacing w:after="0" w:line="240" w:lineRule="auto"/>
        <w:rPr>
          <w:rFonts w:asciiTheme="majorBidi" w:hAnsiTheme="majorBidi" w:cstheme="majorBidi"/>
          <w:sz w:val="24"/>
          <w:szCs w:val="24"/>
        </w:rPr>
      </w:pPr>
    </w:p>
    <w:p w:rsidR="007C7814" w:rsidRPr="007C7814" w:rsidRDefault="007C7814" w:rsidP="007C7814">
      <w:pPr>
        <w:pStyle w:val="ListParagraph"/>
        <w:numPr>
          <w:ilvl w:val="0"/>
          <w:numId w:val="8"/>
        </w:numPr>
        <w:spacing w:after="0" w:line="240" w:lineRule="auto"/>
        <w:ind w:left="426" w:hanging="426"/>
        <w:jc w:val="both"/>
        <w:rPr>
          <w:rFonts w:asciiTheme="majorBidi" w:hAnsiTheme="majorBidi" w:cstheme="majorBidi"/>
          <w:sz w:val="24"/>
          <w:szCs w:val="24"/>
        </w:rPr>
      </w:pPr>
      <w:r w:rsidRPr="007C7814">
        <w:rPr>
          <w:rFonts w:asciiTheme="majorBidi" w:hAnsiTheme="majorBidi" w:cstheme="majorBidi"/>
          <w:sz w:val="24"/>
          <w:szCs w:val="24"/>
        </w:rPr>
        <w:t>Although the Palestinian Authority cancelled Article 340 of the Civil Code, the killing of women is still widespread and requires the adoption of various procedures and strategies to combat this phenomenon. Approximately 25 women were killed from the beginning of the year up until September 2013.</w:t>
      </w:r>
    </w:p>
    <w:p w:rsidR="007C7814" w:rsidRPr="007C7814" w:rsidRDefault="007C7814" w:rsidP="007C7814">
      <w:pPr>
        <w:jc w:val="both"/>
        <w:rPr>
          <w:rFonts w:asciiTheme="majorBidi" w:hAnsiTheme="majorBidi" w:cstheme="majorBidi"/>
          <w:sz w:val="24"/>
          <w:szCs w:val="24"/>
        </w:rPr>
      </w:pPr>
    </w:p>
    <w:p w:rsidR="007C7814" w:rsidRPr="007C7814" w:rsidRDefault="007C7814" w:rsidP="007C7814">
      <w:pPr>
        <w:jc w:val="both"/>
        <w:rPr>
          <w:rFonts w:asciiTheme="majorBidi" w:hAnsiTheme="majorBidi" w:cstheme="majorBidi"/>
          <w:b/>
          <w:sz w:val="24"/>
          <w:szCs w:val="24"/>
        </w:rPr>
      </w:pPr>
      <w:r w:rsidRPr="007C7814">
        <w:rPr>
          <w:rFonts w:asciiTheme="majorBidi" w:hAnsiTheme="majorBidi" w:cstheme="majorBidi"/>
          <w:b/>
          <w:sz w:val="24"/>
          <w:szCs w:val="24"/>
        </w:rPr>
        <w:t>Information and Communication Technology:</w:t>
      </w:r>
    </w:p>
    <w:p w:rsidR="007C7814" w:rsidRPr="007C7814" w:rsidRDefault="007C7814" w:rsidP="007C7814">
      <w:pPr>
        <w:pStyle w:val="ListParagraph"/>
        <w:numPr>
          <w:ilvl w:val="0"/>
          <w:numId w:val="8"/>
        </w:numPr>
        <w:spacing w:after="0" w:line="240" w:lineRule="auto"/>
        <w:ind w:left="426" w:hanging="426"/>
        <w:jc w:val="both"/>
        <w:rPr>
          <w:rFonts w:asciiTheme="majorBidi" w:hAnsiTheme="majorBidi" w:cstheme="majorBidi"/>
          <w:sz w:val="24"/>
          <w:szCs w:val="24"/>
        </w:rPr>
      </w:pPr>
      <w:r w:rsidRPr="007C7814">
        <w:rPr>
          <w:rFonts w:asciiTheme="majorBidi" w:hAnsiTheme="majorBidi" w:cstheme="majorBidi"/>
          <w:sz w:val="24"/>
          <w:szCs w:val="24"/>
        </w:rPr>
        <w:t>The use of information and communication technology (ICT) such as the Internet and social media contributes to community development and challenges censorship and strict control of information. In Palestine, significant developments and progress have taken place in the ICT sector in recent years, despite the fact that the entire sector is still shackled by the restrictions of the Israeli occupation. Palestinian women have benefited more than men from increased access to the Internet and the use of mobile phones and social media.</w:t>
      </w:r>
    </w:p>
    <w:p w:rsidR="007C7814" w:rsidRPr="007C7814" w:rsidRDefault="007C7814" w:rsidP="007C7814">
      <w:pPr>
        <w:spacing w:after="0" w:line="240" w:lineRule="auto"/>
        <w:ind w:left="425" w:hanging="425"/>
        <w:jc w:val="both"/>
        <w:rPr>
          <w:rFonts w:asciiTheme="majorBidi" w:hAnsiTheme="majorBidi" w:cstheme="majorBidi"/>
          <w:sz w:val="24"/>
          <w:szCs w:val="24"/>
        </w:rPr>
      </w:pPr>
    </w:p>
    <w:p w:rsidR="007C7814" w:rsidRPr="007C7814" w:rsidRDefault="007C7814" w:rsidP="007C7814">
      <w:pPr>
        <w:pStyle w:val="ListParagraph"/>
        <w:numPr>
          <w:ilvl w:val="0"/>
          <w:numId w:val="8"/>
        </w:numPr>
        <w:spacing w:after="0" w:line="240" w:lineRule="auto"/>
        <w:ind w:left="426" w:hanging="426"/>
        <w:jc w:val="both"/>
        <w:rPr>
          <w:rFonts w:asciiTheme="majorBidi" w:hAnsiTheme="majorBidi" w:cstheme="majorBidi"/>
          <w:sz w:val="24"/>
          <w:szCs w:val="24"/>
        </w:rPr>
      </w:pPr>
      <w:r w:rsidRPr="007C7814">
        <w:rPr>
          <w:rFonts w:asciiTheme="majorBidi" w:hAnsiTheme="majorBidi" w:cstheme="majorBidi"/>
          <w:sz w:val="24"/>
          <w:szCs w:val="24"/>
        </w:rPr>
        <w:t xml:space="preserve">Access by Palestinian women to ICT is generally lower than that available to men: in Palestine in 2011, 23% of females and 40% of males had access to ICT. Economic conditions exert an impact and poor and disadvantaged groups have less access, but rates of use are rising among females more quickly than among males. For example, </w:t>
      </w:r>
      <w:r w:rsidRPr="007C7814">
        <w:rPr>
          <w:rFonts w:asciiTheme="majorBidi" w:hAnsiTheme="majorBidi" w:cstheme="majorBidi"/>
          <w:sz w:val="24"/>
          <w:szCs w:val="24"/>
        </w:rPr>
        <w:lastRenderedPageBreak/>
        <w:t>the use of mobile phones by females increased by 39% between 2004 and 2011 compared to an increase of 31.4% by males.</w:t>
      </w:r>
    </w:p>
    <w:p w:rsidR="007C7814" w:rsidRPr="007C7814" w:rsidRDefault="007C7814" w:rsidP="007C7814">
      <w:pPr>
        <w:pStyle w:val="ListParagraph"/>
        <w:spacing w:after="0" w:line="240" w:lineRule="auto"/>
        <w:ind w:left="426"/>
        <w:jc w:val="both"/>
        <w:rPr>
          <w:rFonts w:asciiTheme="majorBidi" w:hAnsiTheme="majorBidi" w:cstheme="majorBidi"/>
          <w:sz w:val="24"/>
          <w:szCs w:val="24"/>
        </w:rPr>
      </w:pPr>
    </w:p>
    <w:p w:rsidR="007C7814" w:rsidRPr="007C7814" w:rsidRDefault="007C7814" w:rsidP="007C7814">
      <w:pPr>
        <w:pStyle w:val="ListParagraph"/>
        <w:numPr>
          <w:ilvl w:val="0"/>
          <w:numId w:val="8"/>
        </w:numPr>
        <w:spacing w:after="0" w:line="240" w:lineRule="auto"/>
        <w:ind w:left="426" w:hanging="426"/>
        <w:jc w:val="both"/>
        <w:rPr>
          <w:rFonts w:asciiTheme="majorBidi" w:hAnsiTheme="majorBidi" w:cstheme="majorBidi"/>
          <w:sz w:val="24"/>
          <w:szCs w:val="24"/>
        </w:rPr>
      </w:pPr>
      <w:r w:rsidRPr="007C7814">
        <w:rPr>
          <w:rFonts w:asciiTheme="majorBidi" w:hAnsiTheme="majorBidi" w:cstheme="majorBidi"/>
          <w:sz w:val="24"/>
          <w:szCs w:val="24"/>
        </w:rPr>
        <w:t>Awareness of the importance of the use of ICT in several areas has increased in recent years. In particular, the development of non-traditional employment opportunities for women and young people and raising awareness of women's issues and human rights through blogs and social media that have become more prevalent in community activism and providing information.</w:t>
      </w:r>
    </w:p>
    <w:p w:rsidR="007C7814" w:rsidRPr="007C7814" w:rsidRDefault="007C7814" w:rsidP="007C7814">
      <w:pPr>
        <w:spacing w:after="0" w:line="240" w:lineRule="auto"/>
        <w:ind w:left="425" w:hanging="425"/>
        <w:jc w:val="both"/>
        <w:rPr>
          <w:rFonts w:asciiTheme="majorBidi" w:hAnsiTheme="majorBidi" w:cstheme="majorBidi"/>
          <w:sz w:val="24"/>
          <w:szCs w:val="24"/>
        </w:rPr>
      </w:pPr>
    </w:p>
    <w:p w:rsidR="007C7814" w:rsidRPr="007C7814" w:rsidRDefault="007C7814" w:rsidP="007C7814">
      <w:pPr>
        <w:jc w:val="both"/>
        <w:rPr>
          <w:rFonts w:asciiTheme="majorBidi" w:hAnsiTheme="majorBidi" w:cstheme="majorBidi"/>
          <w:b/>
          <w:sz w:val="24"/>
          <w:szCs w:val="24"/>
        </w:rPr>
      </w:pPr>
      <w:r w:rsidRPr="007C7814">
        <w:rPr>
          <w:rFonts w:asciiTheme="majorBidi" w:hAnsiTheme="majorBidi" w:cstheme="majorBidi"/>
          <w:b/>
          <w:sz w:val="24"/>
          <w:szCs w:val="24"/>
        </w:rPr>
        <w:t>Public Life:</w:t>
      </w:r>
    </w:p>
    <w:p w:rsidR="007C7814" w:rsidRPr="007C7814" w:rsidRDefault="007C7814" w:rsidP="007C7814">
      <w:pPr>
        <w:pStyle w:val="ListParagraph"/>
        <w:numPr>
          <w:ilvl w:val="0"/>
          <w:numId w:val="8"/>
        </w:numPr>
        <w:spacing w:after="0" w:line="240" w:lineRule="auto"/>
        <w:ind w:left="426" w:hanging="426"/>
        <w:jc w:val="both"/>
        <w:rPr>
          <w:rFonts w:asciiTheme="majorBidi" w:hAnsiTheme="majorBidi" w:cstheme="majorBidi"/>
          <w:sz w:val="24"/>
          <w:szCs w:val="24"/>
        </w:rPr>
      </w:pPr>
      <w:r w:rsidRPr="007C7814">
        <w:rPr>
          <w:rFonts w:asciiTheme="majorBidi" w:hAnsiTheme="majorBidi" w:cstheme="majorBidi"/>
          <w:sz w:val="24"/>
          <w:szCs w:val="24"/>
        </w:rPr>
        <w:t>Formal political participation by Palestinian women remains unchanged; the results of the Palestinian Legislative Council (PLC) elections in 2006 were not very different from those of previous elections. Female representation was 12.9%, which is average in comparison with other countries around the world. Local elections held in 2012 in the West Bank resulted in a decline in female participation. For the first time, female candidates ran in women-only lists, but were soundly defeated. Female representation in political parties and independent lists also declined and this is a major setback for women’s voices and representation.</w:t>
      </w:r>
    </w:p>
    <w:p w:rsidR="007C7814" w:rsidRPr="007C7814" w:rsidRDefault="007C7814" w:rsidP="007C7814">
      <w:pPr>
        <w:spacing w:after="0" w:line="240" w:lineRule="auto"/>
        <w:ind w:left="426" w:hanging="426"/>
        <w:jc w:val="both"/>
        <w:rPr>
          <w:rFonts w:asciiTheme="majorBidi" w:hAnsiTheme="majorBidi" w:cstheme="majorBidi"/>
          <w:sz w:val="24"/>
          <w:szCs w:val="24"/>
        </w:rPr>
      </w:pPr>
    </w:p>
    <w:p w:rsidR="007C7814" w:rsidRPr="007C7814" w:rsidRDefault="007C7814" w:rsidP="007C7814">
      <w:pPr>
        <w:pStyle w:val="ListParagraph"/>
        <w:numPr>
          <w:ilvl w:val="0"/>
          <w:numId w:val="12"/>
        </w:numPr>
        <w:spacing w:after="0" w:line="240" w:lineRule="auto"/>
        <w:ind w:left="426" w:hanging="426"/>
        <w:jc w:val="both"/>
        <w:rPr>
          <w:rFonts w:asciiTheme="majorBidi" w:hAnsiTheme="majorBidi" w:cstheme="majorBidi"/>
          <w:sz w:val="24"/>
          <w:szCs w:val="24"/>
        </w:rPr>
      </w:pPr>
      <w:r w:rsidRPr="007C7814">
        <w:rPr>
          <w:rFonts w:asciiTheme="majorBidi" w:hAnsiTheme="majorBidi" w:cstheme="majorBidi"/>
          <w:sz w:val="24"/>
          <w:szCs w:val="24"/>
        </w:rPr>
        <w:t xml:space="preserve">There has been a slight improvement in the justice field. The entry of Palestinian women to the </w:t>
      </w:r>
      <w:proofErr w:type="spellStart"/>
      <w:r w:rsidRPr="007C7814">
        <w:rPr>
          <w:rFonts w:asciiTheme="majorBidi" w:hAnsiTheme="majorBidi" w:cstheme="majorBidi"/>
          <w:sz w:val="24"/>
          <w:szCs w:val="24"/>
        </w:rPr>
        <w:t>Sharia</w:t>
      </w:r>
      <w:proofErr w:type="spellEnd"/>
      <w:r w:rsidRPr="007C7814">
        <w:rPr>
          <w:rFonts w:asciiTheme="majorBidi" w:hAnsiTheme="majorBidi" w:cstheme="majorBidi"/>
          <w:sz w:val="24"/>
          <w:szCs w:val="24"/>
        </w:rPr>
        <w:t xml:space="preserve"> judiciary is a significant achievement. However, political support is needed to increase the number of women in the judiciary and to introduce women into the prosecution.</w:t>
      </w:r>
    </w:p>
    <w:p w:rsidR="007C7814" w:rsidRPr="007C7814" w:rsidRDefault="007C7814" w:rsidP="007C7814">
      <w:pPr>
        <w:spacing w:after="0" w:line="240" w:lineRule="auto"/>
        <w:ind w:left="426" w:hanging="426"/>
        <w:jc w:val="both"/>
        <w:rPr>
          <w:rFonts w:asciiTheme="majorBidi" w:hAnsiTheme="majorBidi" w:cstheme="majorBidi"/>
          <w:sz w:val="24"/>
          <w:szCs w:val="24"/>
        </w:rPr>
      </w:pPr>
    </w:p>
    <w:p w:rsidR="007C7814" w:rsidRPr="007C7814" w:rsidRDefault="007C7814" w:rsidP="007C7814">
      <w:pPr>
        <w:pStyle w:val="ListParagraph"/>
        <w:numPr>
          <w:ilvl w:val="0"/>
          <w:numId w:val="12"/>
        </w:numPr>
        <w:spacing w:after="0" w:line="240" w:lineRule="auto"/>
        <w:ind w:left="426" w:hanging="426"/>
        <w:jc w:val="both"/>
        <w:rPr>
          <w:rFonts w:asciiTheme="majorBidi" w:hAnsiTheme="majorBidi" w:cstheme="majorBidi"/>
          <w:sz w:val="24"/>
          <w:szCs w:val="24"/>
        </w:rPr>
      </w:pPr>
      <w:r w:rsidRPr="007C7814">
        <w:rPr>
          <w:rFonts w:asciiTheme="majorBidi" w:hAnsiTheme="majorBidi" w:cstheme="majorBidi"/>
          <w:sz w:val="24"/>
          <w:szCs w:val="24"/>
        </w:rPr>
        <w:t>There is greater awareness of the importance of female participation in the executive, but Palestinian women are still more prevalent in lower ranking jobs and in positions that are traditionally considered suitable for women.</w:t>
      </w:r>
    </w:p>
    <w:p w:rsidR="007C7814" w:rsidRPr="007C7814" w:rsidRDefault="007C7814" w:rsidP="007C7814">
      <w:pPr>
        <w:spacing w:after="0" w:line="240" w:lineRule="auto"/>
        <w:ind w:left="426" w:hanging="426"/>
        <w:jc w:val="both"/>
        <w:rPr>
          <w:rFonts w:asciiTheme="majorBidi" w:hAnsiTheme="majorBidi" w:cstheme="majorBidi"/>
          <w:sz w:val="24"/>
          <w:szCs w:val="24"/>
        </w:rPr>
      </w:pPr>
    </w:p>
    <w:p w:rsidR="007C7814" w:rsidRPr="007C7814" w:rsidRDefault="007C7814" w:rsidP="007C7814">
      <w:pPr>
        <w:pStyle w:val="ListParagraph"/>
        <w:numPr>
          <w:ilvl w:val="0"/>
          <w:numId w:val="12"/>
        </w:numPr>
        <w:spacing w:after="0" w:line="240" w:lineRule="auto"/>
        <w:ind w:left="426" w:hanging="426"/>
        <w:jc w:val="both"/>
        <w:rPr>
          <w:rFonts w:asciiTheme="majorBidi" w:hAnsiTheme="majorBidi" w:cstheme="majorBidi"/>
          <w:sz w:val="24"/>
          <w:szCs w:val="24"/>
        </w:rPr>
      </w:pPr>
      <w:r w:rsidRPr="007C7814">
        <w:rPr>
          <w:rFonts w:asciiTheme="majorBidi" w:hAnsiTheme="majorBidi" w:cstheme="majorBidi"/>
          <w:sz w:val="24"/>
          <w:szCs w:val="24"/>
        </w:rPr>
        <w:t xml:space="preserve">There are many models of successful Palestinian women leading national institutions and political parties. This is a promising change that provides role models and opens horizons for younger generations to engage in public life. Palestinian women participate actively in popular movements, grassroots organizations and social movements. However, their participation in decision making is still very limited and representation is low in some professions such as law, media and the </w:t>
      </w:r>
      <w:bookmarkStart w:id="0" w:name="_GoBack"/>
      <w:bookmarkEnd w:id="0"/>
      <w:r w:rsidRPr="007C7814">
        <w:rPr>
          <w:rFonts w:asciiTheme="majorBidi" w:hAnsiTheme="majorBidi" w:cstheme="majorBidi"/>
          <w:sz w:val="24"/>
          <w:szCs w:val="24"/>
        </w:rPr>
        <w:t>judiciary. Political parties bear the primary responsibility for the weak representation of Palestinian women in politics and public life and there is no representation of women in leadership positions in these parties.</w:t>
      </w:r>
    </w:p>
    <w:p w:rsidR="007C7814" w:rsidRPr="007C7814" w:rsidRDefault="007C7814" w:rsidP="007C7814">
      <w:pPr>
        <w:pStyle w:val="ListParagraph"/>
        <w:rPr>
          <w:rStyle w:val="hps"/>
          <w:rFonts w:asciiTheme="majorBidi" w:hAnsiTheme="majorBidi" w:cstheme="majorBidi"/>
          <w:sz w:val="24"/>
          <w:szCs w:val="24"/>
        </w:rPr>
      </w:pPr>
    </w:p>
    <w:p w:rsidR="00A20F85" w:rsidRPr="007C7814" w:rsidRDefault="00A20F85" w:rsidP="007C7814">
      <w:pPr>
        <w:rPr>
          <w:sz w:val="24"/>
          <w:szCs w:val="24"/>
        </w:rPr>
      </w:pPr>
    </w:p>
    <w:sectPr w:rsidR="00A20F85" w:rsidRPr="007C7814" w:rsidSect="00303212">
      <w:headerReference w:type="default" r:id="rId8"/>
      <w:footerReference w:type="default" r:id="rId9"/>
      <w:pgSz w:w="12240" w:h="15840"/>
      <w:pgMar w:top="1440" w:right="1800" w:bottom="1440" w:left="1800" w:header="720" w:footer="720" w:gutter="0"/>
      <w:pgNumType w:start="147"/>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90FC9" w:rsidRDefault="00F90FC9" w:rsidP="008A0A45">
      <w:pPr>
        <w:spacing w:after="0" w:line="240" w:lineRule="auto"/>
      </w:pPr>
      <w:r>
        <w:separator/>
      </w:r>
    </w:p>
  </w:endnote>
  <w:endnote w:type="continuationSeparator" w:id="0">
    <w:p w:rsidR="00F90FC9" w:rsidRDefault="00F90FC9" w:rsidP="008A0A4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mbol">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ajorBidi" w:hAnsiTheme="majorBidi" w:cstheme="majorBidi"/>
      </w:rPr>
      <w:id w:val="3778750"/>
      <w:docPartObj>
        <w:docPartGallery w:val="Page Numbers (Bottom of Page)"/>
        <w:docPartUnique/>
      </w:docPartObj>
    </w:sdtPr>
    <w:sdtContent>
      <w:p w:rsidR="00303212" w:rsidRPr="00303212" w:rsidRDefault="007926CE">
        <w:pPr>
          <w:pStyle w:val="Footer"/>
          <w:jc w:val="center"/>
          <w:rPr>
            <w:rFonts w:asciiTheme="majorBidi" w:hAnsiTheme="majorBidi" w:cstheme="majorBidi"/>
          </w:rPr>
        </w:pPr>
        <w:r w:rsidRPr="00303212">
          <w:rPr>
            <w:rFonts w:asciiTheme="majorBidi" w:hAnsiTheme="majorBidi" w:cstheme="majorBidi"/>
          </w:rPr>
          <w:fldChar w:fldCharType="begin"/>
        </w:r>
        <w:r w:rsidR="00303212" w:rsidRPr="00303212">
          <w:rPr>
            <w:rFonts w:asciiTheme="majorBidi" w:hAnsiTheme="majorBidi" w:cstheme="majorBidi"/>
          </w:rPr>
          <w:instrText xml:space="preserve"> PAGE   \* MERGEFORMAT </w:instrText>
        </w:r>
        <w:r w:rsidRPr="00303212">
          <w:rPr>
            <w:rFonts w:asciiTheme="majorBidi" w:hAnsiTheme="majorBidi" w:cstheme="majorBidi"/>
          </w:rPr>
          <w:fldChar w:fldCharType="separate"/>
        </w:r>
        <w:r w:rsidR="00604D03">
          <w:rPr>
            <w:rFonts w:asciiTheme="majorBidi" w:hAnsiTheme="majorBidi" w:cstheme="majorBidi"/>
            <w:noProof/>
          </w:rPr>
          <w:t>147</w:t>
        </w:r>
        <w:r w:rsidRPr="00303212">
          <w:rPr>
            <w:rFonts w:asciiTheme="majorBidi" w:hAnsiTheme="majorBidi" w:cstheme="majorBidi"/>
          </w:rPr>
          <w:fldChar w:fldCharType="end"/>
        </w:r>
      </w:p>
    </w:sdtContent>
  </w:sdt>
  <w:p w:rsidR="00303212" w:rsidRDefault="0030321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90FC9" w:rsidRDefault="00F90FC9" w:rsidP="008A0A45">
      <w:pPr>
        <w:spacing w:after="0" w:line="240" w:lineRule="auto"/>
      </w:pPr>
      <w:r>
        <w:separator/>
      </w:r>
    </w:p>
  </w:footnote>
  <w:footnote w:type="continuationSeparator" w:id="0">
    <w:p w:rsidR="00F90FC9" w:rsidRDefault="00F90FC9" w:rsidP="008A0A4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0FC9" w:rsidRPr="008A0A45" w:rsidRDefault="00F90FC9" w:rsidP="008A0A45">
    <w:pPr>
      <w:pStyle w:val="Heading1"/>
      <w:jc w:val="left"/>
      <w:rPr>
        <w:rFonts w:cs="Times New Roman"/>
        <w:sz w:val="18"/>
        <w:szCs w:val="18"/>
      </w:rPr>
    </w:pPr>
    <w:r w:rsidRPr="008A0A45">
      <w:rPr>
        <w:rFonts w:cs="Times New Roman"/>
        <w:sz w:val="18"/>
        <w:szCs w:val="18"/>
      </w:rPr>
      <w:t>PCBS: Women and Men in Palestine</w:t>
    </w:r>
    <w:r>
      <w:rPr>
        <w:rFonts w:cs="Times New Roman"/>
        <w:sz w:val="18"/>
        <w:szCs w:val="18"/>
      </w:rPr>
      <w:t xml:space="preserve">, </w:t>
    </w:r>
    <w:r w:rsidRPr="008A0A45">
      <w:rPr>
        <w:rFonts w:cs="Times New Roman"/>
        <w:sz w:val="18"/>
        <w:szCs w:val="18"/>
      </w:rPr>
      <w:t>Issues and Statistics, 2013</w:t>
    </w:r>
  </w:p>
  <w:p w:rsidR="00F90FC9" w:rsidRPr="008A0A45" w:rsidRDefault="00F90FC9" w:rsidP="008A0A45">
    <w:pPr>
      <w:pStyle w:val="Heading1"/>
      <w:jc w:val="left"/>
      <w:rPr>
        <w:rFonts w:cs="Times New Roman"/>
        <w:sz w:val="18"/>
        <w:szCs w:val="18"/>
      </w:rPr>
    </w:pPr>
  </w:p>
  <w:p w:rsidR="00F90FC9" w:rsidRDefault="00F90FC9" w:rsidP="008A0A45">
    <w:pPr>
      <w:pStyle w:val="Header"/>
    </w:pPr>
  </w:p>
  <w:p w:rsidR="00F90FC9" w:rsidRDefault="00F90FC9">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570242"/>
    <w:multiLevelType w:val="multilevel"/>
    <w:tmpl w:val="AB0C7ED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nsid w:val="0F32150A"/>
    <w:multiLevelType w:val="hybridMultilevel"/>
    <w:tmpl w:val="8DEAE64E"/>
    <w:lvl w:ilvl="0" w:tplc="3D7E9632">
      <w:start w:val="1"/>
      <w:numFmt w:val="bullet"/>
      <w:lvlText w:val=""/>
      <w:lvlJc w:val="left"/>
      <w:pPr>
        <w:ind w:left="1080" w:hanging="360"/>
      </w:pPr>
      <w:rPr>
        <w:rFonts w:ascii="Symbol" w:hAnsi="Symbol" w:hint="default"/>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3A41D84"/>
    <w:multiLevelType w:val="hybridMultilevel"/>
    <w:tmpl w:val="EADA45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36B0134"/>
    <w:multiLevelType w:val="hybridMultilevel"/>
    <w:tmpl w:val="C0504CDE"/>
    <w:lvl w:ilvl="0" w:tplc="CA9C55A2">
      <w:numFmt w:val="bullet"/>
      <w:lvlText w:val="•"/>
      <w:lvlJc w:val="left"/>
      <w:pPr>
        <w:ind w:left="720" w:hanging="360"/>
      </w:pPr>
      <w:rPr>
        <w:rFonts w:ascii="Sembol" w:eastAsiaTheme="minorHAnsi" w:hAnsi="Sembol" w:cs="Times New Roman" w:hint="default"/>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A5F3904"/>
    <w:multiLevelType w:val="hybridMultilevel"/>
    <w:tmpl w:val="6270FC8C"/>
    <w:lvl w:ilvl="0" w:tplc="3D7E9632">
      <w:start w:val="1"/>
      <w:numFmt w:val="bullet"/>
      <w:lvlText w:val=""/>
      <w:lvlJc w:val="left"/>
      <w:pPr>
        <w:ind w:left="1080" w:hanging="360"/>
      </w:pPr>
      <w:rPr>
        <w:rFonts w:ascii="Symbol" w:hAnsi="Symbol" w:hint="default"/>
        <w:sz w:val="28"/>
        <w:szCs w:val="28"/>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39ED7BD1"/>
    <w:multiLevelType w:val="hybridMultilevel"/>
    <w:tmpl w:val="D69A5FDC"/>
    <w:lvl w:ilvl="0" w:tplc="291EC72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0F669BA"/>
    <w:multiLevelType w:val="hybridMultilevel"/>
    <w:tmpl w:val="07D278B8"/>
    <w:lvl w:ilvl="0" w:tplc="BCB4BF0C">
      <w:numFmt w:val="bullet"/>
      <w:lvlText w:val="•"/>
      <w:lvlJc w:val="left"/>
      <w:pPr>
        <w:ind w:left="720" w:hanging="360"/>
      </w:pPr>
      <w:rPr>
        <w:rFonts w:ascii="Sembol" w:eastAsiaTheme="minorHAnsi" w:hAnsi="Sembol" w:cs="Times New Roman" w:hint="default"/>
        <w:sz w:val="36"/>
        <w:szCs w:val="3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8691B4D"/>
    <w:multiLevelType w:val="hybridMultilevel"/>
    <w:tmpl w:val="0C22E51E"/>
    <w:lvl w:ilvl="0" w:tplc="5E80DFAE">
      <w:numFmt w:val="bullet"/>
      <w:lvlText w:val="•"/>
      <w:lvlJc w:val="left"/>
      <w:pPr>
        <w:ind w:left="720" w:hanging="360"/>
      </w:pPr>
      <w:rPr>
        <w:rFonts w:ascii="Times New Roman" w:eastAsiaTheme="minorHAnsi" w:hAnsi="Times New Roman" w:cs="Times New Roman" w:hint="default"/>
        <w:sz w:val="36"/>
        <w:szCs w:val="3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30A7210"/>
    <w:multiLevelType w:val="hybridMultilevel"/>
    <w:tmpl w:val="5D9EDAD2"/>
    <w:lvl w:ilvl="0" w:tplc="BCB4BF0C">
      <w:numFmt w:val="bullet"/>
      <w:lvlText w:val="•"/>
      <w:lvlJc w:val="left"/>
      <w:pPr>
        <w:ind w:left="720" w:hanging="360"/>
      </w:pPr>
      <w:rPr>
        <w:rFonts w:ascii="Sembol" w:eastAsiaTheme="minorHAnsi" w:hAnsi="Sembol" w:cs="Times New Roman" w:hint="default"/>
        <w:sz w:val="36"/>
        <w:szCs w:val="3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DDA2ED6"/>
    <w:multiLevelType w:val="hybridMultilevel"/>
    <w:tmpl w:val="E22E88D8"/>
    <w:lvl w:ilvl="0" w:tplc="CA9C55A2">
      <w:numFmt w:val="bullet"/>
      <w:lvlText w:val="•"/>
      <w:lvlJc w:val="left"/>
      <w:pPr>
        <w:ind w:left="720" w:hanging="360"/>
      </w:pPr>
      <w:rPr>
        <w:rFonts w:ascii="Sembol" w:eastAsiaTheme="minorHAnsi" w:hAnsi="Sembol" w:cs="Times New Roman" w:hint="default"/>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F493C9D"/>
    <w:multiLevelType w:val="hybridMultilevel"/>
    <w:tmpl w:val="C7407194"/>
    <w:lvl w:ilvl="0" w:tplc="89AE3DE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92F5E58"/>
    <w:multiLevelType w:val="hybridMultilevel"/>
    <w:tmpl w:val="7E4A55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5"/>
  </w:num>
  <w:num w:numId="5">
    <w:abstractNumId w:val="4"/>
  </w:num>
  <w:num w:numId="6">
    <w:abstractNumId w:val="1"/>
  </w:num>
  <w:num w:numId="7">
    <w:abstractNumId w:val="10"/>
  </w:num>
  <w:num w:numId="8">
    <w:abstractNumId w:val="6"/>
  </w:num>
  <w:num w:numId="9">
    <w:abstractNumId w:val="7"/>
  </w:num>
  <w:num w:numId="10">
    <w:abstractNumId w:val="9"/>
  </w:num>
  <w:num w:numId="11">
    <w:abstractNumId w:val="3"/>
  </w:num>
  <w:num w:numId="12">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footnotePr>
    <w:footnote w:id="-1"/>
    <w:footnote w:id="0"/>
  </w:footnotePr>
  <w:endnotePr>
    <w:endnote w:id="-1"/>
    <w:endnote w:id="0"/>
  </w:endnotePr>
  <w:compat/>
  <w:rsids>
    <w:rsidRoot w:val="00AE62B2"/>
    <w:rsid w:val="0005528C"/>
    <w:rsid w:val="000718B6"/>
    <w:rsid w:val="00124AAD"/>
    <w:rsid w:val="0018565A"/>
    <w:rsid w:val="002913B0"/>
    <w:rsid w:val="002A7415"/>
    <w:rsid w:val="00303212"/>
    <w:rsid w:val="004165B4"/>
    <w:rsid w:val="00417194"/>
    <w:rsid w:val="00576295"/>
    <w:rsid w:val="00604D03"/>
    <w:rsid w:val="00732861"/>
    <w:rsid w:val="007926CE"/>
    <w:rsid w:val="007C7814"/>
    <w:rsid w:val="008A0A45"/>
    <w:rsid w:val="008B1566"/>
    <w:rsid w:val="00952215"/>
    <w:rsid w:val="00957E57"/>
    <w:rsid w:val="009A7EA6"/>
    <w:rsid w:val="00A20F85"/>
    <w:rsid w:val="00A75021"/>
    <w:rsid w:val="00AE62B2"/>
    <w:rsid w:val="00B2372F"/>
    <w:rsid w:val="00C40BB2"/>
    <w:rsid w:val="00D55FBB"/>
    <w:rsid w:val="00F90FC9"/>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718B6"/>
  </w:style>
  <w:style w:type="paragraph" w:styleId="Heading1">
    <w:name w:val="heading 1"/>
    <w:basedOn w:val="Normal"/>
    <w:next w:val="Normal"/>
    <w:link w:val="Heading1Char"/>
    <w:qFormat/>
    <w:rsid w:val="008A0A45"/>
    <w:pPr>
      <w:keepNext/>
      <w:spacing w:after="0" w:line="240" w:lineRule="auto"/>
      <w:jc w:val="lowKashida"/>
      <w:outlineLvl w:val="0"/>
    </w:pPr>
    <w:rPr>
      <w:rFonts w:ascii="Times New Roman" w:eastAsia="Times New Roman" w:hAnsi="Times New Roman" w:cs="Traditional Arabic"/>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ps">
    <w:name w:val="hps"/>
    <w:basedOn w:val="DefaultParagraphFont"/>
    <w:rsid w:val="00AE62B2"/>
  </w:style>
  <w:style w:type="paragraph" w:styleId="ListParagraph">
    <w:name w:val="List Paragraph"/>
    <w:basedOn w:val="Normal"/>
    <w:uiPriority w:val="34"/>
    <w:qFormat/>
    <w:rsid w:val="00AE62B2"/>
    <w:pPr>
      <w:ind w:left="720"/>
      <w:contextualSpacing/>
    </w:pPr>
  </w:style>
  <w:style w:type="character" w:customStyle="1" w:styleId="atn">
    <w:name w:val="atn"/>
    <w:basedOn w:val="DefaultParagraphFont"/>
    <w:rsid w:val="00C40BB2"/>
  </w:style>
  <w:style w:type="paragraph" w:styleId="Header">
    <w:name w:val="header"/>
    <w:basedOn w:val="Normal"/>
    <w:link w:val="HeaderChar"/>
    <w:uiPriority w:val="99"/>
    <w:unhideWhenUsed/>
    <w:rsid w:val="008A0A45"/>
    <w:pPr>
      <w:tabs>
        <w:tab w:val="center" w:pos="4153"/>
        <w:tab w:val="right" w:pos="8306"/>
      </w:tabs>
      <w:spacing w:after="0" w:line="240" w:lineRule="auto"/>
    </w:pPr>
  </w:style>
  <w:style w:type="character" w:customStyle="1" w:styleId="HeaderChar">
    <w:name w:val="Header Char"/>
    <w:basedOn w:val="DefaultParagraphFont"/>
    <w:link w:val="Header"/>
    <w:uiPriority w:val="99"/>
    <w:rsid w:val="008A0A45"/>
  </w:style>
  <w:style w:type="paragraph" w:styleId="Footer">
    <w:name w:val="footer"/>
    <w:basedOn w:val="Normal"/>
    <w:link w:val="FooterChar"/>
    <w:uiPriority w:val="99"/>
    <w:unhideWhenUsed/>
    <w:rsid w:val="008A0A45"/>
    <w:pPr>
      <w:tabs>
        <w:tab w:val="center" w:pos="4153"/>
        <w:tab w:val="right" w:pos="8306"/>
      </w:tabs>
      <w:spacing w:after="0" w:line="240" w:lineRule="auto"/>
    </w:pPr>
  </w:style>
  <w:style w:type="character" w:customStyle="1" w:styleId="FooterChar">
    <w:name w:val="Footer Char"/>
    <w:basedOn w:val="DefaultParagraphFont"/>
    <w:link w:val="Footer"/>
    <w:uiPriority w:val="99"/>
    <w:rsid w:val="008A0A45"/>
  </w:style>
  <w:style w:type="paragraph" w:styleId="BalloonText">
    <w:name w:val="Balloon Text"/>
    <w:basedOn w:val="Normal"/>
    <w:link w:val="BalloonTextChar"/>
    <w:uiPriority w:val="99"/>
    <w:semiHidden/>
    <w:unhideWhenUsed/>
    <w:rsid w:val="008A0A4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A0A45"/>
    <w:rPr>
      <w:rFonts w:ascii="Tahoma" w:hAnsi="Tahoma" w:cs="Tahoma"/>
      <w:sz w:val="16"/>
      <w:szCs w:val="16"/>
    </w:rPr>
  </w:style>
  <w:style w:type="character" w:customStyle="1" w:styleId="Heading1Char">
    <w:name w:val="Heading 1 Char"/>
    <w:basedOn w:val="DefaultParagraphFont"/>
    <w:link w:val="Heading1"/>
    <w:rsid w:val="008A0A45"/>
    <w:rPr>
      <w:rFonts w:ascii="Times New Roman" w:eastAsia="Times New Roman" w:hAnsi="Times New Roman" w:cs="Traditional Arabic"/>
      <w:sz w:val="24"/>
      <w:szCs w:val="20"/>
    </w:rPr>
  </w:style>
</w:styles>
</file>

<file path=word/webSettings.xml><?xml version="1.0" encoding="utf-8"?>
<w:webSettings xmlns:r="http://schemas.openxmlformats.org/officeDocument/2006/relationships" xmlns:w="http://schemas.openxmlformats.org/wordprocessingml/2006/main">
  <w:divs>
    <w:div w:id="202787151">
      <w:bodyDiv w:val="1"/>
      <w:marLeft w:val="0"/>
      <w:marRight w:val="0"/>
      <w:marTop w:val="0"/>
      <w:marBottom w:val="0"/>
      <w:divBdr>
        <w:top w:val="none" w:sz="0" w:space="0" w:color="auto"/>
        <w:left w:val="none" w:sz="0" w:space="0" w:color="auto"/>
        <w:bottom w:val="none" w:sz="0" w:space="0" w:color="auto"/>
        <w:right w:val="none" w:sz="0" w:space="0" w:color="auto"/>
      </w:divBdr>
      <w:divsChild>
        <w:div w:id="2069954940">
          <w:marLeft w:val="0"/>
          <w:marRight w:val="0"/>
          <w:marTop w:val="0"/>
          <w:marBottom w:val="0"/>
          <w:divBdr>
            <w:top w:val="none" w:sz="0" w:space="0" w:color="auto"/>
            <w:left w:val="none" w:sz="0" w:space="0" w:color="auto"/>
            <w:bottom w:val="none" w:sz="0" w:space="0" w:color="auto"/>
            <w:right w:val="none" w:sz="0" w:space="0" w:color="auto"/>
          </w:divBdr>
          <w:divsChild>
            <w:div w:id="1984843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1732300">
      <w:bodyDiv w:val="1"/>
      <w:marLeft w:val="0"/>
      <w:marRight w:val="0"/>
      <w:marTop w:val="0"/>
      <w:marBottom w:val="0"/>
      <w:divBdr>
        <w:top w:val="none" w:sz="0" w:space="0" w:color="auto"/>
        <w:left w:val="none" w:sz="0" w:space="0" w:color="auto"/>
        <w:bottom w:val="none" w:sz="0" w:space="0" w:color="auto"/>
        <w:right w:val="none" w:sz="0" w:space="0" w:color="auto"/>
      </w:divBdr>
      <w:divsChild>
        <w:div w:id="856697343">
          <w:marLeft w:val="0"/>
          <w:marRight w:val="0"/>
          <w:marTop w:val="0"/>
          <w:marBottom w:val="0"/>
          <w:divBdr>
            <w:top w:val="none" w:sz="0" w:space="0" w:color="auto"/>
            <w:left w:val="none" w:sz="0" w:space="0" w:color="auto"/>
            <w:bottom w:val="none" w:sz="0" w:space="0" w:color="auto"/>
            <w:right w:val="none" w:sz="0" w:space="0" w:color="auto"/>
          </w:divBdr>
          <w:divsChild>
            <w:div w:id="423690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9733416">
      <w:bodyDiv w:val="1"/>
      <w:marLeft w:val="0"/>
      <w:marRight w:val="0"/>
      <w:marTop w:val="0"/>
      <w:marBottom w:val="0"/>
      <w:divBdr>
        <w:top w:val="none" w:sz="0" w:space="0" w:color="auto"/>
        <w:left w:val="none" w:sz="0" w:space="0" w:color="auto"/>
        <w:bottom w:val="none" w:sz="0" w:space="0" w:color="auto"/>
        <w:right w:val="none" w:sz="0" w:space="0" w:color="auto"/>
      </w:divBdr>
      <w:divsChild>
        <w:div w:id="599068038">
          <w:marLeft w:val="0"/>
          <w:marRight w:val="0"/>
          <w:marTop w:val="0"/>
          <w:marBottom w:val="0"/>
          <w:divBdr>
            <w:top w:val="none" w:sz="0" w:space="0" w:color="auto"/>
            <w:left w:val="none" w:sz="0" w:space="0" w:color="auto"/>
            <w:bottom w:val="none" w:sz="0" w:space="0" w:color="auto"/>
            <w:right w:val="none" w:sz="0" w:space="0" w:color="auto"/>
          </w:divBdr>
          <w:divsChild>
            <w:div w:id="576476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5768565">
      <w:bodyDiv w:val="1"/>
      <w:marLeft w:val="0"/>
      <w:marRight w:val="0"/>
      <w:marTop w:val="0"/>
      <w:marBottom w:val="0"/>
      <w:divBdr>
        <w:top w:val="none" w:sz="0" w:space="0" w:color="auto"/>
        <w:left w:val="none" w:sz="0" w:space="0" w:color="auto"/>
        <w:bottom w:val="none" w:sz="0" w:space="0" w:color="auto"/>
        <w:right w:val="none" w:sz="0" w:space="0" w:color="auto"/>
      </w:divBdr>
      <w:divsChild>
        <w:div w:id="501897698">
          <w:marLeft w:val="0"/>
          <w:marRight w:val="0"/>
          <w:marTop w:val="0"/>
          <w:marBottom w:val="0"/>
          <w:divBdr>
            <w:top w:val="none" w:sz="0" w:space="0" w:color="auto"/>
            <w:left w:val="none" w:sz="0" w:space="0" w:color="auto"/>
            <w:bottom w:val="none" w:sz="0" w:space="0" w:color="auto"/>
            <w:right w:val="none" w:sz="0" w:space="0" w:color="auto"/>
          </w:divBdr>
          <w:divsChild>
            <w:div w:id="488833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3826606">
      <w:bodyDiv w:val="1"/>
      <w:marLeft w:val="0"/>
      <w:marRight w:val="0"/>
      <w:marTop w:val="0"/>
      <w:marBottom w:val="0"/>
      <w:divBdr>
        <w:top w:val="none" w:sz="0" w:space="0" w:color="auto"/>
        <w:left w:val="none" w:sz="0" w:space="0" w:color="auto"/>
        <w:bottom w:val="none" w:sz="0" w:space="0" w:color="auto"/>
        <w:right w:val="none" w:sz="0" w:space="0" w:color="auto"/>
      </w:divBdr>
    </w:div>
    <w:div w:id="1949854603">
      <w:bodyDiv w:val="1"/>
      <w:marLeft w:val="0"/>
      <w:marRight w:val="0"/>
      <w:marTop w:val="0"/>
      <w:marBottom w:val="0"/>
      <w:divBdr>
        <w:top w:val="none" w:sz="0" w:space="0" w:color="auto"/>
        <w:left w:val="none" w:sz="0" w:space="0" w:color="auto"/>
        <w:bottom w:val="none" w:sz="0" w:space="0" w:color="auto"/>
        <w:right w:val="none" w:sz="0" w:space="0" w:color="auto"/>
      </w:divBdr>
      <w:divsChild>
        <w:div w:id="746725751">
          <w:marLeft w:val="0"/>
          <w:marRight w:val="0"/>
          <w:marTop w:val="0"/>
          <w:marBottom w:val="0"/>
          <w:divBdr>
            <w:top w:val="none" w:sz="0" w:space="0" w:color="auto"/>
            <w:left w:val="none" w:sz="0" w:space="0" w:color="auto"/>
            <w:bottom w:val="none" w:sz="0" w:space="0" w:color="auto"/>
            <w:right w:val="none" w:sz="0" w:space="0" w:color="auto"/>
          </w:divBdr>
          <w:divsChild>
            <w:div w:id="735471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29502FF-07E4-431F-864C-4FB3077DB2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6</Pages>
  <Words>1677</Words>
  <Characters>9563</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BIS</Company>
  <LinksUpToDate>false</LinksUpToDate>
  <CharactersWithSpaces>11218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tawfeeq_ta</dc:creator>
  <cp:lastModifiedBy>ashrafh</cp:lastModifiedBy>
  <cp:revision>11</cp:revision>
  <cp:lastPrinted>2013-10-28T07:48:00Z</cp:lastPrinted>
  <dcterms:created xsi:type="dcterms:W3CDTF">2013-10-24T05:02:00Z</dcterms:created>
  <dcterms:modified xsi:type="dcterms:W3CDTF">2013-11-11T08:18:00Z</dcterms:modified>
</cp:coreProperties>
</file>