
<file path=[Content_Types].xml><?xml version="1.0" encoding="utf-8"?>
<Types xmlns="http://schemas.openxmlformats.org/package/2006/content-types">
  <Override PartName="/word/footnotes.xml" ContentType="application/vnd.openxmlformats-officedocument.wordprocessingml.footnotes+xml"/>
  <Override PartName="/word/theme/themeOverride4.xml" ContentType="application/vnd.openxmlformats-officedocument.themeOverride+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017A" w:rsidRPr="00993DCB" w:rsidRDefault="0081017A" w:rsidP="00F74106">
      <w:pPr>
        <w:pStyle w:val="Title"/>
        <w:bidi w:val="0"/>
        <w:rPr>
          <w:sz w:val="20"/>
          <w:szCs w:val="20"/>
        </w:rPr>
      </w:pPr>
      <w:r w:rsidRPr="00993DCB">
        <w:rPr>
          <w:sz w:val="20"/>
          <w:szCs w:val="20"/>
        </w:rPr>
        <w:t>Chapter One</w:t>
      </w:r>
    </w:p>
    <w:p w:rsidR="000A09DD" w:rsidRPr="00993DCB" w:rsidRDefault="000A09DD" w:rsidP="000A09DD">
      <w:pPr>
        <w:pStyle w:val="Title"/>
        <w:bidi w:val="0"/>
        <w:rPr>
          <w:sz w:val="20"/>
          <w:szCs w:val="20"/>
        </w:rPr>
      </w:pPr>
    </w:p>
    <w:p w:rsidR="006A480D" w:rsidRPr="00993DCB" w:rsidRDefault="006A480D" w:rsidP="0081017A">
      <w:pPr>
        <w:pStyle w:val="Title"/>
        <w:bidi w:val="0"/>
        <w:rPr>
          <w:szCs w:val="24"/>
        </w:rPr>
      </w:pPr>
      <w:r w:rsidRPr="00993DCB">
        <w:rPr>
          <w:szCs w:val="24"/>
        </w:rPr>
        <w:t>Summary</w:t>
      </w:r>
    </w:p>
    <w:p w:rsidR="006A480D" w:rsidRPr="00993DCB" w:rsidRDefault="006A480D" w:rsidP="006A480D">
      <w:pPr>
        <w:pStyle w:val="Title"/>
        <w:bidi w:val="0"/>
        <w:rPr>
          <w:sz w:val="20"/>
          <w:szCs w:val="20"/>
        </w:rPr>
      </w:pPr>
    </w:p>
    <w:p w:rsidR="00D12C4F" w:rsidRPr="00993DCB" w:rsidRDefault="007B6827" w:rsidP="0021776D">
      <w:pPr>
        <w:pStyle w:val="Title"/>
        <w:bidi w:val="0"/>
        <w:rPr>
          <w:rFonts w:cs="Traditional Arabic"/>
          <w:szCs w:val="24"/>
        </w:rPr>
      </w:pPr>
      <w:r w:rsidRPr="007B6827">
        <w:pict>
          <v:rect id="_x0000_s1026" style="position:absolute;left:0;text-align:left;margin-left:297.25pt;margin-top:-2.95pt;width:42pt;height:24pt;z-index:251653120">
            <v:textbox style="mso-next-textbox:#_x0000_s1026">
              <w:txbxContent>
                <w:p w:rsidR="00F24436" w:rsidRDefault="00F24436" w:rsidP="00045CF3">
                  <w:pPr>
                    <w:jc w:val="center"/>
                    <w:rPr>
                      <w:b/>
                      <w:bCs/>
                      <w:sz w:val="28"/>
                      <w:szCs w:val="28"/>
                    </w:rPr>
                  </w:pPr>
                  <w:r>
                    <w:rPr>
                      <w:sz w:val="28"/>
                    </w:rPr>
                    <w:t>1.1</w:t>
                  </w:r>
                </w:p>
              </w:txbxContent>
            </v:textbox>
          </v:rect>
        </w:pict>
      </w:r>
      <w:r w:rsidR="00045CF3" w:rsidRPr="00993DCB">
        <w:rPr>
          <w:sz w:val="20"/>
          <w:szCs w:val="20"/>
        </w:rPr>
        <w:t>Palestinians in Palestin</w:t>
      </w:r>
      <w:r w:rsidR="0021776D" w:rsidRPr="00993DCB">
        <w:rPr>
          <w:sz w:val="20"/>
          <w:szCs w:val="20"/>
        </w:rPr>
        <w:t>e</w:t>
      </w:r>
      <w:r w:rsidR="00045CF3" w:rsidRPr="00993DCB">
        <w:rPr>
          <w:sz w:val="20"/>
          <w:szCs w:val="20"/>
        </w:rPr>
        <w:t xml:space="preserve"> </w:t>
      </w:r>
    </w:p>
    <w:p w:rsidR="00045CF3" w:rsidRDefault="00045CF3" w:rsidP="00F74106">
      <w:pPr>
        <w:jc w:val="center"/>
      </w:pPr>
      <w:r w:rsidRPr="00993DCB">
        <w:rPr>
          <w:b/>
          <w:bCs/>
        </w:rPr>
        <w:t>(West Bank and Gaza Strip)</w:t>
      </w:r>
      <w:r w:rsidR="00D12C4F" w:rsidRPr="00993DCB">
        <w:t xml:space="preserve"> </w:t>
      </w:r>
    </w:p>
    <w:p w:rsidR="00854415" w:rsidRPr="00993DCB" w:rsidRDefault="00854415" w:rsidP="00F74106">
      <w:pPr>
        <w:jc w:val="center"/>
      </w:pPr>
    </w:p>
    <w:p w:rsidR="00EB1A1F" w:rsidRPr="00993DCB" w:rsidRDefault="008D1EBD"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Agriculture and </w:t>
      </w:r>
      <w:r w:rsidR="00EB1A1F" w:rsidRPr="00993DCB">
        <w:rPr>
          <w:rFonts w:cs="Traditional Arabic"/>
          <w:sz w:val="20"/>
          <w:szCs w:val="20"/>
        </w:rPr>
        <w:t>Land Use</w:t>
      </w:r>
    </w:p>
    <w:p w:rsidR="008225F0" w:rsidRDefault="00713F54" w:rsidP="00331B49">
      <w:pPr>
        <w:pStyle w:val="BodyText"/>
        <w:numPr>
          <w:ilvl w:val="0"/>
          <w:numId w:val="3"/>
        </w:numPr>
        <w:tabs>
          <w:tab w:val="clear" w:pos="1920"/>
          <w:tab w:val="num" w:pos="360"/>
        </w:tabs>
        <w:overflowPunct/>
        <w:autoSpaceDE/>
        <w:autoSpaceDN/>
        <w:adjustRightInd/>
        <w:ind w:left="142" w:hanging="142"/>
        <w:jc w:val="lowKashida"/>
        <w:textAlignment w:val="auto"/>
      </w:pPr>
      <w:r>
        <w:rPr>
          <w:noProof/>
        </w:rPr>
        <w:drawing>
          <wp:anchor distT="0" distB="0" distL="114300" distR="114300" simplePos="0" relativeHeight="251659264" behindDoc="0" locked="0" layoutInCell="1" allowOverlap="1">
            <wp:simplePos x="0" y="0"/>
            <wp:positionH relativeFrom="column">
              <wp:posOffset>1019810</wp:posOffset>
            </wp:positionH>
            <wp:positionV relativeFrom="paragraph">
              <wp:posOffset>403225</wp:posOffset>
            </wp:positionV>
            <wp:extent cx="3368675" cy="4315460"/>
            <wp:effectExtent l="19050" t="0" r="3175" b="0"/>
            <wp:wrapSquare wrapText="bothSides"/>
            <wp:docPr id="10" name="Picture 1" descr="G:\كتاب 2014\خرائط\عدد الحيوانات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2014\خرائط\عدد الحيوانات انجليزي.jpg"/>
                    <pic:cNvPicPr>
                      <a:picLocks noChangeAspect="1" noChangeArrowheads="1"/>
                    </pic:cNvPicPr>
                  </pic:nvPicPr>
                  <pic:blipFill>
                    <a:blip r:embed="rId8"/>
                    <a:srcRect/>
                    <a:stretch>
                      <a:fillRect/>
                    </a:stretch>
                  </pic:blipFill>
                  <pic:spPr bwMode="auto">
                    <a:xfrm>
                      <a:off x="0" y="0"/>
                      <a:ext cx="3368675" cy="4315460"/>
                    </a:xfrm>
                    <a:prstGeom prst="rect">
                      <a:avLst/>
                    </a:prstGeom>
                    <a:noFill/>
                    <a:ln w="9525">
                      <a:noFill/>
                      <a:miter lim="800000"/>
                      <a:headEnd/>
                      <a:tailEnd/>
                    </a:ln>
                  </pic:spPr>
                </pic:pic>
              </a:graphicData>
            </a:graphic>
          </wp:anchor>
        </w:drawing>
      </w:r>
      <w:r w:rsidR="008225F0" w:rsidRPr="00993DCB">
        <w:t>There were 32,177 animal and mixed holdings in Palestine: of these 25,676 were in the West Bank (79.8%) and 6,501 in Gaza Strip (20.2%) during the agricultural year 201</w:t>
      </w:r>
      <w:r w:rsidR="008225F0" w:rsidRPr="00993DCB">
        <w:rPr>
          <w:rFonts w:hint="cs"/>
          <w:rtl/>
        </w:rPr>
        <w:t>2</w:t>
      </w:r>
      <w:r w:rsidR="008225F0" w:rsidRPr="00993DCB">
        <w:t>/201</w:t>
      </w:r>
      <w:r w:rsidR="008225F0" w:rsidRPr="00993DCB">
        <w:rPr>
          <w:rFonts w:hint="cs"/>
          <w:rtl/>
        </w:rPr>
        <w:t>3</w:t>
      </w:r>
      <w:r w:rsidR="008225F0" w:rsidRPr="00993DCB">
        <w:t>.</w:t>
      </w:r>
    </w:p>
    <w:p w:rsidR="00854415" w:rsidRPr="00993DCB" w:rsidRDefault="00854415" w:rsidP="00854415">
      <w:pPr>
        <w:pStyle w:val="BodyText"/>
        <w:overflowPunct/>
        <w:autoSpaceDE/>
        <w:autoSpaceDN/>
        <w:adjustRightInd/>
        <w:ind w:left="142"/>
        <w:jc w:val="lowKashida"/>
        <w:textAlignment w:val="auto"/>
      </w:pPr>
    </w:p>
    <w:p w:rsidR="00DC4287" w:rsidRPr="00993DCB" w:rsidRDefault="00DC4287" w:rsidP="00331B49">
      <w:pPr>
        <w:pStyle w:val="BodyText"/>
        <w:numPr>
          <w:ilvl w:val="0"/>
          <w:numId w:val="3"/>
        </w:numPr>
        <w:tabs>
          <w:tab w:val="num" w:pos="360"/>
          <w:tab w:val="right" w:pos="993"/>
        </w:tabs>
        <w:overflowPunct/>
        <w:autoSpaceDE/>
        <w:autoSpaceDN/>
        <w:adjustRightInd/>
        <w:ind w:left="142" w:hanging="142"/>
        <w:jc w:val="left"/>
        <w:textAlignment w:val="auto"/>
      </w:pPr>
      <w:r w:rsidRPr="00993DCB">
        <w:t xml:space="preserve"> There were </w:t>
      </w:r>
      <w:r w:rsidR="008225F0" w:rsidRPr="00993DCB">
        <w:t>12,167</w:t>
      </w:r>
      <w:r w:rsidRPr="00993DCB">
        <w:t xml:space="preserve"> </w:t>
      </w:r>
      <w:r w:rsidR="008225F0" w:rsidRPr="00993DCB">
        <w:t>animal</w:t>
      </w:r>
      <w:r w:rsidRPr="00993DCB">
        <w:t xml:space="preserve"> holdings constitut</w:t>
      </w:r>
      <w:r w:rsidR="00711258" w:rsidRPr="00993DCB">
        <w:t>ing</w:t>
      </w:r>
      <w:r w:rsidRPr="00993DCB">
        <w:t xml:space="preserve"> </w:t>
      </w:r>
      <w:r w:rsidR="008225F0" w:rsidRPr="00993DCB">
        <w:t>37.8</w:t>
      </w:r>
      <w:r w:rsidRPr="00993DCB">
        <w:t xml:space="preserve">% of </w:t>
      </w:r>
      <w:r w:rsidR="008225F0" w:rsidRPr="00993DCB">
        <w:t>animal and mixed</w:t>
      </w:r>
      <w:r w:rsidRPr="00993DCB">
        <w:t xml:space="preserve"> holdings in </w:t>
      </w:r>
      <w:r w:rsidR="0021776D" w:rsidRPr="00993DCB">
        <w:t>Palestine</w:t>
      </w:r>
      <w:r w:rsidRPr="00993DCB">
        <w:t xml:space="preserve">. There were </w:t>
      </w:r>
      <w:r w:rsidR="008225F0" w:rsidRPr="00993DCB">
        <w:t>20,010</w:t>
      </w:r>
      <w:r w:rsidRPr="00993DCB">
        <w:t xml:space="preserve"> mixed holdings constitut</w:t>
      </w:r>
      <w:r w:rsidR="00711258" w:rsidRPr="00993DCB">
        <w:t>ing</w:t>
      </w:r>
      <w:r w:rsidRPr="00993DCB">
        <w:t xml:space="preserve"> </w:t>
      </w:r>
      <w:r w:rsidR="008225F0" w:rsidRPr="00993DCB">
        <w:t>62.2</w:t>
      </w:r>
      <w:r w:rsidRPr="00993DCB">
        <w:t xml:space="preserve">% of </w:t>
      </w:r>
      <w:r w:rsidR="008225F0" w:rsidRPr="00993DCB">
        <w:t>animal and mixed</w:t>
      </w:r>
      <w:r w:rsidRPr="00993DCB">
        <w:t xml:space="preserve"> holdings</w:t>
      </w:r>
      <w:r w:rsidR="008225F0" w:rsidRPr="00993DCB">
        <w:t xml:space="preserve"> during</w:t>
      </w:r>
      <w:r w:rsidRPr="00993DCB">
        <w:t xml:space="preserve"> the agricultural year </w:t>
      </w:r>
      <w:r w:rsidR="008225F0" w:rsidRPr="00993DCB">
        <w:t>2012</w:t>
      </w:r>
      <w:r w:rsidRPr="00993DCB">
        <w:t>/</w:t>
      </w:r>
      <w:r w:rsidR="008225F0" w:rsidRPr="00993DCB">
        <w:t>2013</w:t>
      </w:r>
      <w:r w:rsidRPr="00993DCB">
        <w:t>.</w:t>
      </w:r>
    </w:p>
    <w:p w:rsidR="00404CEC" w:rsidRPr="00993DCB" w:rsidRDefault="00404CEC" w:rsidP="00404CEC">
      <w:pPr>
        <w:ind w:left="-14"/>
        <w:jc w:val="both"/>
        <w:rPr>
          <w:noProof/>
        </w:rPr>
      </w:pPr>
    </w:p>
    <w:p w:rsidR="00CD575C" w:rsidRPr="00993DCB" w:rsidRDefault="005B5FA2" w:rsidP="00713F54">
      <w:pPr>
        <w:pStyle w:val="BodyText"/>
        <w:numPr>
          <w:ilvl w:val="0"/>
          <w:numId w:val="3"/>
        </w:numPr>
        <w:tabs>
          <w:tab w:val="num" w:pos="360"/>
        </w:tabs>
        <w:overflowPunct/>
        <w:autoSpaceDE/>
        <w:autoSpaceDN/>
        <w:adjustRightInd/>
        <w:ind w:left="142" w:hanging="142"/>
        <w:jc w:val="left"/>
        <w:textAlignment w:val="auto"/>
      </w:pPr>
      <w:r w:rsidRPr="00993DCB">
        <w:t xml:space="preserve">During the agricultural year </w:t>
      </w:r>
      <w:r w:rsidR="00713F54">
        <w:t>2010</w:t>
      </w:r>
      <w:r w:rsidRPr="00993DCB">
        <w:t>/</w:t>
      </w:r>
      <w:r w:rsidR="00713F54">
        <w:t>2011</w:t>
      </w:r>
      <w:r w:rsidRPr="00993DCB">
        <w:t xml:space="preserve">, </w:t>
      </w:r>
      <w:r w:rsidR="00607032" w:rsidRPr="00993DCB">
        <w:t xml:space="preserve">the area of </w:t>
      </w:r>
      <w:r w:rsidRPr="00993DCB">
        <w:t xml:space="preserve">cultivated land </w:t>
      </w:r>
      <w:r w:rsidR="00607032" w:rsidRPr="00993DCB">
        <w:t xml:space="preserve">was </w:t>
      </w:r>
      <w:r w:rsidR="00713F54">
        <w:t>931.5</w:t>
      </w:r>
      <w:r w:rsidR="00796097" w:rsidRPr="00993DCB">
        <w:t xml:space="preserve"> </w:t>
      </w:r>
      <w:r w:rsidR="00711258" w:rsidRPr="00993DCB">
        <w:t>k</w:t>
      </w:r>
      <w:r w:rsidR="00796097" w:rsidRPr="00993DCB">
        <w:t>m</w:t>
      </w:r>
      <w:r w:rsidR="00711258" w:rsidRPr="00993DCB">
        <w:rPr>
          <w:rFonts w:cs="Times New Roman"/>
        </w:rPr>
        <w:t>²</w:t>
      </w:r>
      <w:r w:rsidR="00713F54">
        <w:t>; constituting</w:t>
      </w:r>
      <w:r w:rsidRPr="00993DCB">
        <w:t xml:space="preserve"> 15.</w:t>
      </w:r>
      <w:r w:rsidR="00713F54">
        <w:t>5</w:t>
      </w:r>
      <w:r w:rsidRPr="00993DCB">
        <w:t xml:space="preserve">% of the total area of </w:t>
      </w:r>
      <w:r w:rsidR="0021776D" w:rsidRPr="00993DCB">
        <w:t>Palestine</w:t>
      </w:r>
      <w:r w:rsidRPr="00993DCB">
        <w:t>.</w:t>
      </w:r>
    </w:p>
    <w:p w:rsidR="005B5FA2" w:rsidRPr="00993DCB" w:rsidRDefault="005B5FA2" w:rsidP="00CD575C">
      <w:pPr>
        <w:jc w:val="both"/>
        <w:rPr>
          <w:noProof/>
        </w:rPr>
      </w:pPr>
      <w:r w:rsidRPr="00993DCB">
        <w:rPr>
          <w:noProof/>
        </w:rPr>
        <w:t xml:space="preserve"> </w:t>
      </w:r>
    </w:p>
    <w:p w:rsidR="00F334E1" w:rsidRPr="00993DCB" w:rsidRDefault="007C0C59" w:rsidP="00B92D78">
      <w:pPr>
        <w:pStyle w:val="BodyText"/>
        <w:numPr>
          <w:ilvl w:val="0"/>
          <w:numId w:val="3"/>
        </w:numPr>
        <w:tabs>
          <w:tab w:val="clear" w:pos="1920"/>
          <w:tab w:val="num" w:pos="360"/>
        </w:tabs>
        <w:overflowPunct/>
        <w:autoSpaceDE/>
        <w:autoSpaceDN/>
        <w:adjustRightInd/>
        <w:ind w:left="142" w:hanging="142"/>
        <w:jc w:val="lowKashida"/>
        <w:textAlignment w:val="auto"/>
      </w:pPr>
      <w:r>
        <w:t>There w</w:t>
      </w:r>
      <w:r w:rsidR="00F334E1" w:rsidRPr="00993DCB">
        <w:t xml:space="preserve">ere 33,980 breeding </w:t>
      </w:r>
      <w:r w:rsidR="00B92D78">
        <w:t>cows</w:t>
      </w:r>
      <w:r w:rsidR="00F334E1" w:rsidRPr="00993DCB">
        <w:rPr>
          <w:rFonts w:ascii="Arial" w:hAnsi="Arial" w:cs="Arial"/>
          <w:sz w:val="16"/>
          <w:szCs w:val="16"/>
        </w:rPr>
        <w:t xml:space="preserve"> </w:t>
      </w:r>
      <w:r w:rsidR="00F334E1" w:rsidRPr="00993DCB">
        <w:t xml:space="preserve">in Palestine: 25,612 in the West Bank and 8,368 in Gaza Strip on 01/10/2013. </w:t>
      </w:r>
    </w:p>
    <w:p w:rsidR="005B5FA2" w:rsidRPr="00993DCB" w:rsidRDefault="005B5FA2" w:rsidP="005B5FA2">
      <w:pPr>
        <w:pStyle w:val="BodyText"/>
        <w:ind w:left="-578" w:right="-1"/>
        <w:rPr>
          <w:rFonts w:eastAsia="Arial Unicode MS"/>
        </w:rPr>
      </w:pPr>
    </w:p>
    <w:p w:rsidR="00F334E1" w:rsidRPr="00993DCB" w:rsidRDefault="00F334E1"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lastRenderedPageBreak/>
        <w:t xml:space="preserve">There were 730,894 breeding sheep in Palestine: 670,332 in the West Bank and 60,562 in Gaza Strip on 01/10/2013.  </w:t>
      </w:r>
    </w:p>
    <w:p w:rsidR="00DC4287" w:rsidRPr="00993DCB" w:rsidRDefault="00DC4287" w:rsidP="00DC4287">
      <w:pPr>
        <w:pStyle w:val="BodyText"/>
        <w:ind w:left="142" w:right="-1" w:hanging="360"/>
        <w:rPr>
          <w:rFonts w:eastAsia="Arial Unicode MS"/>
        </w:rPr>
      </w:pPr>
    </w:p>
    <w:p w:rsidR="00F334E1" w:rsidRPr="00993DCB" w:rsidRDefault="00F334E1" w:rsidP="00713F54">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215,335 breeding goats in Palestine: 204,937 in the West Bank and 10,398 in Gaza Strip on 01/10/</w:t>
      </w:r>
      <w:r w:rsidR="00B02992" w:rsidRPr="00993DCB">
        <w:t>2013</w:t>
      </w:r>
      <w:r w:rsidRPr="00993DCB">
        <w:t>.</w:t>
      </w:r>
    </w:p>
    <w:p w:rsidR="00F334E1" w:rsidRPr="00993DCB" w:rsidRDefault="00F334E1" w:rsidP="00F334E1">
      <w:pPr>
        <w:pStyle w:val="BodyText"/>
        <w:overflowPunct/>
        <w:autoSpaceDE/>
        <w:autoSpaceDN/>
        <w:adjustRightInd/>
        <w:jc w:val="lowKashida"/>
        <w:textAlignment w:val="auto"/>
      </w:pPr>
    </w:p>
    <w:p w:rsidR="00357C35" w:rsidRPr="00993DCB" w:rsidRDefault="00357C35" w:rsidP="00713F54">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quantity of pressed olives in 2013 was 65,829</w:t>
      </w:r>
      <w:r w:rsidR="00713F54">
        <w:t>.4</w:t>
      </w:r>
      <w:r w:rsidRPr="00993DCB">
        <w:t xml:space="preserve"> tons and the quantity of extracted oil was 17,64</w:t>
      </w:r>
      <w:r w:rsidR="00713F54">
        <w:t>1.9</w:t>
      </w:r>
      <w:r w:rsidRPr="00993DCB">
        <w:t xml:space="preserve"> tons. </w:t>
      </w:r>
    </w:p>
    <w:p w:rsidR="00357C35" w:rsidRPr="00993DCB" w:rsidRDefault="00357C35" w:rsidP="00357C35">
      <w:pPr>
        <w:pStyle w:val="ListParagraph"/>
        <w:rPr>
          <w:sz w:val="18"/>
          <w:szCs w:val="14"/>
        </w:rPr>
      </w:pPr>
    </w:p>
    <w:p w:rsidR="00357C35" w:rsidRPr="00993DCB" w:rsidRDefault="00357C35" w:rsidP="00357C35">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value added of olive pressing activity totaled USD 6.5 million, while the intermediate consumption and output of olive presses totaled USD 2.1 million and USD 8.6 million respectively.  </w:t>
      </w:r>
    </w:p>
    <w:p w:rsidR="00C91A59" w:rsidRPr="00993DCB" w:rsidRDefault="00C91A59" w:rsidP="0030277E">
      <w:pPr>
        <w:ind w:left="-14"/>
        <w:jc w:val="both"/>
        <w:rPr>
          <w:noProof/>
          <w:sz w:val="16"/>
          <w:szCs w:val="16"/>
        </w:rPr>
      </w:pPr>
    </w:p>
    <w:p w:rsidR="00D077E3" w:rsidRPr="00993DCB" w:rsidRDefault="00D077E3"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The population density in </w:t>
      </w:r>
      <w:r w:rsidR="0021776D" w:rsidRPr="00993DCB">
        <w:t>Palestine</w:t>
      </w:r>
      <w:r w:rsidRPr="00993DCB">
        <w:t xml:space="preserve"> was </w:t>
      </w:r>
      <w:r w:rsidR="003834A2" w:rsidRPr="00993DCB">
        <w:t>7</w:t>
      </w:r>
      <w:r w:rsidR="00811F37" w:rsidRPr="00993DCB">
        <w:rPr>
          <w:rFonts w:hint="cs"/>
          <w:rtl/>
        </w:rPr>
        <w:t>56</w:t>
      </w:r>
      <w:r w:rsidRPr="00993DCB">
        <w:t xml:space="preserve"> capita/km</w:t>
      </w:r>
      <w:r w:rsidRPr="00993DCB">
        <w:rPr>
          <w:vertAlign w:val="superscript"/>
        </w:rPr>
        <w:t>2</w:t>
      </w:r>
      <w:r w:rsidRPr="00993DCB">
        <w:t xml:space="preserve"> at mid-year </w:t>
      </w:r>
      <w:r w:rsidR="00811F37" w:rsidRPr="00993DCB">
        <w:t>2014</w:t>
      </w:r>
      <w:r w:rsidRPr="00993DCB">
        <w:t xml:space="preserve">: regionally it was </w:t>
      </w:r>
      <w:r w:rsidR="003834A2" w:rsidRPr="00993DCB">
        <w:t>4</w:t>
      </w:r>
      <w:r w:rsidR="00811F37" w:rsidRPr="00993DCB">
        <w:t>93</w:t>
      </w:r>
      <w:r w:rsidRPr="00993DCB">
        <w:rPr>
          <w:rtl/>
        </w:rPr>
        <w:t xml:space="preserve"> </w:t>
      </w:r>
      <w:r w:rsidRPr="00993DCB">
        <w:t>capita/km</w:t>
      </w:r>
      <w:r w:rsidRPr="00993DCB">
        <w:rPr>
          <w:vertAlign w:val="superscript"/>
        </w:rPr>
        <w:t>2</w:t>
      </w:r>
      <w:r w:rsidRPr="00993DCB">
        <w:t xml:space="preserve"> in the West Bank and 4,</w:t>
      </w:r>
      <w:r w:rsidR="00811F37" w:rsidRPr="00993DCB">
        <w:t>822</w:t>
      </w:r>
      <w:r w:rsidRPr="00993DCB">
        <w:t xml:space="preserve"> capita/km</w:t>
      </w:r>
      <w:r w:rsidRPr="00993DCB">
        <w:rPr>
          <w:vertAlign w:val="superscript"/>
        </w:rPr>
        <w:t>2</w:t>
      </w:r>
      <w:r w:rsidRPr="00993DCB">
        <w:t xml:space="preserve"> in </w:t>
      </w:r>
      <w:r w:rsidR="007C01D8" w:rsidRPr="00993DCB">
        <w:t>Gaza Strip</w:t>
      </w:r>
      <w:r w:rsidRPr="00993DCB">
        <w:t xml:space="preserve">. </w:t>
      </w:r>
    </w:p>
    <w:p w:rsidR="004B0F81" w:rsidRPr="00993DCB" w:rsidRDefault="004B0F81" w:rsidP="004B0F81">
      <w:pPr>
        <w:pStyle w:val="ListParagraph"/>
        <w:rPr>
          <w:sz w:val="20"/>
          <w:szCs w:val="16"/>
        </w:rPr>
      </w:pPr>
    </w:p>
    <w:p w:rsidR="00020126" w:rsidRPr="00993DCB" w:rsidRDefault="009C673D" w:rsidP="003E7B2E">
      <w:pPr>
        <w:pStyle w:val="ListParagraph"/>
        <w:bidi w:val="0"/>
        <w:ind w:left="0"/>
        <w:jc w:val="lowKashida"/>
        <w:rPr>
          <w:rFonts w:cs="Times New Roman"/>
          <w:i/>
          <w:iCs/>
          <w:sz w:val="20"/>
          <w:u w:val="single"/>
        </w:rPr>
      </w:pPr>
      <w:r w:rsidRPr="00993DCB">
        <w:rPr>
          <w:rFonts w:cs="Times New Roman"/>
          <w:i/>
          <w:iCs/>
          <w:sz w:val="20"/>
          <w:u w:val="single"/>
        </w:rPr>
        <w:t>For more detail</w:t>
      </w:r>
      <w:r w:rsidR="00D9796F" w:rsidRPr="00993DCB">
        <w:rPr>
          <w:rFonts w:cs="Times New Roman"/>
          <w:i/>
          <w:iCs/>
          <w:sz w:val="20"/>
          <w:u w:val="single"/>
        </w:rPr>
        <w:t>s</w:t>
      </w:r>
      <w:r w:rsidRPr="00993DCB">
        <w:rPr>
          <w:rFonts w:cs="Times New Roman"/>
          <w:i/>
          <w:iCs/>
          <w:sz w:val="20"/>
          <w:u w:val="single"/>
        </w:rPr>
        <w:t xml:space="preserve"> </w:t>
      </w:r>
      <w:r w:rsidR="00D9796F" w:rsidRPr="00993DCB">
        <w:rPr>
          <w:rFonts w:cs="Times New Roman"/>
          <w:i/>
          <w:iCs/>
          <w:sz w:val="20"/>
          <w:u w:val="single"/>
        </w:rPr>
        <w:t>regarding a</w:t>
      </w:r>
      <w:r w:rsidRPr="00993DCB">
        <w:rPr>
          <w:rFonts w:cs="Times New Roman"/>
          <w:i/>
          <w:iCs/>
          <w:sz w:val="20"/>
          <w:u w:val="single"/>
        </w:rPr>
        <w:t xml:space="preserve">griculture and </w:t>
      </w:r>
      <w:r w:rsidR="00D9796F" w:rsidRPr="00993DCB">
        <w:rPr>
          <w:rFonts w:cs="Times New Roman"/>
          <w:i/>
          <w:iCs/>
          <w:sz w:val="20"/>
          <w:u w:val="single"/>
        </w:rPr>
        <w:t>l</w:t>
      </w:r>
      <w:r w:rsidRPr="00993DCB">
        <w:rPr>
          <w:rFonts w:cs="Times New Roman"/>
          <w:i/>
          <w:iCs/>
          <w:sz w:val="20"/>
          <w:u w:val="single"/>
        </w:rPr>
        <w:t xml:space="preserve">and </w:t>
      </w:r>
      <w:r w:rsidR="00D9796F" w:rsidRPr="00993DCB">
        <w:rPr>
          <w:rFonts w:cs="Times New Roman"/>
          <w:i/>
          <w:iCs/>
          <w:sz w:val="20"/>
          <w:u w:val="single"/>
        </w:rPr>
        <w:t>u</w:t>
      </w:r>
      <w:r w:rsidRPr="00993DCB">
        <w:rPr>
          <w:rFonts w:cs="Times New Roman"/>
          <w:i/>
          <w:iCs/>
          <w:sz w:val="20"/>
          <w:u w:val="single"/>
        </w:rPr>
        <w:t>se</w:t>
      </w:r>
      <w:r w:rsidR="00D9796F"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D9796F"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1.1 </w:t>
      </w:r>
      <w:r w:rsidR="00D9796F" w:rsidRPr="00993DCB">
        <w:rPr>
          <w:rFonts w:cs="Times New Roman"/>
          <w:i/>
          <w:iCs/>
          <w:sz w:val="20"/>
          <w:u w:val="single"/>
        </w:rPr>
        <w:t>of the</w:t>
      </w:r>
      <w:r w:rsidRPr="00993DCB">
        <w:rPr>
          <w:rFonts w:cs="Times New Roman"/>
          <w:i/>
          <w:iCs/>
          <w:sz w:val="20"/>
          <w:u w:val="single"/>
        </w:rPr>
        <w:t xml:space="preserve"> Ar</w:t>
      </w:r>
      <w:r w:rsidR="00D9796F" w:rsidRPr="00993DCB">
        <w:rPr>
          <w:rFonts w:cs="Times New Roman"/>
          <w:i/>
          <w:iCs/>
          <w:sz w:val="20"/>
          <w:u w:val="single"/>
        </w:rPr>
        <w:t>a</w:t>
      </w:r>
      <w:r w:rsidRPr="00993DCB">
        <w:rPr>
          <w:rFonts w:cs="Times New Roman"/>
          <w:i/>
          <w:iCs/>
          <w:sz w:val="20"/>
          <w:u w:val="single"/>
        </w:rPr>
        <w:t xml:space="preserve">bic </w:t>
      </w:r>
      <w:r w:rsidR="00D9796F" w:rsidRPr="00993DCB">
        <w:rPr>
          <w:rFonts w:cs="Times New Roman"/>
          <w:i/>
          <w:iCs/>
          <w:sz w:val="20"/>
          <w:u w:val="single"/>
        </w:rPr>
        <w:t>section, p</w:t>
      </w:r>
      <w:r w:rsidRPr="00993DCB">
        <w:rPr>
          <w:rFonts w:cs="Times New Roman"/>
          <w:i/>
          <w:iCs/>
          <w:sz w:val="20"/>
          <w:u w:val="single"/>
        </w:rPr>
        <w:t>age</w:t>
      </w:r>
      <w:r w:rsidR="00D9796F" w:rsidRPr="00993DCB">
        <w:rPr>
          <w:rFonts w:cs="Times New Roman"/>
          <w:i/>
          <w:iCs/>
          <w:sz w:val="20"/>
          <w:u w:val="single"/>
        </w:rPr>
        <w:t>s</w:t>
      </w:r>
      <w:r w:rsidR="006A480D" w:rsidRPr="00993DCB">
        <w:rPr>
          <w:rFonts w:cs="Times New Roman"/>
          <w:i/>
          <w:iCs/>
          <w:sz w:val="20"/>
          <w:u w:val="single"/>
        </w:rPr>
        <w:t xml:space="preserve"> </w:t>
      </w:r>
      <w:r w:rsidR="003E7B2E" w:rsidRPr="00993DCB">
        <w:rPr>
          <w:rFonts w:cs="Times New Roman"/>
          <w:i/>
          <w:iCs/>
          <w:sz w:val="20"/>
          <w:u w:val="single"/>
        </w:rPr>
        <w:t>19</w:t>
      </w:r>
      <w:r w:rsidR="006A480D" w:rsidRPr="00993DCB">
        <w:rPr>
          <w:rFonts w:cs="Times New Roman"/>
          <w:i/>
          <w:iCs/>
          <w:sz w:val="20"/>
          <w:u w:val="single"/>
        </w:rPr>
        <w:t>-</w:t>
      </w:r>
      <w:r w:rsidR="003E7B2E" w:rsidRPr="00993DCB">
        <w:rPr>
          <w:rFonts w:cs="Times New Roman"/>
          <w:i/>
          <w:iCs/>
          <w:sz w:val="20"/>
          <w:u w:val="single"/>
        </w:rPr>
        <w:t>28</w:t>
      </w:r>
      <w:r w:rsidR="00D9796F" w:rsidRPr="00993DCB">
        <w:rPr>
          <w:rFonts w:cs="Times New Roman"/>
          <w:i/>
          <w:iCs/>
          <w:sz w:val="20"/>
          <w:u w:val="single"/>
        </w:rPr>
        <w:t>.</w:t>
      </w:r>
    </w:p>
    <w:p w:rsidR="009C673D" w:rsidRPr="00993DCB" w:rsidRDefault="009C673D" w:rsidP="009C673D">
      <w:pPr>
        <w:pStyle w:val="ListParagraph"/>
        <w:bidi w:val="0"/>
        <w:ind w:left="0"/>
        <w:rPr>
          <w:sz w:val="20"/>
          <w:szCs w:val="16"/>
        </w:rPr>
      </w:pPr>
    </w:p>
    <w:p w:rsidR="00020126" w:rsidRDefault="00020126"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Environment and Natural Resources  </w:t>
      </w:r>
    </w:p>
    <w:p w:rsidR="00713F54" w:rsidRPr="00993DCB" w:rsidRDefault="00713F54" w:rsidP="00713F54">
      <w:pPr>
        <w:pStyle w:val="BodyText"/>
        <w:numPr>
          <w:ilvl w:val="0"/>
          <w:numId w:val="3"/>
        </w:numPr>
        <w:tabs>
          <w:tab w:val="num" w:pos="360"/>
        </w:tabs>
        <w:overflowPunct/>
        <w:autoSpaceDE/>
        <w:autoSpaceDN/>
        <w:adjustRightInd/>
        <w:ind w:left="142" w:hanging="142"/>
        <w:jc w:val="lowKashida"/>
        <w:textAlignment w:val="auto"/>
      </w:pPr>
      <w:r w:rsidRPr="00993DCB">
        <w:t xml:space="preserve">The </w:t>
      </w:r>
      <w:r>
        <w:t xml:space="preserve">quantity </w:t>
      </w:r>
      <w:r w:rsidRPr="00993DCB">
        <w:t>of annual av</w:t>
      </w:r>
      <w:r>
        <w:t>a</w:t>
      </w:r>
      <w:r w:rsidRPr="00993DCB">
        <w:t>ilable water in 2012 was 349.2 MCM, of which 253.3 MCM was pumped from ground water wells, 39.3 MCM was dis</w:t>
      </w:r>
      <w:r>
        <w:t>c</w:t>
      </w:r>
      <w:r w:rsidRPr="00993DCB">
        <w:t>harged from water springs, and the remain</w:t>
      </w:r>
      <w:r>
        <w:t>ing</w:t>
      </w:r>
      <w:r w:rsidRPr="00993DCB">
        <w:t xml:space="preserve"> quantity 56.6 MCM was purchased from </w:t>
      </w:r>
      <w:r>
        <w:t xml:space="preserve">the </w:t>
      </w:r>
      <w:r w:rsidRPr="00993DCB">
        <w:t xml:space="preserve">Israeli </w:t>
      </w:r>
      <w:proofErr w:type="spellStart"/>
      <w:r>
        <w:t>Mekorot</w:t>
      </w:r>
      <w:proofErr w:type="spellEnd"/>
      <w:r>
        <w:t xml:space="preserve"> </w:t>
      </w:r>
      <w:r w:rsidRPr="00993DCB">
        <w:t xml:space="preserve">water company. </w:t>
      </w:r>
    </w:p>
    <w:p w:rsidR="00713F54" w:rsidRPr="00993DCB" w:rsidRDefault="00713F54" w:rsidP="00713F54">
      <w:pPr>
        <w:pStyle w:val="Title"/>
        <w:bidi w:val="0"/>
        <w:jc w:val="left"/>
        <w:rPr>
          <w:rFonts w:cs="Traditional Arabic"/>
          <w:sz w:val="20"/>
          <w:szCs w:val="20"/>
        </w:rPr>
      </w:pPr>
    </w:p>
    <w:p w:rsidR="001A2CD9" w:rsidRPr="00993DCB" w:rsidRDefault="001A2CD9" w:rsidP="00331B49">
      <w:pPr>
        <w:pStyle w:val="BodyText"/>
        <w:numPr>
          <w:ilvl w:val="0"/>
          <w:numId w:val="3"/>
        </w:numPr>
        <w:tabs>
          <w:tab w:val="num" w:pos="360"/>
        </w:tabs>
        <w:overflowPunct/>
        <w:autoSpaceDE/>
        <w:autoSpaceDN/>
        <w:adjustRightInd/>
        <w:ind w:left="142" w:hanging="142"/>
        <w:jc w:val="lowKashida"/>
        <w:textAlignment w:val="auto"/>
      </w:pPr>
      <w:r w:rsidRPr="00993DCB">
        <w:t>The quantities of rainfall ranged between 805.9 mm in Nablus station and 147.7 mm in Jericho station in 2013.</w:t>
      </w:r>
    </w:p>
    <w:p w:rsidR="00511744" w:rsidRPr="00993DCB" w:rsidRDefault="00511744" w:rsidP="00511744">
      <w:pPr>
        <w:pStyle w:val="BodyText"/>
        <w:overflowPunct/>
        <w:autoSpaceDE/>
        <w:autoSpaceDN/>
        <w:adjustRightInd/>
        <w:jc w:val="lowKashida"/>
        <w:textAlignment w:val="auto"/>
      </w:pPr>
    </w:p>
    <w:p w:rsidR="00511744" w:rsidRPr="00993DCB" w:rsidRDefault="0013290F" w:rsidP="000249A2">
      <w:pPr>
        <w:pStyle w:val="BodyText3"/>
        <w:jc w:val="center"/>
        <w:rPr>
          <w:rFonts w:asciiTheme="minorBidi" w:hAnsiTheme="minorBidi" w:cstheme="minorBidi"/>
          <w:sz w:val="16"/>
          <w:szCs w:val="14"/>
        </w:rPr>
      </w:pPr>
      <w:r w:rsidRPr="00993DCB">
        <w:rPr>
          <w:rFonts w:asciiTheme="minorBidi" w:hAnsiTheme="minorBidi" w:cstheme="minorBidi"/>
          <w:sz w:val="16"/>
          <w:szCs w:val="14"/>
        </w:rPr>
        <w:t xml:space="preserve">Quantity of </w:t>
      </w:r>
      <w:r w:rsidR="00511744" w:rsidRPr="00993DCB">
        <w:rPr>
          <w:rFonts w:asciiTheme="minorBidi" w:hAnsiTheme="minorBidi" w:cstheme="minorBidi"/>
          <w:sz w:val="16"/>
          <w:szCs w:val="14"/>
        </w:rPr>
        <w:t xml:space="preserve">Annual Rainfall in </w:t>
      </w:r>
      <w:r w:rsidR="001B1777">
        <w:rPr>
          <w:rFonts w:asciiTheme="minorBidi" w:hAnsiTheme="minorBidi" w:cstheme="minorBidi"/>
          <w:sz w:val="16"/>
          <w:szCs w:val="14"/>
        </w:rPr>
        <w:t xml:space="preserve">The </w:t>
      </w:r>
      <w:r w:rsidR="000249A2">
        <w:rPr>
          <w:rFonts w:asciiTheme="minorBidi" w:hAnsiTheme="minorBidi" w:cstheme="minorBidi"/>
          <w:sz w:val="16"/>
          <w:szCs w:val="14"/>
        </w:rPr>
        <w:t>West Bank</w:t>
      </w:r>
      <w:r w:rsidR="00511744" w:rsidRPr="00993DCB">
        <w:rPr>
          <w:rFonts w:asciiTheme="minorBidi" w:hAnsiTheme="minorBidi" w:cstheme="minorBidi"/>
          <w:sz w:val="16"/>
          <w:szCs w:val="14"/>
        </w:rPr>
        <w:t xml:space="preserve"> by Station Location, </w:t>
      </w:r>
      <w:r w:rsidR="00713F54">
        <w:rPr>
          <w:rFonts w:asciiTheme="minorBidi" w:hAnsiTheme="minorBidi" w:cstheme="minorBidi"/>
          <w:sz w:val="16"/>
          <w:szCs w:val="14"/>
        </w:rPr>
        <w:t>2013</w:t>
      </w:r>
      <w:r w:rsidR="00511744" w:rsidRPr="00993DCB">
        <w:rPr>
          <w:rFonts w:asciiTheme="minorBidi" w:hAnsiTheme="minorBidi" w:cstheme="minorBidi"/>
          <w:sz w:val="16"/>
          <w:szCs w:val="14"/>
        </w:rPr>
        <w:t xml:space="preserve"> (mm)</w:t>
      </w:r>
    </w:p>
    <w:p w:rsidR="00511744" w:rsidRPr="00993DCB" w:rsidRDefault="00511744" w:rsidP="00713F54">
      <w:pPr>
        <w:pStyle w:val="BodyText3"/>
        <w:rPr>
          <w:sz w:val="8"/>
          <w:szCs w:val="8"/>
        </w:rPr>
      </w:pPr>
    </w:p>
    <w:p w:rsidR="00511744" w:rsidRPr="00993DCB" w:rsidRDefault="00AC418C" w:rsidP="00713F54">
      <w:pPr>
        <w:jc w:val="center"/>
        <w:rPr>
          <w:rFonts w:ascii="Arial" w:hAnsi="Arial" w:cs="Arial"/>
          <w:b/>
          <w:bCs/>
          <w:sz w:val="18"/>
          <w:szCs w:val="18"/>
        </w:rPr>
      </w:pPr>
      <w:r w:rsidRPr="00993DCB">
        <w:rPr>
          <w:noProof/>
        </w:rPr>
        <w:drawing>
          <wp:inline distT="0" distB="0" distL="0" distR="0">
            <wp:extent cx="4141089" cy="1375258"/>
            <wp:effectExtent l="19050" t="0" r="11811" b="0"/>
            <wp:docPr id="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81761" w:rsidRDefault="00981761" w:rsidP="00981761">
      <w:pPr>
        <w:ind w:left="-14"/>
        <w:jc w:val="both"/>
        <w:rPr>
          <w:noProof/>
          <w:sz w:val="18"/>
          <w:szCs w:val="18"/>
        </w:rPr>
      </w:pPr>
    </w:p>
    <w:p w:rsidR="00713F54" w:rsidRDefault="00713F54" w:rsidP="008409F9">
      <w:pPr>
        <w:pStyle w:val="BodyText"/>
        <w:numPr>
          <w:ilvl w:val="0"/>
          <w:numId w:val="3"/>
        </w:numPr>
        <w:tabs>
          <w:tab w:val="num" w:pos="360"/>
        </w:tabs>
        <w:overflowPunct/>
        <w:autoSpaceDE/>
        <w:autoSpaceDN/>
        <w:adjustRightInd/>
        <w:ind w:left="142" w:hanging="142"/>
        <w:jc w:val="lowKashida"/>
        <w:textAlignment w:val="auto"/>
      </w:pPr>
      <w:r w:rsidRPr="00993DCB">
        <w:t>Around</w:t>
      </w:r>
      <w:r w:rsidR="008409F9">
        <w:t xml:space="preserve"> 92.0% of higher education establishments, 93.4% of schools, and 92.1% of kindergartens </w:t>
      </w:r>
      <w:r w:rsidR="008409F9" w:rsidRPr="00BD0EE3">
        <w:t xml:space="preserve">in </w:t>
      </w:r>
      <w:r w:rsidR="008409F9">
        <w:t>Palestine</w:t>
      </w:r>
      <w:r w:rsidR="008409F9" w:rsidRPr="00BD0EE3">
        <w:t xml:space="preserve"> </w:t>
      </w:r>
      <w:r w:rsidR="008409F9">
        <w:t xml:space="preserve">are supplied with </w:t>
      </w:r>
      <w:r w:rsidR="008409F9" w:rsidRPr="00BD0EE3">
        <w:t>water from a water network</w:t>
      </w:r>
      <w:r w:rsidR="008409F9">
        <w:t xml:space="preserve"> in 2014.  For </w:t>
      </w:r>
      <w:r w:rsidR="008409F9" w:rsidRPr="00993DCB">
        <w:t xml:space="preserve">health facilities </w:t>
      </w:r>
      <w:r w:rsidRPr="00993DCB">
        <w:t>93.0% of health facilities (governmental and non-governmental) in Palestine</w:t>
      </w:r>
      <w:r w:rsidR="008409F9">
        <w:t xml:space="preserve"> in 2014</w:t>
      </w:r>
      <w:r w:rsidRPr="00993DCB">
        <w:t xml:space="preserve"> are supplied with water from the public water network, 14.9% purchase water tanks, 9.8% of health facilities rely on a rainwater collection well, and 1.4%  are supplied from other sources. </w:t>
      </w:r>
    </w:p>
    <w:p w:rsidR="001A2CD9" w:rsidRDefault="00F24436" w:rsidP="004C43C7">
      <w:pPr>
        <w:pStyle w:val="BodyText"/>
        <w:numPr>
          <w:ilvl w:val="0"/>
          <w:numId w:val="3"/>
        </w:numPr>
        <w:tabs>
          <w:tab w:val="num" w:pos="360"/>
        </w:tabs>
        <w:overflowPunct/>
        <w:autoSpaceDE/>
        <w:autoSpaceDN/>
        <w:adjustRightInd/>
        <w:ind w:left="142" w:hanging="142"/>
        <w:jc w:val="lowKashida"/>
        <w:textAlignment w:val="auto"/>
      </w:pPr>
      <w:r w:rsidRPr="00993DCB">
        <w:lastRenderedPageBreak/>
        <w:t xml:space="preserve">Data for 2014 </w:t>
      </w:r>
      <w:r w:rsidR="004C43C7" w:rsidRPr="00993DCB">
        <w:t xml:space="preserve">showed that </w:t>
      </w:r>
      <w:r>
        <w:t>92.0</w:t>
      </w:r>
      <w:r w:rsidRPr="008C6565">
        <w:t xml:space="preserve">% of </w:t>
      </w:r>
      <w:r>
        <w:t>higher education</w:t>
      </w:r>
      <w:r w:rsidRPr="008C6565">
        <w:t xml:space="preserve"> establishments dispose </w:t>
      </w:r>
      <w:r>
        <w:t xml:space="preserve">of </w:t>
      </w:r>
      <w:r w:rsidRPr="008C6565">
        <w:t xml:space="preserve">wastewater through the </w:t>
      </w:r>
      <w:r>
        <w:t>wastewater</w:t>
      </w:r>
      <w:r w:rsidRPr="008C6565">
        <w:t xml:space="preserve"> network</w:t>
      </w:r>
      <w:r>
        <w:t xml:space="preserve"> and</w:t>
      </w:r>
      <w:r w:rsidRPr="008C6565">
        <w:t xml:space="preserve"> </w:t>
      </w:r>
      <w:r>
        <w:t>45.3</w:t>
      </w:r>
      <w:r w:rsidRPr="008C6565">
        <w:t xml:space="preserve">% of </w:t>
      </w:r>
      <w:r>
        <w:t>schools</w:t>
      </w:r>
      <w:r w:rsidRPr="008C6565">
        <w:t xml:space="preserve"> through the </w:t>
      </w:r>
      <w:r>
        <w:t>wastewater</w:t>
      </w:r>
      <w:r w:rsidRPr="008C6565">
        <w:t xml:space="preserve"> network</w:t>
      </w:r>
      <w:r>
        <w:t xml:space="preserve">. </w:t>
      </w:r>
      <w:r w:rsidR="001A2CD9" w:rsidRPr="00993DCB">
        <w:t xml:space="preserve">Data for </w:t>
      </w:r>
      <w:r w:rsidRPr="00993DCB">
        <w:t xml:space="preserve">health facilities </w:t>
      </w:r>
      <w:r>
        <w:t xml:space="preserve"> in </w:t>
      </w:r>
      <w:r w:rsidR="001A2CD9" w:rsidRPr="00993DCB">
        <w:t xml:space="preserve">2014 showed that 45.3% of health facilities (governmental and non-governmental) in Palestine dispose of wastewater </w:t>
      </w:r>
      <w:r w:rsidR="0000650F">
        <w:t>through</w:t>
      </w:r>
      <w:r w:rsidR="001A2CD9" w:rsidRPr="00993DCB">
        <w:t xml:space="preserve"> the wastewater network. </w:t>
      </w:r>
    </w:p>
    <w:p w:rsidR="008409F9" w:rsidRDefault="008409F9" w:rsidP="008409F9">
      <w:pPr>
        <w:pStyle w:val="ListParagraph"/>
      </w:pPr>
    </w:p>
    <w:p w:rsidR="001A2CD9" w:rsidRPr="00993DCB" w:rsidRDefault="001A2CD9" w:rsidP="00713F54">
      <w:pPr>
        <w:pStyle w:val="BodyText2"/>
        <w:numPr>
          <w:ilvl w:val="0"/>
          <w:numId w:val="3"/>
        </w:numPr>
        <w:tabs>
          <w:tab w:val="clear" w:pos="1920"/>
          <w:tab w:val="num" w:pos="142"/>
          <w:tab w:val="num" w:pos="360"/>
        </w:tabs>
        <w:overflowPunct/>
        <w:autoSpaceDE/>
        <w:autoSpaceDN/>
        <w:adjustRightInd/>
        <w:spacing w:after="120"/>
        <w:ind w:left="142" w:hanging="142"/>
        <w:textAlignment w:val="auto"/>
      </w:pPr>
      <w:r w:rsidRPr="008409F9">
        <w:t xml:space="preserve"> </w:t>
      </w:r>
      <w:r w:rsidR="008409F9" w:rsidRPr="008409F9">
        <w:rPr>
          <w:rFonts w:cs="Traditional Arabic"/>
        </w:rPr>
        <w:t xml:space="preserve">Data </w:t>
      </w:r>
      <w:r w:rsidR="008409F9" w:rsidRPr="008409F9">
        <w:t xml:space="preserve">for 2014 </w:t>
      </w:r>
      <w:r w:rsidR="008409F9" w:rsidRPr="008409F9">
        <w:rPr>
          <w:rFonts w:cs="Traditional Arabic"/>
        </w:rPr>
        <w:t>showed that local authorities transferred the solid waste from 92.0% of higher education establishments, 85.5% of schools and 84.9% of kindergartens in Palestine to the final disposal site.</w:t>
      </w:r>
      <w:r w:rsidR="00F24436">
        <w:t xml:space="preserve">  </w:t>
      </w:r>
      <w:r w:rsidRPr="00993DCB">
        <w:t xml:space="preserve">Data for 2014 revealed that </w:t>
      </w:r>
      <w:r w:rsidR="00713F54">
        <w:t>73.9</w:t>
      </w:r>
      <w:r w:rsidRPr="00993DCB">
        <w:t xml:space="preserve">% of  health facilities (governmental and non-governmental) disposed of waste </w:t>
      </w:r>
      <w:r w:rsidR="00713F54">
        <w:t>by</w:t>
      </w:r>
      <w:r w:rsidRPr="00993DCB">
        <w:t xml:space="preserve"> local authority.</w:t>
      </w:r>
    </w:p>
    <w:p w:rsidR="00507D5D" w:rsidRPr="00993DCB" w:rsidRDefault="00507D5D" w:rsidP="00511744">
      <w:pPr>
        <w:pStyle w:val="BodyText"/>
        <w:overflowPunct/>
        <w:autoSpaceDE/>
        <w:autoSpaceDN/>
        <w:adjustRightInd/>
        <w:ind w:left="142"/>
        <w:jc w:val="lowKashida"/>
        <w:textAlignment w:val="auto"/>
        <w:rPr>
          <w:sz w:val="16"/>
          <w:szCs w:val="16"/>
        </w:rPr>
      </w:pPr>
    </w:p>
    <w:p w:rsidR="009C673D" w:rsidRPr="00993DCB" w:rsidRDefault="009C673D" w:rsidP="009A45A3">
      <w:pPr>
        <w:pStyle w:val="ListParagraph"/>
        <w:bidi w:val="0"/>
        <w:ind w:left="0"/>
        <w:jc w:val="lowKashida"/>
        <w:rPr>
          <w:rFonts w:cs="Times New Roman"/>
          <w:i/>
          <w:iCs/>
          <w:sz w:val="20"/>
          <w:u w:val="single"/>
        </w:rPr>
      </w:pPr>
      <w:r w:rsidRPr="00993DCB">
        <w:rPr>
          <w:rFonts w:cs="Times New Roman"/>
          <w:i/>
          <w:iCs/>
          <w:sz w:val="20"/>
          <w:u w:val="single"/>
        </w:rPr>
        <w:t>For more detail</w:t>
      </w:r>
      <w:r w:rsidR="00654A09" w:rsidRPr="00993DCB">
        <w:rPr>
          <w:rFonts w:cs="Times New Roman"/>
          <w:i/>
          <w:iCs/>
          <w:sz w:val="20"/>
          <w:u w:val="single"/>
        </w:rPr>
        <w:t>s</w:t>
      </w:r>
      <w:r w:rsidRPr="00993DCB">
        <w:rPr>
          <w:rFonts w:cs="Times New Roman"/>
          <w:i/>
          <w:iCs/>
          <w:sz w:val="20"/>
          <w:u w:val="single"/>
        </w:rPr>
        <w:t xml:space="preserve"> about</w:t>
      </w:r>
      <w:r w:rsidR="000D29C8" w:rsidRPr="00993DCB">
        <w:rPr>
          <w:rFonts w:cs="Times New Roman"/>
          <w:i/>
          <w:iCs/>
          <w:sz w:val="20"/>
          <w:u w:val="single"/>
        </w:rPr>
        <w:t xml:space="preserve"> the</w:t>
      </w:r>
      <w:r w:rsidRPr="00993DCB">
        <w:rPr>
          <w:rFonts w:cs="Times New Roman"/>
          <w:i/>
          <w:iCs/>
          <w:sz w:val="20"/>
          <w:u w:val="single"/>
        </w:rPr>
        <w:t xml:space="preserve"> </w:t>
      </w:r>
      <w:r w:rsidR="000D29C8" w:rsidRPr="00993DCB">
        <w:rPr>
          <w:rFonts w:cs="Times New Roman"/>
          <w:i/>
          <w:iCs/>
          <w:sz w:val="20"/>
          <w:u w:val="single"/>
        </w:rPr>
        <w:t>e</w:t>
      </w:r>
      <w:r w:rsidRPr="00993DCB">
        <w:rPr>
          <w:rFonts w:cs="Times New Roman"/>
          <w:i/>
          <w:iCs/>
          <w:sz w:val="20"/>
          <w:u w:val="single"/>
        </w:rPr>
        <w:t>nvironment and</w:t>
      </w:r>
      <w:r w:rsidR="000D29C8" w:rsidRPr="00993DCB">
        <w:rPr>
          <w:rFonts w:cs="Times New Roman"/>
          <w:i/>
          <w:iCs/>
          <w:sz w:val="20"/>
          <w:u w:val="single"/>
        </w:rPr>
        <w:t xml:space="preserve"> n</w:t>
      </w:r>
      <w:r w:rsidRPr="00993DCB">
        <w:rPr>
          <w:rFonts w:cs="Times New Roman"/>
          <w:i/>
          <w:iCs/>
          <w:sz w:val="20"/>
          <w:u w:val="single"/>
        </w:rPr>
        <w:t xml:space="preserve">atural </w:t>
      </w:r>
      <w:r w:rsidR="000D29C8" w:rsidRPr="00993DCB">
        <w:rPr>
          <w:rFonts w:cs="Times New Roman"/>
          <w:i/>
          <w:iCs/>
          <w:sz w:val="20"/>
          <w:u w:val="single"/>
        </w:rPr>
        <w:t>r</w:t>
      </w:r>
      <w:r w:rsidRPr="00993DCB">
        <w:rPr>
          <w:rFonts w:cs="Times New Roman"/>
          <w:i/>
          <w:iCs/>
          <w:sz w:val="20"/>
          <w:u w:val="single"/>
        </w:rPr>
        <w:t>esources</w:t>
      </w:r>
      <w:r w:rsidR="000D29C8"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see</w:t>
      </w:r>
      <w:r w:rsidR="000D29C8" w:rsidRPr="00993DCB">
        <w:rPr>
          <w:rFonts w:cs="Times New Roman"/>
          <w:i/>
          <w:iCs/>
          <w:sz w:val="20"/>
          <w:u w:val="single"/>
        </w:rPr>
        <w:t xml:space="preserve"> the</w:t>
      </w:r>
      <w:r w:rsidR="0037009A" w:rsidRPr="00993DCB">
        <w:rPr>
          <w:rFonts w:cs="Times New Roman"/>
          <w:i/>
          <w:iCs/>
          <w:sz w:val="20"/>
          <w:u w:val="single"/>
        </w:rPr>
        <w:t xml:space="preserve"> tables </w:t>
      </w:r>
      <w:r w:rsidRPr="00993DCB">
        <w:rPr>
          <w:rFonts w:cs="Times New Roman"/>
          <w:i/>
          <w:iCs/>
          <w:sz w:val="20"/>
          <w:u w:val="single"/>
        </w:rPr>
        <w:t xml:space="preserve">in chapter 1.2 </w:t>
      </w:r>
      <w:r w:rsidR="000D29C8"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0D29C8" w:rsidRPr="00993DCB">
        <w:rPr>
          <w:rFonts w:cs="Times New Roman"/>
          <w:i/>
          <w:iCs/>
          <w:sz w:val="20"/>
          <w:u w:val="single"/>
        </w:rPr>
        <w:t xml:space="preserve">section, </w:t>
      </w:r>
      <w:r w:rsidRPr="00993DCB">
        <w:rPr>
          <w:rFonts w:cs="Times New Roman"/>
          <w:i/>
          <w:iCs/>
          <w:sz w:val="20"/>
          <w:u w:val="single"/>
        </w:rPr>
        <w:t>page</w:t>
      </w:r>
      <w:r w:rsidR="000D29C8" w:rsidRPr="00993DCB">
        <w:rPr>
          <w:rFonts w:cs="Times New Roman"/>
          <w:i/>
          <w:iCs/>
          <w:sz w:val="20"/>
          <w:u w:val="single"/>
        </w:rPr>
        <w:t>s</w:t>
      </w:r>
      <w:r w:rsidR="006A480D" w:rsidRPr="00993DCB">
        <w:rPr>
          <w:rFonts w:cs="Times New Roman"/>
          <w:i/>
          <w:iCs/>
          <w:sz w:val="20"/>
          <w:u w:val="single"/>
        </w:rPr>
        <w:t xml:space="preserve"> </w:t>
      </w:r>
      <w:r w:rsidR="003E7B2E" w:rsidRPr="00993DCB">
        <w:rPr>
          <w:rFonts w:cs="Times New Roman"/>
          <w:i/>
          <w:iCs/>
          <w:sz w:val="20"/>
          <w:u w:val="single"/>
        </w:rPr>
        <w:t>29-</w:t>
      </w:r>
      <w:r w:rsidR="009A45A3">
        <w:rPr>
          <w:rFonts w:cs="Times New Roman"/>
          <w:i/>
          <w:iCs/>
          <w:sz w:val="20"/>
          <w:u w:val="single"/>
        </w:rPr>
        <w:t>46</w:t>
      </w:r>
      <w:r w:rsidR="000D29C8" w:rsidRPr="00993DCB">
        <w:rPr>
          <w:rFonts w:cs="Times New Roman"/>
          <w:i/>
          <w:iCs/>
          <w:sz w:val="20"/>
          <w:u w:val="single"/>
        </w:rPr>
        <w:t>.</w:t>
      </w:r>
    </w:p>
    <w:p w:rsidR="00511744" w:rsidRPr="00993DCB" w:rsidRDefault="00511744" w:rsidP="00511744">
      <w:pPr>
        <w:pStyle w:val="ListParagraph"/>
        <w:bidi w:val="0"/>
        <w:ind w:left="0"/>
        <w:jc w:val="lowKashida"/>
        <w:rPr>
          <w:rFonts w:cs="Times New Roman"/>
          <w:i/>
          <w:iCs/>
          <w:sz w:val="20"/>
          <w:u w:val="single"/>
        </w:rPr>
      </w:pPr>
    </w:p>
    <w:p w:rsidR="00EB1A1F" w:rsidRPr="00993DCB" w:rsidRDefault="00EB1A1F" w:rsidP="00331B49">
      <w:pPr>
        <w:pStyle w:val="Title"/>
        <w:numPr>
          <w:ilvl w:val="0"/>
          <w:numId w:val="2"/>
        </w:numPr>
        <w:bidi w:val="0"/>
        <w:ind w:left="98" w:hanging="308"/>
        <w:jc w:val="left"/>
        <w:rPr>
          <w:rFonts w:cs="Traditional Arabic"/>
          <w:noProof w:val="0"/>
          <w:sz w:val="20"/>
          <w:szCs w:val="20"/>
          <w:rtl/>
        </w:rPr>
      </w:pPr>
      <w:r w:rsidRPr="00993DCB">
        <w:rPr>
          <w:rFonts w:cs="Traditional Arabic"/>
          <w:sz w:val="20"/>
          <w:szCs w:val="20"/>
        </w:rPr>
        <w:t xml:space="preserve">Population                                                         </w:t>
      </w:r>
    </w:p>
    <w:p w:rsidR="00853613" w:rsidRPr="00993DCB" w:rsidRDefault="00854415" w:rsidP="0000650F">
      <w:pPr>
        <w:pStyle w:val="BodyText"/>
        <w:numPr>
          <w:ilvl w:val="0"/>
          <w:numId w:val="3"/>
        </w:numPr>
        <w:tabs>
          <w:tab w:val="num" w:pos="360"/>
        </w:tabs>
        <w:overflowPunct/>
        <w:autoSpaceDE/>
        <w:autoSpaceDN/>
        <w:adjustRightInd/>
        <w:ind w:left="142" w:hanging="142"/>
        <w:jc w:val="lowKashida"/>
        <w:textAlignment w:val="auto"/>
      </w:pPr>
      <w:r>
        <w:rPr>
          <w:noProof/>
        </w:rPr>
        <w:drawing>
          <wp:anchor distT="0" distB="0" distL="114300" distR="114300" simplePos="0" relativeHeight="251661312" behindDoc="0" locked="0" layoutInCell="1" allowOverlap="1">
            <wp:simplePos x="0" y="0"/>
            <wp:positionH relativeFrom="column">
              <wp:posOffset>1012825</wp:posOffset>
            </wp:positionH>
            <wp:positionV relativeFrom="paragraph">
              <wp:posOffset>172085</wp:posOffset>
            </wp:positionV>
            <wp:extent cx="3375025" cy="4315460"/>
            <wp:effectExtent l="19050" t="0" r="0" b="0"/>
            <wp:wrapSquare wrapText="bothSides"/>
            <wp:docPr id="13" name="Picture 2" descr="G:\كتاب 2014\خرائط\عدد السكان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كتاب 2014\خرائط\عدد السكان انجليزي.jpg"/>
                    <pic:cNvPicPr>
                      <a:picLocks noChangeAspect="1" noChangeArrowheads="1"/>
                    </pic:cNvPicPr>
                  </pic:nvPicPr>
                  <pic:blipFill>
                    <a:blip r:embed="rId10"/>
                    <a:srcRect/>
                    <a:stretch>
                      <a:fillRect/>
                    </a:stretch>
                  </pic:blipFill>
                  <pic:spPr bwMode="auto">
                    <a:xfrm>
                      <a:off x="0" y="0"/>
                      <a:ext cx="3375025" cy="4315460"/>
                    </a:xfrm>
                    <a:prstGeom prst="rect">
                      <a:avLst/>
                    </a:prstGeom>
                    <a:noFill/>
                    <a:ln w="9525">
                      <a:noFill/>
                      <a:miter lim="800000"/>
                      <a:headEnd/>
                      <a:tailEnd/>
                    </a:ln>
                  </pic:spPr>
                </pic:pic>
              </a:graphicData>
            </a:graphic>
          </wp:anchor>
        </w:drawing>
      </w:r>
      <w:r w:rsidR="00853613" w:rsidRPr="00993DCB">
        <w:t xml:space="preserve">The population of </w:t>
      </w:r>
      <w:r w:rsidR="0021776D" w:rsidRPr="00993DCB">
        <w:t>Palestine</w:t>
      </w:r>
      <w:r w:rsidR="00853613" w:rsidRPr="00993DCB">
        <w:t xml:space="preserve"> was estimated at 4.</w:t>
      </w:r>
      <w:r w:rsidR="000B3D9A" w:rsidRPr="00993DCB">
        <w:t>55</w:t>
      </w:r>
      <w:r w:rsidR="00853613" w:rsidRPr="00993DCB">
        <w:t xml:space="preserve"> million at mid-</w:t>
      </w:r>
      <w:r w:rsidR="000B3D9A" w:rsidRPr="00993DCB">
        <w:t>2014</w:t>
      </w:r>
      <w:r w:rsidR="00853613" w:rsidRPr="00993DCB">
        <w:t>: 2.</w:t>
      </w:r>
      <w:r w:rsidR="001E51C5" w:rsidRPr="00993DCB">
        <w:t>7</w:t>
      </w:r>
      <w:r w:rsidR="000B3D9A" w:rsidRPr="00993DCB">
        <w:t>9</w:t>
      </w:r>
      <w:r w:rsidR="00853613" w:rsidRPr="00993DCB">
        <w:t xml:space="preserve"> million in the West Bank and</w:t>
      </w:r>
      <w:r w:rsidR="0000650F">
        <w:t xml:space="preserve"> </w:t>
      </w:r>
      <w:r w:rsidR="00853613" w:rsidRPr="00993DCB">
        <w:t>1.</w:t>
      </w:r>
      <w:r w:rsidR="00250031" w:rsidRPr="00993DCB">
        <w:t>7</w:t>
      </w:r>
      <w:r w:rsidR="000B3D9A" w:rsidRPr="00993DCB">
        <w:t>6</w:t>
      </w:r>
      <w:r w:rsidR="00853613" w:rsidRPr="00993DCB">
        <w:t xml:space="preserve"> million in </w:t>
      </w:r>
      <w:r w:rsidR="007C01D8" w:rsidRPr="00993DCB">
        <w:t>Gaza Strip</w:t>
      </w:r>
      <w:r w:rsidR="00853613" w:rsidRPr="00993DCB">
        <w:t>.</w:t>
      </w:r>
    </w:p>
    <w:p w:rsidR="00BB03BF" w:rsidRPr="0000650F" w:rsidRDefault="00BB03BF" w:rsidP="0000650F">
      <w:pPr>
        <w:pStyle w:val="BodyText"/>
        <w:overflowPunct/>
        <w:autoSpaceDE/>
        <w:autoSpaceDN/>
        <w:adjustRightInd/>
        <w:ind w:left="142"/>
        <w:jc w:val="lowKashida"/>
        <w:textAlignment w:val="auto"/>
      </w:pPr>
    </w:p>
    <w:p w:rsidR="00BB03BF" w:rsidRPr="00993DCB" w:rsidRDefault="00BB03BF" w:rsidP="00454622">
      <w:pPr>
        <w:pStyle w:val="BodyText"/>
        <w:numPr>
          <w:ilvl w:val="0"/>
          <w:numId w:val="3"/>
        </w:numPr>
        <w:tabs>
          <w:tab w:val="num" w:pos="360"/>
        </w:tabs>
        <w:overflowPunct/>
        <w:autoSpaceDE/>
        <w:autoSpaceDN/>
        <w:adjustRightInd/>
        <w:ind w:left="142" w:hanging="142"/>
        <w:jc w:val="lowKashida"/>
        <w:textAlignment w:val="auto"/>
      </w:pPr>
      <w:r w:rsidRPr="00993DCB">
        <w:t xml:space="preserve">The population of </w:t>
      </w:r>
      <w:r w:rsidR="0021776D" w:rsidRPr="00993DCB">
        <w:t>Palestine</w:t>
      </w:r>
      <w:r w:rsidRPr="00993DCB">
        <w:t xml:space="preserve"> is young: </w:t>
      </w:r>
      <w:r w:rsidR="00C26565" w:rsidRPr="00993DCB">
        <w:t>39.7</w:t>
      </w:r>
      <w:r w:rsidRPr="00993DCB">
        <w:t xml:space="preserve">% of the total population were aged </w:t>
      </w:r>
      <w:r w:rsidR="0000650F">
        <w:t>under</w:t>
      </w:r>
      <w:r w:rsidRPr="00993DCB">
        <w:t xml:space="preserve"> 1</w:t>
      </w:r>
      <w:r w:rsidR="00454622">
        <w:t>5</w:t>
      </w:r>
      <w:r w:rsidRPr="00993DCB">
        <w:t xml:space="preserve"> years in mid-</w:t>
      </w:r>
      <w:r w:rsidR="00C26565" w:rsidRPr="00993DCB">
        <w:t>2014</w:t>
      </w:r>
      <w:r w:rsidRPr="00993DCB">
        <w:t xml:space="preserve">: </w:t>
      </w:r>
      <w:r w:rsidR="00C26565" w:rsidRPr="00993DCB">
        <w:t>37.6</w:t>
      </w:r>
      <w:r w:rsidRPr="00993DCB">
        <w:t xml:space="preserve">% in the West Bank and </w:t>
      </w:r>
      <w:r w:rsidR="00C26565" w:rsidRPr="00993DCB">
        <w:t>43.2</w:t>
      </w:r>
      <w:r w:rsidRPr="00993DCB">
        <w:t xml:space="preserve">% in </w:t>
      </w:r>
      <w:r w:rsidR="00854415">
        <w:t>Gaza Strip</w:t>
      </w:r>
      <w:r w:rsidRPr="00993DCB">
        <w:t xml:space="preserve">.  Persons aged 65 and over </w:t>
      </w:r>
      <w:r w:rsidR="0000650F">
        <w:t>constitute</w:t>
      </w:r>
      <w:r w:rsidRPr="00993DCB">
        <w:t xml:space="preserve"> </w:t>
      </w:r>
      <w:r w:rsidR="00C26565" w:rsidRPr="00993DCB">
        <w:t>2.9</w:t>
      </w:r>
      <w:r w:rsidRPr="00993DCB">
        <w:t xml:space="preserve">% of the total population: </w:t>
      </w:r>
      <w:r w:rsidR="00C26565" w:rsidRPr="00993DCB">
        <w:t>3.2</w:t>
      </w:r>
      <w:r w:rsidRPr="00993DCB">
        <w:t xml:space="preserve">% in the West Bank and </w:t>
      </w:r>
      <w:r w:rsidR="00C26565" w:rsidRPr="00993DCB">
        <w:t>2.4</w:t>
      </w:r>
      <w:r w:rsidRPr="00993DCB">
        <w:t xml:space="preserve">% in </w:t>
      </w:r>
      <w:r w:rsidR="007C01D8" w:rsidRPr="00993DCB">
        <w:t>Gaza Strip</w:t>
      </w:r>
      <w:r w:rsidRPr="00993DCB">
        <w:t>. </w:t>
      </w:r>
    </w:p>
    <w:p w:rsidR="008D4636" w:rsidRPr="0000650F" w:rsidRDefault="008D4636" w:rsidP="0000650F">
      <w:pPr>
        <w:pStyle w:val="BodyText"/>
        <w:overflowPunct/>
        <w:autoSpaceDE/>
        <w:autoSpaceDN/>
        <w:adjustRightInd/>
        <w:ind w:left="142"/>
        <w:jc w:val="lowKashida"/>
        <w:textAlignment w:val="auto"/>
      </w:pPr>
    </w:p>
    <w:p w:rsidR="00BB03BF" w:rsidRDefault="00BB03BF" w:rsidP="00C86E7A">
      <w:pPr>
        <w:pStyle w:val="BodyText"/>
        <w:numPr>
          <w:ilvl w:val="0"/>
          <w:numId w:val="3"/>
        </w:numPr>
        <w:tabs>
          <w:tab w:val="num" w:pos="360"/>
        </w:tabs>
        <w:overflowPunct/>
        <w:autoSpaceDE/>
        <w:autoSpaceDN/>
        <w:adjustRightInd/>
        <w:ind w:left="142" w:hanging="142"/>
        <w:jc w:val="left"/>
        <w:textAlignment w:val="auto"/>
      </w:pPr>
      <w:r w:rsidRPr="00993DCB">
        <w:t>The</w:t>
      </w:r>
      <w:r w:rsidR="0000650F">
        <w:t xml:space="preserve"> </w:t>
      </w:r>
      <w:r w:rsidRPr="00993DCB">
        <w:t xml:space="preserve">total fertility rate in </w:t>
      </w:r>
      <w:r w:rsidR="0021776D" w:rsidRPr="00993DCB">
        <w:t>Palestine</w:t>
      </w:r>
      <w:r w:rsidRPr="00993DCB">
        <w:t xml:space="preserve"> between </w:t>
      </w:r>
      <w:r w:rsidR="00E7527E">
        <w:t>2011</w:t>
      </w:r>
      <w:r w:rsidR="007C0C59">
        <w:t xml:space="preserve"> and </w:t>
      </w:r>
      <w:r w:rsidR="00E7527E">
        <w:t>2013</w:t>
      </w:r>
      <w:r w:rsidRPr="00993DCB">
        <w:t xml:space="preserve"> was 4.</w:t>
      </w:r>
      <w:r w:rsidR="00E7527E">
        <w:t>1</w:t>
      </w:r>
      <w:r w:rsidRPr="00993DCB">
        <w:t xml:space="preserve"> births: </w:t>
      </w:r>
      <w:r w:rsidR="00E7527E">
        <w:t>3.7</w:t>
      </w:r>
      <w:r w:rsidRPr="00993DCB">
        <w:t xml:space="preserve"> births in the West Bank and </w:t>
      </w:r>
      <w:r w:rsidR="00E7527E">
        <w:t>4.5</w:t>
      </w:r>
      <w:r w:rsidR="00A27DFC" w:rsidRPr="00993DCB">
        <w:t xml:space="preserve"> </w:t>
      </w:r>
      <w:r w:rsidRPr="00993DCB">
        <w:t>births in</w:t>
      </w:r>
      <w:r w:rsidR="007F5CEB" w:rsidRPr="00993DCB">
        <w:t xml:space="preserve"> </w:t>
      </w:r>
      <w:r w:rsidR="007C01D8" w:rsidRPr="00993DCB">
        <w:t>Gaza Strip</w:t>
      </w:r>
      <w:r w:rsidRPr="00993DCB">
        <w:t>.</w:t>
      </w:r>
    </w:p>
    <w:p w:rsidR="00D67BA0" w:rsidRPr="00993DCB" w:rsidRDefault="00D67BA0" w:rsidP="00D67BA0">
      <w:pPr>
        <w:pStyle w:val="BodyText"/>
        <w:overflowPunct/>
        <w:autoSpaceDE/>
        <w:autoSpaceDN/>
        <w:adjustRightInd/>
        <w:jc w:val="left"/>
        <w:textAlignment w:val="auto"/>
      </w:pPr>
    </w:p>
    <w:p w:rsidR="00017619" w:rsidRPr="00993DCB" w:rsidRDefault="00017619" w:rsidP="00D67BA0">
      <w:pPr>
        <w:pStyle w:val="BodyText"/>
        <w:numPr>
          <w:ilvl w:val="0"/>
          <w:numId w:val="3"/>
        </w:numPr>
        <w:tabs>
          <w:tab w:val="num" w:pos="360"/>
        </w:tabs>
        <w:overflowPunct/>
        <w:autoSpaceDE/>
        <w:autoSpaceDN/>
        <w:adjustRightInd/>
        <w:ind w:left="142" w:hanging="142"/>
        <w:jc w:val="lowKashida"/>
        <w:textAlignment w:val="auto"/>
      </w:pPr>
      <w:r w:rsidRPr="00993DCB">
        <w:t xml:space="preserve">The </w:t>
      </w:r>
      <w:r w:rsidR="00D67BA0">
        <w:t xml:space="preserve">Annual </w:t>
      </w:r>
      <w:r w:rsidR="000A7477">
        <w:t>growth rate</w:t>
      </w:r>
      <w:r w:rsidR="00443F3F" w:rsidRPr="00443F3F">
        <w:t xml:space="preserve"> </w:t>
      </w:r>
      <w:r w:rsidRPr="00993DCB">
        <w:t>of the Palestinian population was 2.9% in Palestine in 2014: 2.</w:t>
      </w:r>
      <w:r w:rsidR="001F4E37">
        <w:t>6</w:t>
      </w:r>
      <w:r w:rsidRPr="00993DCB">
        <w:t>% in the West Bank and 3.4% in Gaza Strip.</w:t>
      </w:r>
    </w:p>
    <w:p w:rsidR="0000650F" w:rsidRPr="0000650F" w:rsidRDefault="0000650F" w:rsidP="0000650F">
      <w:pPr>
        <w:pStyle w:val="BodyText"/>
        <w:overflowPunct/>
        <w:autoSpaceDE/>
        <w:autoSpaceDN/>
        <w:adjustRightInd/>
        <w:ind w:left="142"/>
        <w:jc w:val="lowKashida"/>
        <w:textAlignment w:val="auto"/>
      </w:pPr>
    </w:p>
    <w:p w:rsidR="0000650F" w:rsidRPr="00993DCB" w:rsidRDefault="0000650F" w:rsidP="0000650F">
      <w:pPr>
        <w:pStyle w:val="BodyText"/>
        <w:numPr>
          <w:ilvl w:val="0"/>
          <w:numId w:val="3"/>
        </w:numPr>
        <w:tabs>
          <w:tab w:val="num" w:pos="360"/>
        </w:tabs>
        <w:overflowPunct/>
        <w:autoSpaceDE/>
        <w:autoSpaceDN/>
        <w:adjustRightInd/>
        <w:ind w:left="142" w:hanging="142"/>
        <w:jc w:val="lowKashida"/>
        <w:textAlignment w:val="auto"/>
      </w:pPr>
      <w:r w:rsidRPr="00993DCB">
        <w:t>In 2014, life expectancy at birth in Palestine was 73.2: 71.8 years for males and 74.7 years for females.</w:t>
      </w:r>
    </w:p>
    <w:p w:rsidR="00017619" w:rsidRPr="0000650F" w:rsidRDefault="00017619" w:rsidP="0000650F">
      <w:pPr>
        <w:pStyle w:val="BodyText"/>
        <w:overflowPunct/>
        <w:autoSpaceDE/>
        <w:autoSpaceDN/>
        <w:adjustRightInd/>
        <w:ind w:left="142"/>
        <w:jc w:val="lowKashida"/>
        <w:textAlignment w:val="auto"/>
      </w:pPr>
    </w:p>
    <w:p w:rsidR="00017619" w:rsidRDefault="00017619" w:rsidP="00331B49">
      <w:pPr>
        <w:pStyle w:val="BodyText"/>
        <w:numPr>
          <w:ilvl w:val="0"/>
          <w:numId w:val="3"/>
        </w:numPr>
        <w:tabs>
          <w:tab w:val="num" w:pos="360"/>
        </w:tabs>
        <w:overflowPunct/>
        <w:autoSpaceDE/>
        <w:autoSpaceDN/>
        <w:adjustRightInd/>
        <w:ind w:left="142" w:hanging="142"/>
        <w:jc w:val="lowKashida"/>
        <w:textAlignment w:val="auto"/>
      </w:pPr>
      <w:r w:rsidRPr="00993DCB">
        <w:t>In 2013 Palestinian refugees constituted 41.2% of the total population: 26.1% in the West Bank and 65.3</w:t>
      </w:r>
      <w:r w:rsidRPr="00993DCB">
        <w:rPr>
          <w:rtl/>
        </w:rPr>
        <w:t xml:space="preserve"> </w:t>
      </w:r>
      <w:r w:rsidRPr="00993DCB">
        <w:t>% in Gaza Strip.</w:t>
      </w:r>
    </w:p>
    <w:p w:rsidR="0000650F" w:rsidRDefault="0000650F" w:rsidP="0000650F">
      <w:pPr>
        <w:pStyle w:val="BodyText"/>
        <w:overflowPunct/>
        <w:autoSpaceDE/>
        <w:autoSpaceDN/>
        <w:adjustRightInd/>
        <w:ind w:left="142"/>
        <w:jc w:val="lowKashida"/>
        <w:textAlignment w:val="auto"/>
      </w:pPr>
    </w:p>
    <w:p w:rsidR="0000650F" w:rsidRDefault="0000650F" w:rsidP="0000650F">
      <w:pPr>
        <w:pStyle w:val="BodyText"/>
        <w:numPr>
          <w:ilvl w:val="0"/>
          <w:numId w:val="3"/>
        </w:numPr>
        <w:tabs>
          <w:tab w:val="num" w:pos="360"/>
        </w:tabs>
        <w:overflowPunct/>
        <w:autoSpaceDE/>
        <w:autoSpaceDN/>
        <w:adjustRightInd/>
        <w:ind w:left="142" w:hanging="142"/>
        <w:jc w:val="lowKashida"/>
        <w:textAlignment w:val="auto"/>
      </w:pPr>
      <w:r w:rsidRPr="00993DCB">
        <w:t>The average household size in Palestine was 5.2</w:t>
      </w:r>
      <w:r w:rsidR="00587632">
        <w:t xml:space="preserve"> person</w:t>
      </w:r>
      <w:r w:rsidRPr="00993DCB">
        <w:t xml:space="preserve"> in 2013: 4.9 in the West Bank and 5.8 in Gaza Strip.</w:t>
      </w:r>
    </w:p>
    <w:p w:rsidR="0000650F" w:rsidRDefault="0000650F" w:rsidP="0000650F">
      <w:pPr>
        <w:pStyle w:val="BodyText"/>
        <w:overflowPunct/>
        <w:autoSpaceDE/>
        <w:autoSpaceDN/>
        <w:adjustRightInd/>
        <w:ind w:left="142"/>
        <w:jc w:val="lowKashida"/>
        <w:textAlignment w:val="auto"/>
      </w:pPr>
    </w:p>
    <w:p w:rsidR="0000650F" w:rsidRPr="00993DCB" w:rsidRDefault="0000650F" w:rsidP="0000650F">
      <w:pPr>
        <w:pStyle w:val="BodyText"/>
        <w:numPr>
          <w:ilvl w:val="0"/>
          <w:numId w:val="3"/>
        </w:numPr>
        <w:tabs>
          <w:tab w:val="num" w:pos="360"/>
        </w:tabs>
        <w:overflowPunct/>
        <w:autoSpaceDE/>
        <w:autoSpaceDN/>
        <w:adjustRightInd/>
        <w:ind w:left="142" w:hanging="142"/>
        <w:jc w:val="lowKashida"/>
        <w:textAlignment w:val="auto"/>
      </w:pPr>
      <w:r>
        <w:t>84.4</w:t>
      </w:r>
      <w:r w:rsidRPr="00993DCB">
        <w:t xml:space="preserve">% of households were nuclear households in Palestine in </w:t>
      </w:r>
      <w:r>
        <w:t>2014</w:t>
      </w:r>
      <w:r w:rsidRPr="00993DCB">
        <w:t>.</w:t>
      </w:r>
    </w:p>
    <w:p w:rsidR="00017619" w:rsidRPr="0000650F" w:rsidRDefault="00017619" w:rsidP="0000650F">
      <w:pPr>
        <w:pStyle w:val="BodyText"/>
        <w:overflowPunct/>
        <w:autoSpaceDE/>
        <w:autoSpaceDN/>
        <w:adjustRightInd/>
        <w:ind w:left="142"/>
        <w:jc w:val="lowKashida"/>
        <w:textAlignment w:val="auto"/>
        <w:rPr>
          <w:rtl/>
        </w:rPr>
      </w:pPr>
    </w:p>
    <w:p w:rsidR="00017619" w:rsidRDefault="001F4E37" w:rsidP="00E7527E">
      <w:pPr>
        <w:pStyle w:val="BodyText"/>
        <w:numPr>
          <w:ilvl w:val="0"/>
          <w:numId w:val="3"/>
        </w:numPr>
        <w:tabs>
          <w:tab w:val="num" w:pos="360"/>
        </w:tabs>
        <w:overflowPunct/>
        <w:autoSpaceDE/>
        <w:autoSpaceDN/>
        <w:adjustRightInd/>
        <w:ind w:left="142" w:hanging="142"/>
        <w:jc w:val="lowKashida"/>
        <w:textAlignment w:val="auto"/>
      </w:pPr>
      <w:r>
        <w:t>9.2</w:t>
      </w:r>
      <w:r w:rsidR="00017619" w:rsidRPr="00993DCB">
        <w:t xml:space="preserve">% of households were headed by females in Palestine in </w:t>
      </w:r>
      <w:r w:rsidR="00E7527E">
        <w:t>2014</w:t>
      </w:r>
      <w:r w:rsidR="00017619" w:rsidRPr="00993DCB">
        <w:t>.</w:t>
      </w:r>
    </w:p>
    <w:p w:rsidR="0000650F" w:rsidRDefault="0000650F" w:rsidP="0000650F">
      <w:pPr>
        <w:pStyle w:val="ListParagraph"/>
      </w:pPr>
    </w:p>
    <w:p w:rsidR="009C673D" w:rsidRPr="00993DCB" w:rsidRDefault="009C673D" w:rsidP="00FE7ECC">
      <w:pPr>
        <w:pStyle w:val="ListParagraph"/>
        <w:bidi w:val="0"/>
        <w:ind w:left="0"/>
        <w:jc w:val="lowKashida"/>
        <w:rPr>
          <w:rFonts w:cs="Times New Roman"/>
          <w:i/>
          <w:iCs/>
          <w:sz w:val="20"/>
          <w:u w:val="single"/>
        </w:rPr>
      </w:pPr>
      <w:r w:rsidRPr="00993DCB">
        <w:rPr>
          <w:rFonts w:cs="Times New Roman"/>
          <w:i/>
          <w:iCs/>
          <w:sz w:val="20"/>
          <w:u w:val="single"/>
        </w:rPr>
        <w:t>For more detail</w:t>
      </w:r>
      <w:r w:rsidR="002C3479" w:rsidRPr="00993DCB">
        <w:rPr>
          <w:rFonts w:cs="Times New Roman"/>
          <w:i/>
          <w:iCs/>
          <w:sz w:val="20"/>
          <w:u w:val="single"/>
        </w:rPr>
        <w:t>s</w:t>
      </w:r>
      <w:r w:rsidRPr="00993DCB">
        <w:rPr>
          <w:rFonts w:cs="Times New Roman"/>
          <w:i/>
          <w:iCs/>
          <w:sz w:val="20"/>
          <w:u w:val="single"/>
        </w:rPr>
        <w:t xml:space="preserve"> </w:t>
      </w:r>
      <w:r w:rsidR="002C3479" w:rsidRPr="00993DCB">
        <w:rPr>
          <w:rFonts w:cs="Times New Roman"/>
          <w:i/>
          <w:iCs/>
          <w:sz w:val="20"/>
          <w:u w:val="single"/>
        </w:rPr>
        <w:t>on p</w:t>
      </w:r>
      <w:r w:rsidRPr="00993DCB">
        <w:rPr>
          <w:rFonts w:cs="Times New Roman"/>
          <w:i/>
          <w:iCs/>
          <w:sz w:val="20"/>
          <w:u w:val="single"/>
        </w:rPr>
        <w:t>opulation</w:t>
      </w:r>
      <w:r w:rsidR="002C3479"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5B4E65"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1.3 in </w:t>
      </w:r>
      <w:r w:rsidR="002C3479" w:rsidRPr="00993DCB">
        <w:rPr>
          <w:rFonts w:cs="Times New Roman"/>
          <w:i/>
          <w:iCs/>
          <w:sz w:val="20"/>
          <w:u w:val="single"/>
        </w:rPr>
        <w:t xml:space="preserve">the </w:t>
      </w:r>
      <w:r w:rsidR="00654A09" w:rsidRPr="00993DCB">
        <w:rPr>
          <w:rFonts w:cs="Times New Roman"/>
          <w:i/>
          <w:iCs/>
          <w:sz w:val="20"/>
          <w:u w:val="single"/>
        </w:rPr>
        <w:t>Arabic</w:t>
      </w:r>
      <w:r w:rsidRPr="00993DCB">
        <w:rPr>
          <w:rFonts w:cs="Times New Roman"/>
          <w:i/>
          <w:iCs/>
          <w:sz w:val="20"/>
          <w:u w:val="single"/>
        </w:rPr>
        <w:t xml:space="preserve"> </w:t>
      </w:r>
      <w:r w:rsidR="002C3479" w:rsidRPr="00993DCB">
        <w:rPr>
          <w:rFonts w:cs="Times New Roman"/>
          <w:i/>
          <w:iCs/>
          <w:sz w:val="20"/>
          <w:u w:val="single"/>
        </w:rPr>
        <w:t xml:space="preserve">section, </w:t>
      </w:r>
      <w:r w:rsidRPr="00993DCB">
        <w:rPr>
          <w:rFonts w:cs="Times New Roman"/>
          <w:i/>
          <w:iCs/>
          <w:sz w:val="20"/>
          <w:u w:val="single"/>
        </w:rPr>
        <w:t>page</w:t>
      </w:r>
      <w:r w:rsidR="002C3479" w:rsidRPr="00993DCB">
        <w:rPr>
          <w:rFonts w:cs="Times New Roman"/>
          <w:i/>
          <w:iCs/>
          <w:sz w:val="20"/>
          <w:u w:val="single"/>
        </w:rPr>
        <w:t>s</w:t>
      </w:r>
      <w:r w:rsidR="006A480D" w:rsidRPr="00993DCB">
        <w:rPr>
          <w:rFonts w:cs="Times New Roman"/>
          <w:i/>
          <w:iCs/>
          <w:sz w:val="20"/>
          <w:u w:val="single"/>
        </w:rPr>
        <w:t xml:space="preserve"> </w:t>
      </w:r>
      <w:r w:rsidR="00FE7ECC">
        <w:rPr>
          <w:rFonts w:cs="Times New Roman"/>
          <w:i/>
          <w:iCs/>
          <w:sz w:val="20"/>
          <w:u w:val="single"/>
        </w:rPr>
        <w:t>47</w:t>
      </w:r>
      <w:r w:rsidR="003E7B2E" w:rsidRPr="00993DCB">
        <w:rPr>
          <w:rFonts w:cs="Times New Roman"/>
          <w:i/>
          <w:iCs/>
          <w:sz w:val="20"/>
          <w:u w:val="single"/>
        </w:rPr>
        <w:t>-</w:t>
      </w:r>
      <w:r w:rsidR="00FE7ECC">
        <w:rPr>
          <w:rFonts w:cs="Times New Roman"/>
          <w:i/>
          <w:iCs/>
          <w:sz w:val="20"/>
          <w:u w:val="single"/>
        </w:rPr>
        <w:t>54</w:t>
      </w:r>
      <w:r w:rsidR="002C3479" w:rsidRPr="00993DCB">
        <w:rPr>
          <w:rFonts w:cs="Times New Roman"/>
          <w:i/>
          <w:iCs/>
          <w:sz w:val="20"/>
          <w:u w:val="single"/>
        </w:rPr>
        <w:t>.</w:t>
      </w:r>
    </w:p>
    <w:p w:rsidR="007F5CEB" w:rsidRPr="00993DCB" w:rsidRDefault="007F5CEB" w:rsidP="007F5CEB">
      <w:pPr>
        <w:pStyle w:val="ListParagraph"/>
        <w:bidi w:val="0"/>
        <w:ind w:left="0"/>
        <w:jc w:val="lowKashida"/>
        <w:rPr>
          <w:rFonts w:cs="Times New Roman"/>
          <w:i/>
          <w:iCs/>
          <w:sz w:val="20"/>
          <w:u w:val="single"/>
        </w:rPr>
      </w:pPr>
    </w:p>
    <w:p w:rsidR="00EB1A1F" w:rsidRPr="00993DCB" w:rsidRDefault="00EB1A1F"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Vital Statistics            </w:t>
      </w:r>
    </w:p>
    <w:p w:rsidR="000106C1" w:rsidRDefault="000106C1" w:rsidP="000106C1">
      <w:pPr>
        <w:pStyle w:val="BodyText"/>
        <w:numPr>
          <w:ilvl w:val="0"/>
          <w:numId w:val="3"/>
        </w:numPr>
        <w:tabs>
          <w:tab w:val="num" w:pos="360"/>
        </w:tabs>
        <w:overflowPunct/>
        <w:autoSpaceDE/>
        <w:autoSpaceDN/>
        <w:adjustRightInd/>
        <w:ind w:left="142" w:hanging="142"/>
        <w:jc w:val="lowKashida"/>
        <w:textAlignment w:val="auto"/>
      </w:pPr>
      <w:r>
        <w:t xml:space="preserve">The </w:t>
      </w:r>
      <w:r w:rsidRPr="007A1711">
        <w:t>Data</w:t>
      </w:r>
      <w:r>
        <w:t xml:space="preserve"> of </w:t>
      </w:r>
      <w:r w:rsidRPr="00993DCB">
        <w:t>registered</w:t>
      </w:r>
      <w:r w:rsidRPr="000106C1">
        <w:t xml:space="preserve"> </w:t>
      </w:r>
      <w:r w:rsidRPr="007A1711">
        <w:t>births does not include Jerusalem ID holders</w:t>
      </w:r>
      <w:r>
        <w:t>, t</w:t>
      </w:r>
      <w:r w:rsidR="0029075F" w:rsidRPr="007A1711">
        <w:t xml:space="preserve">he number of live births </w:t>
      </w:r>
      <w:r w:rsidR="001A36C7" w:rsidRPr="007A1711">
        <w:t xml:space="preserve">registered </w:t>
      </w:r>
      <w:r w:rsidR="0029075F" w:rsidRPr="007A1711">
        <w:t>in the West Bank was 71,705</w:t>
      </w:r>
      <w:r w:rsidR="001A36C7" w:rsidRPr="007A1711">
        <w:t xml:space="preserve"> in 2010</w:t>
      </w:r>
      <w:r w:rsidR="0029075F" w:rsidRPr="007A1711">
        <w:t>, 68,197</w:t>
      </w:r>
      <w:r w:rsidR="001A36C7" w:rsidRPr="007A1711">
        <w:t xml:space="preserve"> in 2011</w:t>
      </w:r>
      <w:r w:rsidR="0029075F" w:rsidRPr="007A1711">
        <w:t xml:space="preserve">, and 64,895 </w:t>
      </w:r>
      <w:r w:rsidR="001A36C7" w:rsidRPr="007A1711">
        <w:t>in 2012</w:t>
      </w:r>
      <w:r w:rsidR="00930C14" w:rsidRPr="007A1711">
        <w:t>, and</w:t>
      </w:r>
      <w:r w:rsidR="0029075F" w:rsidRPr="007A1711">
        <w:t xml:space="preserve"> </w:t>
      </w:r>
      <w:r w:rsidR="00930C14" w:rsidRPr="007A1711">
        <w:t>the number of live births registered in Gaza Strip was 62,026 in 2010, 59,629 in 2011 and 58,558 in 2012.</w:t>
      </w:r>
      <w:r w:rsidR="007A1711" w:rsidRPr="007A1711">
        <w:t xml:space="preserve"> </w:t>
      </w:r>
    </w:p>
    <w:p w:rsidR="000106C1" w:rsidRPr="000106C1" w:rsidRDefault="000106C1" w:rsidP="000106C1">
      <w:pPr>
        <w:pStyle w:val="BodyText"/>
        <w:overflowPunct/>
        <w:autoSpaceDE/>
        <w:autoSpaceDN/>
        <w:adjustRightInd/>
        <w:ind w:left="142"/>
        <w:jc w:val="lowKashida"/>
        <w:textAlignment w:val="auto"/>
      </w:pPr>
    </w:p>
    <w:p w:rsidR="00CE5C3E" w:rsidRPr="00993DCB" w:rsidRDefault="00CE5C3E" w:rsidP="00CE5C3E">
      <w:pPr>
        <w:pStyle w:val="BodyText"/>
        <w:numPr>
          <w:ilvl w:val="0"/>
          <w:numId w:val="3"/>
        </w:numPr>
        <w:tabs>
          <w:tab w:val="num" w:pos="360"/>
        </w:tabs>
        <w:overflowPunct/>
        <w:autoSpaceDE/>
        <w:autoSpaceDN/>
        <w:adjustRightInd/>
        <w:ind w:left="142" w:hanging="142"/>
        <w:jc w:val="lowKashida"/>
        <w:textAlignment w:val="auto"/>
      </w:pPr>
      <w:r w:rsidRPr="00993DCB">
        <w:t xml:space="preserve">The median age at first marriage in Palestine was 20.2 years for females and 24.7 years for males in 2013.  </w:t>
      </w:r>
    </w:p>
    <w:p w:rsidR="0029075F" w:rsidRPr="002076DF" w:rsidRDefault="002076DF" w:rsidP="0029075F">
      <w:pPr>
        <w:pStyle w:val="BodyText"/>
        <w:overflowPunct/>
        <w:autoSpaceDE/>
        <w:autoSpaceDN/>
        <w:adjustRightInd/>
        <w:jc w:val="lowKashida"/>
        <w:textAlignment w:val="auto"/>
        <w:rPr>
          <w:sz w:val="10"/>
          <w:szCs w:val="10"/>
        </w:rPr>
      </w:pPr>
      <w:r>
        <w:rPr>
          <w:rFonts w:hint="cs"/>
          <w:sz w:val="10"/>
          <w:szCs w:val="10"/>
          <w:rtl/>
        </w:rPr>
        <w:t>.</w:t>
      </w:r>
    </w:p>
    <w:p w:rsidR="00017619" w:rsidRPr="00993DCB" w:rsidRDefault="00017619" w:rsidP="00CE5C3E">
      <w:pPr>
        <w:pStyle w:val="BodyText"/>
        <w:numPr>
          <w:ilvl w:val="0"/>
          <w:numId w:val="3"/>
        </w:numPr>
        <w:tabs>
          <w:tab w:val="num" w:pos="360"/>
        </w:tabs>
        <w:overflowPunct/>
        <w:autoSpaceDE/>
        <w:autoSpaceDN/>
        <w:adjustRightInd/>
        <w:ind w:left="142" w:hanging="142"/>
        <w:jc w:val="lowKashida"/>
        <w:textAlignment w:val="auto"/>
      </w:pPr>
      <w:r w:rsidRPr="00993DCB">
        <w:t xml:space="preserve">The number of registered marriages in 2013 </w:t>
      </w:r>
      <w:r w:rsidR="00CE5C3E">
        <w:t>at</w:t>
      </w:r>
      <w:r w:rsidRPr="00993DCB">
        <w:t xml:space="preserve"> </w:t>
      </w:r>
      <w:proofErr w:type="spellStart"/>
      <w:r w:rsidR="00307709" w:rsidRPr="00307709">
        <w:t>Sharia</w:t>
      </w:r>
      <w:proofErr w:type="spellEnd"/>
      <w:r w:rsidRPr="00993DCB">
        <w:t xml:space="preserve"> courts and churches in Palestine was 42,698</w:t>
      </w:r>
      <w:r w:rsidR="00FE563C">
        <w:t>,</w:t>
      </w:r>
      <w:r w:rsidRPr="00993DCB">
        <w:t xml:space="preserve"> comprising 25,388 contracts in the West Bank and 17,310 contracts in Gaza Strip.</w:t>
      </w:r>
    </w:p>
    <w:p w:rsidR="00EC1272" w:rsidRPr="00993DCB" w:rsidRDefault="00EC1272" w:rsidP="00EC1272">
      <w:pPr>
        <w:pStyle w:val="BodyText"/>
        <w:overflowPunct/>
        <w:autoSpaceDE/>
        <w:autoSpaceDN/>
        <w:adjustRightInd/>
        <w:ind w:left="142" w:right="720"/>
        <w:jc w:val="lowKashida"/>
        <w:textAlignment w:val="auto"/>
      </w:pPr>
    </w:p>
    <w:p w:rsidR="00F80FEC" w:rsidRPr="00993DCB" w:rsidRDefault="00F80FEC" w:rsidP="001F4E37">
      <w:pPr>
        <w:pStyle w:val="BodyText"/>
        <w:numPr>
          <w:ilvl w:val="0"/>
          <w:numId w:val="3"/>
        </w:numPr>
        <w:tabs>
          <w:tab w:val="num" w:pos="360"/>
        </w:tabs>
        <w:overflowPunct/>
        <w:autoSpaceDE/>
        <w:autoSpaceDN/>
        <w:adjustRightInd/>
        <w:ind w:left="142" w:hanging="142"/>
        <w:jc w:val="left"/>
        <w:textAlignment w:val="auto"/>
      </w:pPr>
      <w:r w:rsidRPr="00993DCB">
        <w:t xml:space="preserve"> </w:t>
      </w:r>
      <w:r w:rsidR="00017619" w:rsidRPr="00993DCB">
        <w:t xml:space="preserve">Hebron governorate  recorded the highest number of marriages in Palestine with 6,876 contracts </w:t>
      </w:r>
      <w:r w:rsidR="001F4E37">
        <w:t>while</w:t>
      </w:r>
      <w:r w:rsidR="00017619" w:rsidRPr="00993DCB">
        <w:t xml:space="preserve"> Jericho and Al </w:t>
      </w:r>
      <w:proofErr w:type="spellStart"/>
      <w:r w:rsidR="00017619" w:rsidRPr="00993DCB">
        <w:t>Aghwar</w:t>
      </w:r>
      <w:proofErr w:type="spellEnd"/>
      <w:r w:rsidR="00017619" w:rsidRPr="00993DCB">
        <w:t xml:space="preserve"> governorate recorded the lowest number of marriages with 300 contracts</w:t>
      </w:r>
      <w:r w:rsidR="007C0C59">
        <w:t>.</w:t>
      </w:r>
    </w:p>
    <w:p w:rsidR="007C0E75" w:rsidRPr="00993DCB" w:rsidRDefault="007C0E75" w:rsidP="007C0E75">
      <w:pPr>
        <w:ind w:left="-14"/>
        <w:jc w:val="both"/>
        <w:rPr>
          <w:noProof/>
          <w:rtl/>
        </w:rPr>
      </w:pPr>
    </w:p>
    <w:p w:rsidR="00017619" w:rsidRPr="00993DCB" w:rsidRDefault="00017619" w:rsidP="001F4E37">
      <w:pPr>
        <w:pStyle w:val="BodyText"/>
        <w:numPr>
          <w:ilvl w:val="0"/>
          <w:numId w:val="3"/>
        </w:numPr>
        <w:tabs>
          <w:tab w:val="num" w:pos="360"/>
        </w:tabs>
        <w:overflowPunct/>
        <w:autoSpaceDE/>
        <w:autoSpaceDN/>
        <w:adjustRightInd/>
        <w:ind w:left="142" w:hanging="142"/>
        <w:jc w:val="left"/>
        <w:textAlignment w:val="auto"/>
      </w:pPr>
      <w:r w:rsidRPr="00993DCB">
        <w:t xml:space="preserve">The number of registered divorces </w:t>
      </w:r>
      <w:r w:rsidR="001F4E37">
        <w:t>at</w:t>
      </w:r>
      <w:r w:rsidRPr="00993DCB">
        <w:t xml:space="preserve"> </w:t>
      </w:r>
      <w:proofErr w:type="spellStart"/>
      <w:r w:rsidRPr="00993DCB">
        <w:t>Sharia</w:t>
      </w:r>
      <w:proofErr w:type="spellEnd"/>
      <w:r w:rsidRPr="00993DCB">
        <w:t xml:space="preserve"> courts in Palestine </w:t>
      </w:r>
      <w:r w:rsidR="007C0C59">
        <w:t xml:space="preserve">in 2013 </w:t>
      </w:r>
      <w:r w:rsidRPr="00993DCB">
        <w:t xml:space="preserve">was 7,114 cases, including 4,095 cases in the West Bank and 3,019 cases in </w:t>
      </w:r>
      <w:r w:rsidR="00854415">
        <w:t>Gaza Strip</w:t>
      </w:r>
      <w:r w:rsidRPr="00993DCB">
        <w:t xml:space="preserve">. Gaza governorate recorded the highest number of divorce cases in Palestine with 1,066 </w:t>
      </w:r>
      <w:r w:rsidR="001F4E37">
        <w:t>while</w:t>
      </w:r>
      <w:r w:rsidR="001F4E37" w:rsidRPr="00993DCB">
        <w:t xml:space="preserve"> </w:t>
      </w:r>
      <w:r w:rsidRPr="00993DCB">
        <w:t xml:space="preserve">Tubas governorate recorded the lowest number </w:t>
      </w:r>
      <w:r w:rsidR="00FE563C">
        <w:t>with</w:t>
      </w:r>
      <w:r w:rsidRPr="00993DCB">
        <w:t xml:space="preserve"> 86 cases.</w:t>
      </w:r>
    </w:p>
    <w:p w:rsidR="00433353" w:rsidRPr="00993DCB" w:rsidRDefault="00433353" w:rsidP="0030277E">
      <w:pPr>
        <w:ind w:left="-14"/>
        <w:jc w:val="both"/>
        <w:rPr>
          <w:noProof/>
          <w:sz w:val="12"/>
          <w:szCs w:val="12"/>
        </w:rPr>
      </w:pPr>
    </w:p>
    <w:p w:rsidR="00017619" w:rsidRPr="00993DCB" w:rsidRDefault="00017619" w:rsidP="00017619">
      <w:pPr>
        <w:jc w:val="both"/>
        <w:rPr>
          <w:noProof/>
          <w:sz w:val="16"/>
          <w:szCs w:val="16"/>
        </w:rPr>
      </w:pPr>
    </w:p>
    <w:p w:rsidR="00017619" w:rsidRDefault="00017619" w:rsidP="002076DF">
      <w:pPr>
        <w:pStyle w:val="ListParagraph"/>
        <w:bidi w:val="0"/>
        <w:ind w:left="0"/>
        <w:jc w:val="lowKashida"/>
        <w:rPr>
          <w:rFonts w:cs="Times New Roman"/>
          <w:i/>
          <w:iCs/>
          <w:sz w:val="20"/>
          <w:u w:val="single"/>
        </w:rPr>
      </w:pPr>
      <w:r w:rsidRPr="00993DCB">
        <w:rPr>
          <w:rFonts w:cs="Times New Roman"/>
          <w:i/>
          <w:iCs/>
          <w:sz w:val="20"/>
          <w:u w:val="single"/>
        </w:rPr>
        <w:t xml:space="preserve">For more details about vital statistics, see the tables in chapter 1.4 of the Arabic section, pages </w:t>
      </w:r>
      <w:r w:rsidR="002076DF">
        <w:rPr>
          <w:rFonts w:cs="Times New Roman" w:hint="cs"/>
          <w:i/>
          <w:iCs/>
          <w:sz w:val="20"/>
          <w:u w:val="single"/>
          <w:rtl/>
        </w:rPr>
        <w:t>80-55</w:t>
      </w:r>
      <w:r w:rsidRPr="00993DCB">
        <w:rPr>
          <w:rFonts w:cs="Times New Roman"/>
          <w:i/>
          <w:iCs/>
          <w:sz w:val="20"/>
          <w:u w:val="single"/>
        </w:rPr>
        <w:t>.</w:t>
      </w:r>
    </w:p>
    <w:p w:rsidR="007C0C59" w:rsidRDefault="007C0C59" w:rsidP="007C0C59">
      <w:pPr>
        <w:pStyle w:val="ListParagraph"/>
        <w:bidi w:val="0"/>
        <w:ind w:left="0"/>
        <w:jc w:val="lowKashida"/>
        <w:rPr>
          <w:rFonts w:cs="Times New Roman"/>
          <w:i/>
          <w:iCs/>
          <w:sz w:val="20"/>
          <w:u w:val="single"/>
        </w:rPr>
      </w:pPr>
    </w:p>
    <w:p w:rsidR="00020126" w:rsidRPr="00993DCB" w:rsidRDefault="00020126"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Health                                </w:t>
      </w:r>
    </w:p>
    <w:p w:rsidR="005C4373" w:rsidRPr="00993DCB" w:rsidRDefault="005C4373"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In </w:t>
      </w:r>
      <w:r w:rsidR="00662BC1" w:rsidRPr="00993DCB">
        <w:t>2013</w:t>
      </w:r>
      <w:r w:rsidRPr="00993DCB">
        <w:t xml:space="preserve">, there were </w:t>
      </w:r>
      <w:r w:rsidR="00662BC1" w:rsidRPr="00993DCB">
        <w:t>80</w:t>
      </w:r>
      <w:r w:rsidRPr="00993DCB">
        <w:t xml:space="preserve"> government and non-governmental hospitals in </w:t>
      </w:r>
      <w:r w:rsidR="0021776D" w:rsidRPr="00993DCB">
        <w:t>Palestine</w:t>
      </w:r>
      <w:r w:rsidRPr="00993DCB">
        <w:t xml:space="preserve"> with a capacity of </w:t>
      </w:r>
      <w:r w:rsidR="00662BC1" w:rsidRPr="00993DCB">
        <w:t>5,619</w:t>
      </w:r>
      <w:r w:rsidRPr="00993DCB">
        <w:t xml:space="preserve"> beds.  The average number of days spent in </w:t>
      </w:r>
      <w:r w:rsidR="00A27DFC" w:rsidRPr="00993DCB">
        <w:t xml:space="preserve">government </w:t>
      </w:r>
      <w:r w:rsidRPr="00993DCB">
        <w:t>hospital</w:t>
      </w:r>
      <w:r w:rsidR="005B2DFF">
        <w:t>s</w:t>
      </w:r>
      <w:r w:rsidRPr="00993DCB">
        <w:t xml:space="preserve"> in </w:t>
      </w:r>
      <w:r w:rsidR="00662BC1" w:rsidRPr="00993DCB">
        <w:t>2013</w:t>
      </w:r>
      <w:r w:rsidRPr="00993DCB">
        <w:t xml:space="preserve"> was </w:t>
      </w:r>
      <w:r w:rsidR="00662BC1" w:rsidRPr="00993DCB">
        <w:t>2.5</w:t>
      </w:r>
      <w:r w:rsidR="00612A14" w:rsidRPr="00993DCB">
        <w:t>.</w:t>
      </w:r>
      <w:r w:rsidRPr="00993DCB">
        <w:t xml:space="preserve"> The bed occupancy rate in</w:t>
      </w:r>
      <w:r w:rsidR="00A27DFC" w:rsidRPr="00993DCB">
        <w:t xml:space="preserve"> government hospital</w:t>
      </w:r>
      <w:r w:rsidR="005B2DFF">
        <w:t>s</w:t>
      </w:r>
      <w:r w:rsidR="00A27DFC" w:rsidRPr="00993DCB">
        <w:t xml:space="preserve"> </w:t>
      </w:r>
      <w:r w:rsidRPr="00993DCB">
        <w:t xml:space="preserve">in </w:t>
      </w:r>
      <w:r w:rsidR="0021776D" w:rsidRPr="00993DCB">
        <w:t>Palestine</w:t>
      </w:r>
      <w:r w:rsidRPr="00993DCB">
        <w:t xml:space="preserve"> </w:t>
      </w:r>
      <w:r w:rsidR="005B2DFF">
        <w:t xml:space="preserve">in 2013 </w:t>
      </w:r>
      <w:r w:rsidRPr="00993DCB">
        <w:t xml:space="preserve">was </w:t>
      </w:r>
      <w:r w:rsidR="00662BC1" w:rsidRPr="00993DCB">
        <w:t>84.5</w:t>
      </w:r>
      <w:r w:rsidR="001F4E37">
        <w:t>%</w:t>
      </w:r>
      <w:r w:rsidR="00612A14" w:rsidRPr="00993DCB">
        <w:t>.</w:t>
      </w:r>
    </w:p>
    <w:p w:rsidR="005C4373" w:rsidRPr="00993DCB" w:rsidRDefault="005C4373" w:rsidP="009A63A4">
      <w:pPr>
        <w:ind w:left="-218"/>
        <w:jc w:val="both"/>
        <w:rPr>
          <w:noProof/>
        </w:rPr>
      </w:pPr>
    </w:p>
    <w:p w:rsidR="005C4373" w:rsidRPr="00993DCB" w:rsidRDefault="005C4373" w:rsidP="005B2552">
      <w:pPr>
        <w:pStyle w:val="BodyText"/>
        <w:numPr>
          <w:ilvl w:val="0"/>
          <w:numId w:val="3"/>
        </w:numPr>
        <w:tabs>
          <w:tab w:val="num" w:pos="360"/>
        </w:tabs>
        <w:overflowPunct/>
        <w:autoSpaceDE/>
        <w:autoSpaceDN/>
        <w:adjustRightInd/>
        <w:ind w:left="142" w:hanging="142"/>
        <w:jc w:val="lowKashida"/>
        <w:textAlignment w:val="auto"/>
        <w:rPr>
          <w:rFonts w:cs="Times New Roman"/>
        </w:rPr>
      </w:pPr>
      <w:r w:rsidRPr="00993DCB">
        <w:rPr>
          <w:rFonts w:cs="Times New Roman"/>
        </w:rPr>
        <w:t xml:space="preserve">In </w:t>
      </w:r>
      <w:r w:rsidR="005B2552" w:rsidRPr="00993DCB">
        <w:rPr>
          <w:rFonts w:cs="Times New Roman"/>
        </w:rPr>
        <w:t>2013</w:t>
      </w:r>
      <w:r w:rsidRPr="00993DCB">
        <w:rPr>
          <w:rFonts w:cs="Times New Roman"/>
        </w:rPr>
        <w:t xml:space="preserve">, the main causes of child mortality </w:t>
      </w:r>
      <w:r w:rsidR="00612A14" w:rsidRPr="00993DCB">
        <w:rPr>
          <w:rFonts w:cs="Times New Roman"/>
        </w:rPr>
        <w:t xml:space="preserve">in children aged </w:t>
      </w:r>
      <w:r w:rsidRPr="00993DCB">
        <w:rPr>
          <w:rFonts w:cs="Times New Roman"/>
        </w:rPr>
        <w:t xml:space="preserve">0-4 years </w:t>
      </w:r>
      <w:r w:rsidR="00A27DFC" w:rsidRPr="00993DCB">
        <w:rPr>
          <w:rFonts w:cs="Times New Roman"/>
        </w:rPr>
        <w:t xml:space="preserve">in the West Bank </w:t>
      </w:r>
      <w:r w:rsidRPr="00993DCB">
        <w:rPr>
          <w:rFonts w:cs="Times New Roman"/>
        </w:rPr>
        <w:t>were conditions in the prenatal period (</w:t>
      </w:r>
      <w:r w:rsidR="005B2552" w:rsidRPr="00993DCB">
        <w:rPr>
          <w:rFonts w:cs="Times New Roman"/>
        </w:rPr>
        <w:t>51</w:t>
      </w:r>
      <w:r w:rsidR="00535C8E" w:rsidRPr="00993DCB">
        <w:rPr>
          <w:rFonts w:cs="Times New Roman"/>
        </w:rPr>
        <w:t>.8</w:t>
      </w:r>
      <w:r w:rsidRPr="00993DCB">
        <w:rPr>
          <w:rFonts w:cs="Times New Roman"/>
        </w:rPr>
        <w:t xml:space="preserve">%), followed by </w:t>
      </w:r>
      <w:r w:rsidR="005B2DFF">
        <w:rPr>
          <w:rFonts w:cs="Times New Roman"/>
        </w:rPr>
        <w:t>c</w:t>
      </w:r>
      <w:r w:rsidR="00662BC1" w:rsidRPr="00993DCB">
        <w:rPr>
          <w:rFonts w:cs="Times New Roman"/>
        </w:rPr>
        <w:t xml:space="preserve">ongenital </w:t>
      </w:r>
      <w:r w:rsidR="005B2DFF">
        <w:rPr>
          <w:rFonts w:cs="Times New Roman"/>
        </w:rPr>
        <w:t>a</w:t>
      </w:r>
      <w:r w:rsidR="00662BC1" w:rsidRPr="00993DCB">
        <w:rPr>
          <w:rFonts w:cs="Times New Roman"/>
        </w:rPr>
        <w:t xml:space="preserve">nomalies </w:t>
      </w:r>
      <w:r w:rsidRPr="00993DCB">
        <w:rPr>
          <w:rFonts w:cs="Times New Roman"/>
        </w:rPr>
        <w:t>(</w:t>
      </w:r>
      <w:r w:rsidR="00662BC1" w:rsidRPr="00993DCB">
        <w:rPr>
          <w:rFonts w:cs="Times New Roman"/>
        </w:rPr>
        <w:t>22.</w:t>
      </w:r>
      <w:r w:rsidR="005B2552" w:rsidRPr="00993DCB">
        <w:rPr>
          <w:rFonts w:cs="Times New Roman"/>
        </w:rPr>
        <w:t>8</w:t>
      </w:r>
      <w:r w:rsidRPr="00993DCB">
        <w:rPr>
          <w:rFonts w:cs="Times New Roman"/>
        </w:rPr>
        <w:t>%).</w:t>
      </w:r>
    </w:p>
    <w:p w:rsidR="00210CA8" w:rsidRPr="00993DCB" w:rsidRDefault="00210CA8" w:rsidP="00210CA8">
      <w:pPr>
        <w:jc w:val="center"/>
        <w:rPr>
          <w:rFonts w:ascii="Simplified Arabic" w:hAnsi="Simplified Arabic"/>
          <w:b/>
          <w:bCs/>
          <w:sz w:val="18"/>
          <w:szCs w:val="18"/>
          <w:rtl/>
        </w:rPr>
      </w:pPr>
    </w:p>
    <w:p w:rsidR="005C4373" w:rsidRDefault="005C4373" w:rsidP="00B538FD">
      <w:pPr>
        <w:pStyle w:val="BodyText"/>
        <w:numPr>
          <w:ilvl w:val="0"/>
          <w:numId w:val="3"/>
        </w:numPr>
        <w:tabs>
          <w:tab w:val="num" w:pos="360"/>
        </w:tabs>
        <w:overflowPunct/>
        <w:autoSpaceDE/>
        <w:autoSpaceDN/>
        <w:adjustRightInd/>
        <w:ind w:left="142" w:hanging="142"/>
        <w:jc w:val="lowKashida"/>
        <w:textAlignment w:val="auto"/>
      </w:pPr>
      <w:r w:rsidRPr="00993DCB">
        <w:t xml:space="preserve">In 2011, </w:t>
      </w:r>
      <w:r w:rsidR="00DE526C" w:rsidRPr="00DE526C">
        <w:t>Mobility</w:t>
      </w:r>
      <w:r w:rsidR="00DE526C" w:rsidRPr="00993DCB">
        <w:t xml:space="preserve"> </w:t>
      </w:r>
      <w:r w:rsidR="00210CA8" w:rsidRPr="00993DCB">
        <w:t>disabilities</w:t>
      </w:r>
      <w:r w:rsidRPr="00993DCB">
        <w:t xml:space="preserve"> were the most prevalent form of disability in </w:t>
      </w:r>
      <w:r w:rsidR="0021776D" w:rsidRPr="00993DCB">
        <w:t>Palestine</w:t>
      </w:r>
      <w:r w:rsidRPr="00993DCB">
        <w:t xml:space="preserve"> (1.3%), while hearing difficulties and mental health </w:t>
      </w:r>
      <w:r w:rsidR="00DE526C" w:rsidRPr="00993DCB">
        <w:t xml:space="preserve">disability </w:t>
      </w:r>
      <w:r w:rsidRPr="00993DCB">
        <w:t>were the least prevalent (0.4%)</w:t>
      </w:r>
      <w:r w:rsidR="00DE526C">
        <w:t xml:space="preserve"> for each</w:t>
      </w:r>
      <w:r w:rsidRPr="00993DCB">
        <w:t>. 82.2% of the tot</w:t>
      </w:r>
      <w:r w:rsidR="002C0B20" w:rsidRPr="00993DCB">
        <w:t xml:space="preserve">al population of </w:t>
      </w:r>
      <w:r w:rsidR="00AB1B8A" w:rsidRPr="00993DCB">
        <w:t>Palestine</w:t>
      </w:r>
      <w:r w:rsidRPr="00993DCB">
        <w:t xml:space="preserve"> had </w:t>
      </w:r>
      <w:r w:rsidR="00AB1B8A" w:rsidRPr="00993DCB">
        <w:t xml:space="preserve">health </w:t>
      </w:r>
      <w:r w:rsidRPr="00993DCB">
        <w:t>insurance</w:t>
      </w:r>
      <w:r w:rsidR="00927E20">
        <w:t xml:space="preserve"> in 2011</w:t>
      </w:r>
      <w:r w:rsidRPr="00993DCB">
        <w:t xml:space="preserve">: the percentage was higher in </w:t>
      </w:r>
      <w:r w:rsidR="007C01D8" w:rsidRPr="00993DCB">
        <w:t>Gaza Strip</w:t>
      </w:r>
      <w:r w:rsidRPr="00993DCB">
        <w:t xml:space="preserve"> than in the West Bank (96.7% and 73.2% respectively).</w:t>
      </w:r>
    </w:p>
    <w:p w:rsidR="00C41ED5" w:rsidRPr="00C41ED5" w:rsidRDefault="00C41ED5" w:rsidP="00C41ED5">
      <w:pPr>
        <w:pStyle w:val="BodyText"/>
        <w:overflowPunct/>
        <w:autoSpaceDE/>
        <w:autoSpaceDN/>
        <w:adjustRightInd/>
        <w:jc w:val="lowKashida"/>
        <w:textAlignment w:val="auto"/>
        <w:rPr>
          <w:sz w:val="10"/>
          <w:szCs w:val="10"/>
        </w:rPr>
      </w:pPr>
    </w:p>
    <w:p w:rsidR="00EF4E42" w:rsidRPr="00993DCB" w:rsidRDefault="00EF4E42" w:rsidP="00EF4E42">
      <w:pPr>
        <w:pStyle w:val="ListParagraph"/>
        <w:bidi w:val="0"/>
        <w:ind w:left="0"/>
        <w:jc w:val="center"/>
        <w:rPr>
          <w:rFonts w:ascii="Arial" w:hAnsi="Arial" w:cs="Arial"/>
          <w:b/>
          <w:bCs/>
          <w:sz w:val="18"/>
          <w:szCs w:val="18"/>
        </w:rPr>
      </w:pPr>
      <w:r w:rsidRPr="00993DCB">
        <w:rPr>
          <w:rFonts w:ascii="Arial" w:hAnsi="Arial" w:cs="Arial"/>
          <w:b/>
          <w:bCs/>
          <w:sz w:val="18"/>
          <w:szCs w:val="18"/>
        </w:rPr>
        <w:t>Percentage of Disabled in Palestine by Sex and Age</w:t>
      </w:r>
      <w:r w:rsidRPr="00993DCB">
        <w:rPr>
          <w:rFonts w:ascii="Arial" w:hAnsi="Arial" w:cs="Arial"/>
          <w:b/>
          <w:bCs/>
          <w:sz w:val="16"/>
          <w:szCs w:val="16"/>
        </w:rPr>
        <w:t xml:space="preserve"> </w:t>
      </w:r>
      <w:r w:rsidRPr="00993DCB">
        <w:rPr>
          <w:rFonts w:ascii="Arial" w:hAnsi="Arial" w:cs="Arial"/>
          <w:b/>
          <w:bCs/>
          <w:sz w:val="18"/>
          <w:szCs w:val="18"/>
        </w:rPr>
        <w:t>Group, 2011</w:t>
      </w:r>
    </w:p>
    <w:p w:rsidR="00EF4E42" w:rsidRPr="00993DCB" w:rsidRDefault="00EF4E42" w:rsidP="00EF4E42">
      <w:pPr>
        <w:pStyle w:val="ListParagraph"/>
        <w:bidi w:val="0"/>
        <w:rPr>
          <w:rFonts w:ascii="Arial" w:hAnsi="Arial" w:cs="Arial"/>
          <w:noProof w:val="0"/>
          <w:sz w:val="10"/>
          <w:szCs w:val="10"/>
          <w:rtl/>
        </w:rPr>
      </w:pPr>
    </w:p>
    <w:p w:rsidR="00EF4E42" w:rsidRPr="00993DCB" w:rsidRDefault="00AC418C" w:rsidP="00EF4E42">
      <w:pPr>
        <w:pStyle w:val="ListParagraph"/>
        <w:tabs>
          <w:tab w:val="left" w:pos="7087"/>
        </w:tabs>
        <w:bidi w:val="0"/>
        <w:ind w:left="0"/>
        <w:jc w:val="center"/>
        <w:rPr>
          <w:rFonts w:ascii="Simplified Arabic" w:hAnsi="Simplified Arabic"/>
          <w:b/>
          <w:bCs/>
          <w:noProof w:val="0"/>
          <w:sz w:val="18"/>
          <w:szCs w:val="18"/>
          <w:rtl/>
        </w:rPr>
      </w:pPr>
      <w:r w:rsidRPr="00993DCB">
        <w:rPr>
          <w:bdr w:val="single" w:sz="4" w:space="0" w:color="auto"/>
        </w:rPr>
        <w:drawing>
          <wp:inline distT="0" distB="0" distL="0" distR="0">
            <wp:extent cx="4048125" cy="1590675"/>
            <wp:effectExtent l="0" t="0" r="0" b="0"/>
            <wp:docPr id="2" name="مخطط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822B8" w:rsidRDefault="009C673D" w:rsidP="00BC1B04">
      <w:pPr>
        <w:pStyle w:val="ListParagraph"/>
        <w:bidi w:val="0"/>
        <w:ind w:left="0"/>
        <w:jc w:val="lowKashida"/>
        <w:rPr>
          <w:rFonts w:cs="Times New Roman"/>
          <w:i/>
          <w:iCs/>
          <w:sz w:val="20"/>
          <w:u w:val="single"/>
        </w:rPr>
      </w:pPr>
      <w:r w:rsidRPr="00993DCB">
        <w:rPr>
          <w:rFonts w:cs="Times New Roman"/>
          <w:i/>
          <w:iCs/>
          <w:sz w:val="20"/>
          <w:u w:val="single"/>
        </w:rPr>
        <w:t>For more detail</w:t>
      </w:r>
      <w:r w:rsidR="00054038" w:rsidRPr="00993DCB">
        <w:rPr>
          <w:rFonts w:cs="Times New Roman"/>
          <w:i/>
          <w:iCs/>
          <w:sz w:val="20"/>
          <w:u w:val="single"/>
        </w:rPr>
        <w:t>s</w:t>
      </w:r>
      <w:r w:rsidRPr="00993DCB">
        <w:rPr>
          <w:rFonts w:cs="Times New Roman"/>
          <w:i/>
          <w:iCs/>
          <w:sz w:val="20"/>
          <w:u w:val="single"/>
        </w:rPr>
        <w:t xml:space="preserve"> </w:t>
      </w:r>
      <w:r w:rsidR="00054038" w:rsidRPr="00993DCB">
        <w:rPr>
          <w:rFonts w:cs="Times New Roman"/>
          <w:i/>
          <w:iCs/>
          <w:sz w:val="20"/>
          <w:u w:val="single"/>
        </w:rPr>
        <w:t>on</w:t>
      </w:r>
      <w:r w:rsidRPr="00993DCB">
        <w:rPr>
          <w:rFonts w:cs="Times New Roman"/>
          <w:i/>
          <w:iCs/>
          <w:sz w:val="20"/>
          <w:u w:val="single"/>
        </w:rPr>
        <w:t xml:space="preserve"> </w:t>
      </w:r>
      <w:r w:rsidR="00054038" w:rsidRPr="00993DCB">
        <w:rPr>
          <w:rFonts w:cs="Times New Roman"/>
          <w:i/>
          <w:iCs/>
          <w:sz w:val="20"/>
          <w:u w:val="single"/>
        </w:rPr>
        <w:t>h</w:t>
      </w:r>
      <w:r w:rsidRPr="00993DCB">
        <w:rPr>
          <w:rFonts w:cs="Times New Roman"/>
          <w:i/>
          <w:iCs/>
          <w:sz w:val="20"/>
          <w:u w:val="single"/>
        </w:rPr>
        <w:t>ealth</w:t>
      </w:r>
      <w:r w:rsidR="00054038"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054038"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1.5 </w:t>
      </w:r>
      <w:r w:rsidR="00054038" w:rsidRPr="00993DCB">
        <w:rPr>
          <w:rFonts w:cs="Times New Roman"/>
          <w:i/>
          <w:iCs/>
          <w:sz w:val="20"/>
          <w:u w:val="single"/>
        </w:rPr>
        <w:t>of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054038" w:rsidRPr="00993DCB">
        <w:rPr>
          <w:rFonts w:cs="Times New Roman"/>
          <w:i/>
          <w:iCs/>
          <w:sz w:val="20"/>
          <w:u w:val="single"/>
        </w:rPr>
        <w:t>section,</w:t>
      </w:r>
      <w:r w:rsidRPr="00993DCB">
        <w:rPr>
          <w:rFonts w:cs="Times New Roman"/>
          <w:i/>
          <w:iCs/>
          <w:sz w:val="20"/>
          <w:u w:val="single"/>
        </w:rPr>
        <w:t xml:space="preserve"> page</w:t>
      </w:r>
      <w:r w:rsidR="00054038" w:rsidRPr="00993DCB">
        <w:rPr>
          <w:rFonts w:cs="Times New Roman"/>
          <w:i/>
          <w:iCs/>
          <w:sz w:val="20"/>
          <w:u w:val="single"/>
        </w:rPr>
        <w:t>s</w:t>
      </w:r>
      <w:r w:rsidR="006A480D" w:rsidRPr="00993DCB">
        <w:rPr>
          <w:rFonts w:cs="Times New Roman"/>
          <w:i/>
          <w:iCs/>
          <w:noProof w:val="0"/>
          <w:sz w:val="20"/>
          <w:u w:val="single"/>
          <w:rtl/>
        </w:rPr>
        <w:t xml:space="preserve"> </w:t>
      </w:r>
      <w:r w:rsidR="00EC406F">
        <w:rPr>
          <w:rFonts w:cs="Times New Roman"/>
          <w:i/>
          <w:iCs/>
          <w:sz w:val="20"/>
          <w:u w:val="single"/>
        </w:rPr>
        <w:t>81</w:t>
      </w:r>
      <w:r w:rsidR="003E7B2E" w:rsidRPr="00993DCB">
        <w:rPr>
          <w:rFonts w:cs="Times New Roman"/>
          <w:i/>
          <w:iCs/>
          <w:sz w:val="20"/>
          <w:u w:val="single"/>
        </w:rPr>
        <w:t>-</w:t>
      </w:r>
      <w:r w:rsidR="00EC406F">
        <w:rPr>
          <w:rFonts w:cs="Times New Roman"/>
          <w:i/>
          <w:iCs/>
          <w:sz w:val="20"/>
          <w:u w:val="single"/>
        </w:rPr>
        <w:t>85</w:t>
      </w:r>
      <w:r w:rsidR="00054038" w:rsidRPr="00993DCB">
        <w:rPr>
          <w:rFonts w:cs="Times New Roman"/>
          <w:i/>
          <w:iCs/>
          <w:sz w:val="20"/>
          <w:u w:val="single"/>
        </w:rPr>
        <w:t>.</w:t>
      </w:r>
    </w:p>
    <w:p w:rsidR="007B25B4" w:rsidRPr="00993DCB" w:rsidRDefault="007B25B4" w:rsidP="007B25B4">
      <w:pPr>
        <w:pStyle w:val="ListParagraph"/>
        <w:bidi w:val="0"/>
        <w:ind w:left="0"/>
        <w:jc w:val="lowKashida"/>
        <w:rPr>
          <w:rFonts w:cs="Times New Roman"/>
          <w:i/>
          <w:iCs/>
          <w:sz w:val="20"/>
          <w:u w:val="single"/>
        </w:rPr>
      </w:pPr>
    </w:p>
    <w:p w:rsidR="00EB1A1F" w:rsidRPr="00993DCB" w:rsidRDefault="00EB1A1F"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Education                               </w:t>
      </w:r>
    </w:p>
    <w:p w:rsidR="00254951" w:rsidRPr="00993DCB" w:rsidRDefault="00254951"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number of schools in Palestine in 2013/2014 was 2,784, comprising 2,094 in the West Bank and 690 in Gaza Strip.</w:t>
      </w:r>
    </w:p>
    <w:p w:rsidR="008B26F1" w:rsidRPr="00091DCE" w:rsidRDefault="008B26F1" w:rsidP="00CB6085">
      <w:pPr>
        <w:ind w:left="-218"/>
        <w:jc w:val="both"/>
        <w:rPr>
          <w:noProof/>
          <w:sz w:val="10"/>
          <w:szCs w:val="10"/>
        </w:rPr>
      </w:pPr>
    </w:p>
    <w:p w:rsidR="00254951" w:rsidRPr="00993DCB" w:rsidRDefault="00254951"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number of students was 1,151,702: 1,009,639 at basic stage and 142,063 at secondary stage.  </w:t>
      </w:r>
    </w:p>
    <w:p w:rsidR="002C0B20" w:rsidRPr="00091DCE" w:rsidRDefault="002C0B20" w:rsidP="002C0B20">
      <w:pPr>
        <w:pStyle w:val="BodyText"/>
        <w:overflowPunct/>
        <w:autoSpaceDE/>
        <w:autoSpaceDN/>
        <w:adjustRightInd/>
        <w:jc w:val="lowKashida"/>
        <w:textAlignment w:val="auto"/>
        <w:rPr>
          <w:sz w:val="10"/>
          <w:szCs w:val="10"/>
        </w:rPr>
      </w:pPr>
    </w:p>
    <w:p w:rsidR="00254951" w:rsidRPr="00993DCB" w:rsidRDefault="00254951"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average number of students per class in basic stage by supervis</w:t>
      </w:r>
      <w:r w:rsidR="0014747E">
        <w:t>ory</w:t>
      </w:r>
      <w:r w:rsidRPr="00993DCB">
        <w:t xml:space="preserve"> authority was 30.1 in government schools, 36.9 in UNRWA schools, and 23.4 in private schools. The average number of students per class in secondary stage was 26.8 in government schools and 18.3 in private schools.</w:t>
      </w:r>
    </w:p>
    <w:p w:rsidR="00511744" w:rsidRPr="00BC1B04" w:rsidRDefault="00511744" w:rsidP="001B27A0">
      <w:pPr>
        <w:pStyle w:val="ListParagraph"/>
        <w:bidi w:val="0"/>
        <w:ind w:left="0"/>
        <w:jc w:val="lowKashida"/>
        <w:rPr>
          <w:rFonts w:cs="Times New Roman"/>
          <w:i/>
          <w:iCs/>
          <w:sz w:val="10"/>
          <w:szCs w:val="10"/>
          <w:u w:val="single"/>
        </w:rPr>
      </w:pPr>
    </w:p>
    <w:p w:rsidR="009C673D" w:rsidRPr="00993DCB" w:rsidRDefault="009C673D" w:rsidP="004038F2">
      <w:pPr>
        <w:pStyle w:val="ListParagraph"/>
        <w:bidi w:val="0"/>
        <w:ind w:left="0"/>
        <w:jc w:val="lowKashida"/>
        <w:rPr>
          <w:rFonts w:cs="Times New Roman"/>
          <w:i/>
          <w:iCs/>
          <w:sz w:val="20"/>
          <w:u w:val="single"/>
        </w:rPr>
      </w:pPr>
      <w:r w:rsidRPr="00993DCB">
        <w:rPr>
          <w:rFonts w:cs="Times New Roman"/>
          <w:i/>
          <w:iCs/>
          <w:sz w:val="20"/>
          <w:u w:val="single"/>
        </w:rPr>
        <w:t>For more detail</w:t>
      </w:r>
      <w:r w:rsidR="00BD31A8" w:rsidRPr="00993DCB">
        <w:rPr>
          <w:rFonts w:cs="Times New Roman"/>
          <w:i/>
          <w:iCs/>
          <w:sz w:val="20"/>
          <w:u w:val="single"/>
        </w:rPr>
        <w:t>s</w:t>
      </w:r>
      <w:r w:rsidRPr="00993DCB">
        <w:rPr>
          <w:rFonts w:cs="Times New Roman"/>
          <w:i/>
          <w:iCs/>
          <w:sz w:val="20"/>
          <w:u w:val="single"/>
        </w:rPr>
        <w:t xml:space="preserve"> about </w:t>
      </w:r>
      <w:r w:rsidR="00BD31A8" w:rsidRPr="00993DCB">
        <w:rPr>
          <w:rFonts w:cs="Times New Roman"/>
          <w:i/>
          <w:iCs/>
          <w:sz w:val="20"/>
          <w:u w:val="single"/>
        </w:rPr>
        <w:t>e</w:t>
      </w:r>
      <w:r w:rsidRPr="00993DCB">
        <w:rPr>
          <w:rFonts w:cs="Times New Roman"/>
          <w:i/>
          <w:iCs/>
          <w:sz w:val="20"/>
          <w:u w:val="single"/>
        </w:rPr>
        <w:t>ducation</w:t>
      </w:r>
      <w:r w:rsidR="00BD31A8"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BD31A8"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1.6 </w:t>
      </w:r>
      <w:r w:rsidR="004E1D7F" w:rsidRPr="00993DCB">
        <w:rPr>
          <w:rFonts w:cs="Times New Roman"/>
          <w:i/>
          <w:iCs/>
          <w:sz w:val="20"/>
          <w:u w:val="single"/>
        </w:rPr>
        <w:t>of</w:t>
      </w:r>
      <w:r w:rsidRPr="00993DCB">
        <w:rPr>
          <w:rFonts w:cs="Times New Roman"/>
          <w:i/>
          <w:iCs/>
          <w:sz w:val="20"/>
          <w:u w:val="single"/>
        </w:rPr>
        <w:t xml:space="preserve"> </w:t>
      </w:r>
      <w:r w:rsidR="00BD31A8" w:rsidRPr="00993DCB">
        <w:rPr>
          <w:rFonts w:cs="Times New Roman"/>
          <w:i/>
          <w:iCs/>
          <w:sz w:val="20"/>
          <w:u w:val="single"/>
        </w:rPr>
        <w:t xml:space="preserve">the </w:t>
      </w:r>
      <w:r w:rsidR="00654A09" w:rsidRPr="00993DCB">
        <w:rPr>
          <w:rFonts w:cs="Times New Roman"/>
          <w:i/>
          <w:iCs/>
          <w:sz w:val="20"/>
          <w:u w:val="single"/>
        </w:rPr>
        <w:t>Arabic</w:t>
      </w:r>
      <w:r w:rsidRPr="00993DCB">
        <w:rPr>
          <w:rFonts w:cs="Times New Roman"/>
          <w:i/>
          <w:iCs/>
          <w:sz w:val="20"/>
          <w:u w:val="single"/>
        </w:rPr>
        <w:t xml:space="preserve"> </w:t>
      </w:r>
      <w:r w:rsidR="00BD31A8" w:rsidRPr="00993DCB">
        <w:rPr>
          <w:rFonts w:cs="Times New Roman"/>
          <w:i/>
          <w:iCs/>
          <w:sz w:val="20"/>
          <w:u w:val="single"/>
        </w:rPr>
        <w:t xml:space="preserve">section, </w:t>
      </w:r>
      <w:r w:rsidRPr="00993DCB">
        <w:rPr>
          <w:rFonts w:cs="Times New Roman"/>
          <w:i/>
          <w:iCs/>
          <w:sz w:val="20"/>
          <w:u w:val="single"/>
        </w:rPr>
        <w:t>page</w:t>
      </w:r>
      <w:r w:rsidR="00BD31A8" w:rsidRPr="00993DCB">
        <w:rPr>
          <w:rFonts w:cs="Times New Roman"/>
          <w:i/>
          <w:iCs/>
          <w:sz w:val="20"/>
          <w:u w:val="single"/>
        </w:rPr>
        <w:t xml:space="preserve">s </w:t>
      </w:r>
      <w:r w:rsidR="004038F2">
        <w:rPr>
          <w:rFonts w:cs="Times New Roman"/>
          <w:i/>
          <w:iCs/>
          <w:sz w:val="20"/>
          <w:u w:val="single"/>
        </w:rPr>
        <w:t>87</w:t>
      </w:r>
      <w:r w:rsidR="003E7B2E" w:rsidRPr="00993DCB">
        <w:rPr>
          <w:rFonts w:cs="Times New Roman"/>
          <w:i/>
          <w:iCs/>
          <w:sz w:val="20"/>
          <w:u w:val="single"/>
        </w:rPr>
        <w:t>-</w:t>
      </w:r>
      <w:r w:rsidR="004038F2">
        <w:rPr>
          <w:rFonts w:cs="Times New Roman"/>
          <w:i/>
          <w:iCs/>
          <w:sz w:val="20"/>
          <w:u w:val="single"/>
        </w:rPr>
        <w:t>96</w:t>
      </w:r>
      <w:r w:rsidR="00BD31A8" w:rsidRPr="00993DCB">
        <w:rPr>
          <w:rFonts w:cs="Times New Roman"/>
          <w:i/>
          <w:iCs/>
          <w:sz w:val="20"/>
          <w:u w:val="single"/>
        </w:rPr>
        <w:t>.</w:t>
      </w:r>
    </w:p>
    <w:p w:rsidR="00EB1A1F" w:rsidRPr="00993DCB" w:rsidRDefault="00EB1A1F"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Culture</w:t>
      </w:r>
      <w:r w:rsidR="00DB1F8B" w:rsidRPr="00993DCB">
        <w:rPr>
          <w:rFonts w:cs="Traditional Arabic"/>
          <w:sz w:val="20"/>
          <w:szCs w:val="20"/>
        </w:rPr>
        <w:tab/>
      </w:r>
      <w:r w:rsidRPr="00993DCB">
        <w:rPr>
          <w:rFonts w:cs="Traditional Arabic"/>
          <w:sz w:val="20"/>
          <w:szCs w:val="20"/>
        </w:rPr>
        <w:t xml:space="preserve">                              </w:t>
      </w:r>
    </w:p>
    <w:p w:rsidR="00D0123C" w:rsidRDefault="00D0123C"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In 2013, there were 13 museums operating in Palestine. </w:t>
      </w:r>
    </w:p>
    <w:p w:rsidR="00423529" w:rsidRPr="00993DCB" w:rsidRDefault="00423529" w:rsidP="00423529">
      <w:pPr>
        <w:pStyle w:val="BodyText"/>
        <w:overflowPunct/>
        <w:autoSpaceDE/>
        <w:autoSpaceDN/>
        <w:adjustRightInd/>
        <w:ind w:left="142"/>
        <w:jc w:val="lowKashida"/>
        <w:textAlignment w:val="auto"/>
      </w:pPr>
    </w:p>
    <w:p w:rsidR="00D0123C" w:rsidRPr="00993DCB" w:rsidRDefault="00D0123C" w:rsidP="00011E19">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In 2013, there were 658 </w:t>
      </w:r>
      <w:r w:rsidR="008851F3" w:rsidRPr="008851F3">
        <w:t>In Operation</w:t>
      </w:r>
      <w:r w:rsidRPr="00993DCB">
        <w:t xml:space="preserve"> cultural centers in Palestine.</w:t>
      </w:r>
    </w:p>
    <w:p w:rsidR="00423529" w:rsidRDefault="00423529" w:rsidP="00423529">
      <w:pPr>
        <w:pStyle w:val="BodyText"/>
        <w:overflowPunct/>
        <w:autoSpaceDE/>
        <w:autoSpaceDN/>
        <w:adjustRightInd/>
        <w:ind w:left="142"/>
        <w:jc w:val="lowKashida"/>
        <w:textAlignment w:val="auto"/>
      </w:pPr>
    </w:p>
    <w:p w:rsidR="00D0123C" w:rsidRPr="00993DCB" w:rsidRDefault="00D0123C"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8 theaters in Palestine</w:t>
      </w:r>
      <w:r w:rsidR="00CE5C3E">
        <w:t xml:space="preserve"> in 2013</w:t>
      </w:r>
      <w:r w:rsidRPr="00993DCB">
        <w:t>.</w:t>
      </w:r>
    </w:p>
    <w:p w:rsidR="009344D3" w:rsidRDefault="009344D3" w:rsidP="009344D3">
      <w:pPr>
        <w:ind w:left="-218"/>
        <w:jc w:val="both"/>
        <w:rPr>
          <w:noProof/>
        </w:rPr>
      </w:pPr>
    </w:p>
    <w:p w:rsidR="00423529" w:rsidRPr="00047C04" w:rsidRDefault="00423529" w:rsidP="00423529">
      <w:pPr>
        <w:jc w:val="center"/>
        <w:rPr>
          <w:rFonts w:ascii="Arial" w:hAnsi="Arial" w:cs="Arial"/>
          <w:b/>
          <w:bCs/>
          <w:sz w:val="18"/>
          <w:szCs w:val="18"/>
          <w:rtl/>
        </w:rPr>
      </w:pPr>
      <w:r w:rsidRPr="00047C04">
        <w:rPr>
          <w:rFonts w:ascii="Arial" w:hAnsi="Arial" w:cs="Arial"/>
          <w:b/>
          <w:bCs/>
          <w:sz w:val="18"/>
          <w:szCs w:val="18"/>
        </w:rPr>
        <w:t>Audience of Stage Shows in Palestine by Month, 2013</w:t>
      </w:r>
    </w:p>
    <w:p w:rsidR="00423529" w:rsidRPr="00047C04" w:rsidRDefault="00423529" w:rsidP="00423529">
      <w:pPr>
        <w:jc w:val="center"/>
        <w:rPr>
          <w:rFonts w:ascii="Arial" w:hAnsi="Arial" w:cs="Arial"/>
          <w:b/>
          <w:bCs/>
          <w:sz w:val="10"/>
          <w:szCs w:val="10"/>
          <w:rtl/>
        </w:rPr>
      </w:pPr>
    </w:p>
    <w:p w:rsidR="00423529" w:rsidRPr="00047C04" w:rsidRDefault="00423529" w:rsidP="00423529">
      <w:pPr>
        <w:jc w:val="center"/>
        <w:rPr>
          <w:sz w:val="18"/>
          <w:szCs w:val="18"/>
          <w:rtl/>
        </w:rPr>
      </w:pPr>
      <w:r w:rsidRPr="00EA641C">
        <w:rPr>
          <w:noProof/>
          <w:bdr w:val="single" w:sz="4" w:space="0" w:color="auto"/>
          <w:rtl/>
        </w:rPr>
        <w:drawing>
          <wp:inline distT="0" distB="0" distL="0" distR="0">
            <wp:extent cx="4679950" cy="2082800"/>
            <wp:effectExtent l="0" t="0" r="0" b="0"/>
            <wp:docPr id="21"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21E2C" w:rsidRDefault="00F21E2C" w:rsidP="00F21E2C">
      <w:pPr>
        <w:pStyle w:val="ListParagraph"/>
        <w:bidi w:val="0"/>
        <w:ind w:left="0"/>
        <w:jc w:val="lowKashida"/>
        <w:rPr>
          <w:rFonts w:cs="Times New Roman"/>
          <w:i/>
          <w:iCs/>
          <w:sz w:val="20"/>
          <w:u w:val="single"/>
        </w:rPr>
      </w:pPr>
      <w:r w:rsidRPr="00993DCB">
        <w:rPr>
          <w:rFonts w:cs="Times New Roman"/>
          <w:i/>
          <w:iCs/>
          <w:sz w:val="20"/>
          <w:u w:val="single"/>
        </w:rPr>
        <w:t xml:space="preserve">For more details about </w:t>
      </w:r>
      <w:r>
        <w:rPr>
          <w:rFonts w:cs="Times New Roman"/>
          <w:i/>
          <w:iCs/>
          <w:sz w:val="20"/>
          <w:u w:val="single"/>
        </w:rPr>
        <w:t>culture</w:t>
      </w:r>
      <w:r w:rsidRPr="00993DCB">
        <w:rPr>
          <w:rFonts w:cs="Times New Roman"/>
          <w:i/>
          <w:iCs/>
          <w:sz w:val="20"/>
          <w:u w:val="single"/>
        </w:rPr>
        <w:t xml:space="preserve">, see the tables in chapter 1.6 of the Arabic section, pages </w:t>
      </w:r>
      <w:r>
        <w:rPr>
          <w:rFonts w:cs="Times New Roman"/>
          <w:i/>
          <w:iCs/>
          <w:sz w:val="20"/>
          <w:u w:val="single"/>
        </w:rPr>
        <w:t>97</w:t>
      </w:r>
      <w:r w:rsidRPr="00993DCB">
        <w:rPr>
          <w:rFonts w:cs="Times New Roman"/>
          <w:i/>
          <w:iCs/>
          <w:sz w:val="20"/>
          <w:u w:val="single"/>
        </w:rPr>
        <w:t>-</w:t>
      </w:r>
      <w:r>
        <w:rPr>
          <w:rFonts w:cs="Times New Roman"/>
          <w:i/>
          <w:iCs/>
          <w:sz w:val="20"/>
          <w:u w:val="single"/>
        </w:rPr>
        <w:t>100</w:t>
      </w:r>
      <w:r w:rsidRPr="00993DCB">
        <w:rPr>
          <w:rFonts w:cs="Times New Roman"/>
          <w:i/>
          <w:iCs/>
          <w:sz w:val="20"/>
          <w:u w:val="single"/>
        </w:rPr>
        <w:t>.</w:t>
      </w:r>
    </w:p>
    <w:p w:rsidR="00F21E2C" w:rsidRPr="00993DCB" w:rsidRDefault="00F21E2C" w:rsidP="00F21E2C">
      <w:pPr>
        <w:pStyle w:val="ListParagraph"/>
        <w:bidi w:val="0"/>
        <w:ind w:left="0"/>
        <w:jc w:val="lowKashida"/>
        <w:rPr>
          <w:rFonts w:cs="Times New Roman"/>
          <w:i/>
          <w:iCs/>
          <w:sz w:val="20"/>
          <w:u w:val="single"/>
        </w:rPr>
      </w:pPr>
    </w:p>
    <w:p w:rsidR="00020126" w:rsidRPr="00993DCB" w:rsidRDefault="00020126"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Information Society</w:t>
      </w:r>
    </w:p>
    <w:p w:rsidR="0038645D" w:rsidRPr="00993DCB" w:rsidRDefault="00C440ED" w:rsidP="00423529">
      <w:pPr>
        <w:pStyle w:val="BodyText"/>
        <w:numPr>
          <w:ilvl w:val="0"/>
          <w:numId w:val="3"/>
        </w:numPr>
        <w:tabs>
          <w:tab w:val="num" w:pos="360"/>
        </w:tabs>
        <w:overflowPunct/>
        <w:autoSpaceDE/>
        <w:autoSpaceDN/>
        <w:adjustRightInd/>
        <w:ind w:left="142" w:hanging="142"/>
        <w:jc w:val="lowKashida"/>
        <w:textAlignment w:val="auto"/>
      </w:pPr>
      <w:r w:rsidRPr="00993DCB">
        <w:t xml:space="preserve">In </w:t>
      </w:r>
      <w:r w:rsidR="00E7527E">
        <w:t>2014</w:t>
      </w:r>
      <w:r w:rsidRPr="00993DCB">
        <w:t xml:space="preserve">, </w:t>
      </w:r>
      <w:r w:rsidR="00423529">
        <w:t>63.1</w:t>
      </w:r>
      <w:r w:rsidRPr="00993DCB">
        <w:t>% of households had a computer</w:t>
      </w:r>
      <w:r w:rsidR="00B454B3" w:rsidRPr="00993DCB">
        <w:t>.</w:t>
      </w:r>
    </w:p>
    <w:p w:rsidR="00C440ED" w:rsidRDefault="00C440ED" w:rsidP="00423529">
      <w:pPr>
        <w:ind w:left="142"/>
        <w:jc w:val="both"/>
        <w:rPr>
          <w:noProof/>
        </w:rPr>
      </w:pPr>
    </w:p>
    <w:p w:rsidR="00423529" w:rsidRDefault="00423529" w:rsidP="00423529">
      <w:pPr>
        <w:pStyle w:val="Heading1"/>
        <w:tabs>
          <w:tab w:val="left" w:pos="3537"/>
          <w:tab w:val="left" w:pos="5433"/>
          <w:tab w:val="left" w:pos="6511"/>
          <w:tab w:val="left" w:pos="7569"/>
          <w:tab w:val="left" w:pos="10245"/>
        </w:tabs>
        <w:jc w:val="center"/>
        <w:rPr>
          <w:rFonts w:ascii="Arial" w:hAnsi="Arial" w:cs="Arial"/>
          <w:sz w:val="18"/>
          <w:szCs w:val="18"/>
        </w:rPr>
      </w:pPr>
      <w:r w:rsidRPr="00227DF0">
        <w:rPr>
          <w:rFonts w:ascii="Arial" w:hAnsi="Arial" w:cs="Arial"/>
          <w:sz w:val="18"/>
          <w:szCs w:val="18"/>
        </w:rPr>
        <w:t>Percentage</w:t>
      </w:r>
      <w:r w:rsidRPr="00227DF0">
        <w:rPr>
          <w:rFonts w:ascii="Arial" w:hAnsi="Arial" w:cs="Arial"/>
          <w:b w:val="0"/>
          <w:bCs w:val="0"/>
          <w:sz w:val="18"/>
          <w:szCs w:val="18"/>
        </w:rPr>
        <w:t xml:space="preserve"> </w:t>
      </w:r>
      <w:r w:rsidRPr="00227DF0">
        <w:rPr>
          <w:rFonts w:ascii="Arial" w:hAnsi="Arial" w:cs="Arial"/>
          <w:sz w:val="18"/>
          <w:szCs w:val="18"/>
        </w:rPr>
        <w:t xml:space="preserve">of Households in Palestine, Availability of (ICT) Tools </w:t>
      </w:r>
    </w:p>
    <w:p w:rsidR="00423529" w:rsidRPr="00227DF0" w:rsidRDefault="00423529" w:rsidP="00423529">
      <w:pPr>
        <w:pStyle w:val="Heading1"/>
        <w:tabs>
          <w:tab w:val="left" w:pos="3537"/>
          <w:tab w:val="left" w:pos="5433"/>
          <w:tab w:val="left" w:pos="6511"/>
          <w:tab w:val="left" w:pos="7569"/>
          <w:tab w:val="left" w:pos="10245"/>
        </w:tabs>
        <w:jc w:val="center"/>
        <w:rPr>
          <w:rFonts w:ascii="Arial" w:hAnsi="Arial" w:cs="Arial"/>
          <w:sz w:val="18"/>
          <w:szCs w:val="18"/>
        </w:rPr>
      </w:pPr>
      <w:r w:rsidRPr="00227DF0">
        <w:rPr>
          <w:rFonts w:ascii="Arial" w:hAnsi="Arial" w:cs="Arial"/>
          <w:sz w:val="18"/>
          <w:szCs w:val="18"/>
        </w:rPr>
        <w:t xml:space="preserve">at Home, </w:t>
      </w:r>
      <w:r>
        <w:rPr>
          <w:rFonts w:ascii="Arial" w:hAnsi="Arial" w:cs="Arial" w:hint="cs"/>
          <w:sz w:val="18"/>
          <w:szCs w:val="18"/>
          <w:rtl/>
          <w:lang w:val="en-GB"/>
        </w:rPr>
        <w:t>2014</w:t>
      </w:r>
    </w:p>
    <w:p w:rsidR="00423529" w:rsidRPr="00227DF0" w:rsidRDefault="00423529" w:rsidP="00423529">
      <w:pPr>
        <w:jc w:val="center"/>
        <w:rPr>
          <w:rFonts w:ascii="Arial" w:hAnsi="Arial" w:cs="Arial"/>
          <w:b/>
          <w:bCs/>
          <w:sz w:val="10"/>
          <w:szCs w:val="10"/>
          <w:rtl/>
        </w:rPr>
      </w:pPr>
    </w:p>
    <w:p w:rsidR="00423529" w:rsidRPr="00227DF0" w:rsidRDefault="00423529" w:rsidP="00423529">
      <w:pPr>
        <w:jc w:val="center"/>
        <w:rPr>
          <w:rFonts w:ascii="Arial" w:hAnsi="Arial" w:cs="Arial"/>
          <w:b/>
          <w:bCs/>
          <w:szCs w:val="18"/>
          <w:rtl/>
        </w:rPr>
      </w:pPr>
      <w:r>
        <w:rPr>
          <w:rFonts w:ascii="Arial" w:hAnsi="Arial" w:cs="Arial"/>
          <w:b/>
          <w:bCs/>
          <w:noProof/>
          <w:szCs w:val="18"/>
          <w:bdr w:val="single" w:sz="4" w:space="0" w:color="auto"/>
        </w:rPr>
        <w:drawing>
          <wp:inline distT="0" distB="0" distL="0" distR="0">
            <wp:extent cx="4190365" cy="1614170"/>
            <wp:effectExtent l="0" t="0" r="0" b="0"/>
            <wp:docPr id="7"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23529" w:rsidRPr="00993DCB" w:rsidRDefault="00423529" w:rsidP="0038645D">
      <w:pPr>
        <w:ind w:left="-14"/>
        <w:jc w:val="both"/>
        <w:rPr>
          <w:noProof/>
        </w:rPr>
      </w:pPr>
    </w:p>
    <w:p w:rsidR="00C440ED" w:rsidRPr="00993DCB" w:rsidRDefault="00C440ED" w:rsidP="00E7527E">
      <w:pPr>
        <w:pStyle w:val="BodyText"/>
        <w:numPr>
          <w:ilvl w:val="0"/>
          <w:numId w:val="3"/>
        </w:numPr>
        <w:tabs>
          <w:tab w:val="num" w:pos="360"/>
        </w:tabs>
        <w:overflowPunct/>
        <w:autoSpaceDE/>
        <w:autoSpaceDN/>
        <w:adjustRightInd/>
        <w:ind w:left="142" w:hanging="142"/>
        <w:jc w:val="left"/>
        <w:textAlignment w:val="auto"/>
      </w:pPr>
      <w:r w:rsidRPr="00993DCB">
        <w:t xml:space="preserve">In </w:t>
      </w:r>
      <w:r w:rsidR="00E7527E">
        <w:t>2014</w:t>
      </w:r>
      <w:r w:rsidRPr="00993DCB">
        <w:t xml:space="preserve">, </w:t>
      </w:r>
      <w:r w:rsidR="00E7527E">
        <w:t>48.3</w:t>
      </w:r>
      <w:r w:rsidRPr="00993DCB">
        <w:t xml:space="preserve">% of households in </w:t>
      </w:r>
      <w:r w:rsidR="0021776D" w:rsidRPr="00993DCB">
        <w:t>Palestine</w:t>
      </w:r>
      <w:r w:rsidRPr="00993DCB">
        <w:t xml:space="preserve"> had an Internet connection</w:t>
      </w:r>
      <w:r w:rsidR="007E08CD" w:rsidRPr="00993DCB">
        <w:t xml:space="preserve"> and</w:t>
      </w:r>
      <w:r w:rsidRPr="00993DCB">
        <w:t xml:space="preserve"> </w:t>
      </w:r>
      <w:r w:rsidR="00E7527E">
        <w:t>97.8</w:t>
      </w:r>
      <w:r w:rsidRPr="00993DCB">
        <w:t xml:space="preserve">% of households in </w:t>
      </w:r>
      <w:r w:rsidR="0021776D" w:rsidRPr="00993DCB">
        <w:t>Palestine</w:t>
      </w:r>
      <w:r w:rsidRPr="00993DCB">
        <w:t xml:space="preserve"> had a mobile phone.</w:t>
      </w:r>
    </w:p>
    <w:p w:rsidR="00423529" w:rsidRDefault="00423529" w:rsidP="00423529">
      <w:pPr>
        <w:pStyle w:val="BodyText"/>
        <w:overflowPunct/>
        <w:autoSpaceDE/>
        <w:autoSpaceDN/>
        <w:adjustRightInd/>
        <w:ind w:left="142"/>
        <w:jc w:val="left"/>
        <w:textAlignment w:val="auto"/>
      </w:pPr>
    </w:p>
    <w:p w:rsidR="00C440ED" w:rsidRPr="00993DCB" w:rsidRDefault="00C440ED" w:rsidP="00927E20">
      <w:pPr>
        <w:pStyle w:val="BodyText"/>
        <w:numPr>
          <w:ilvl w:val="0"/>
          <w:numId w:val="3"/>
        </w:numPr>
        <w:tabs>
          <w:tab w:val="num" w:pos="360"/>
        </w:tabs>
        <w:overflowPunct/>
        <w:autoSpaceDE/>
        <w:autoSpaceDN/>
        <w:adjustRightInd/>
        <w:ind w:left="142" w:hanging="142"/>
        <w:jc w:val="left"/>
        <w:textAlignment w:val="auto"/>
      </w:pPr>
      <w:r w:rsidRPr="00993DCB">
        <w:t>In 2011, 47.0% of establishment</w:t>
      </w:r>
      <w:r w:rsidR="00B770E3" w:rsidRPr="00993DCB">
        <w:t>s</w:t>
      </w:r>
      <w:r w:rsidRPr="00993DCB">
        <w:t xml:space="preserve"> in </w:t>
      </w:r>
      <w:r w:rsidR="0021776D" w:rsidRPr="00993DCB">
        <w:t>Palestine</w:t>
      </w:r>
      <w:r w:rsidR="003B59B1" w:rsidRPr="00993DCB">
        <w:t xml:space="preserve"> us</w:t>
      </w:r>
      <w:r w:rsidR="007E08CD" w:rsidRPr="00993DCB">
        <w:t xml:space="preserve">ed </w:t>
      </w:r>
      <w:r w:rsidR="003B59B1" w:rsidRPr="00993DCB">
        <w:t>computer.</w:t>
      </w:r>
    </w:p>
    <w:p w:rsidR="0038645D" w:rsidRPr="00993DCB" w:rsidRDefault="0038645D" w:rsidP="0038645D">
      <w:pPr>
        <w:pStyle w:val="ListParagraph"/>
        <w:rPr>
          <w:sz w:val="10"/>
          <w:szCs w:val="10"/>
        </w:rPr>
      </w:pPr>
    </w:p>
    <w:p w:rsidR="00C440ED" w:rsidRPr="00993DCB" w:rsidRDefault="00C440ED" w:rsidP="00331B49">
      <w:pPr>
        <w:pStyle w:val="BodyText"/>
        <w:numPr>
          <w:ilvl w:val="0"/>
          <w:numId w:val="3"/>
        </w:numPr>
        <w:tabs>
          <w:tab w:val="num" w:pos="360"/>
        </w:tabs>
        <w:overflowPunct/>
        <w:autoSpaceDE/>
        <w:autoSpaceDN/>
        <w:adjustRightInd/>
        <w:ind w:left="142" w:hanging="142"/>
        <w:jc w:val="left"/>
        <w:textAlignment w:val="auto"/>
      </w:pPr>
      <w:r w:rsidRPr="00993DCB">
        <w:t>In 2011, 39.2% of establishment</w:t>
      </w:r>
      <w:r w:rsidR="00B770E3" w:rsidRPr="00993DCB">
        <w:t>s</w:t>
      </w:r>
      <w:r w:rsidRPr="00993DCB">
        <w:t xml:space="preserve"> in </w:t>
      </w:r>
      <w:r w:rsidR="0021776D" w:rsidRPr="00993DCB">
        <w:t>Palestine</w:t>
      </w:r>
      <w:r w:rsidRPr="00993DCB">
        <w:t xml:space="preserve"> us</w:t>
      </w:r>
      <w:r w:rsidR="007E08CD" w:rsidRPr="00993DCB">
        <w:t>ed the</w:t>
      </w:r>
      <w:r w:rsidRPr="00993DCB">
        <w:t xml:space="preserve"> Internet</w:t>
      </w:r>
      <w:r w:rsidR="003B59B1" w:rsidRPr="00993DCB">
        <w:t>.</w:t>
      </w:r>
    </w:p>
    <w:p w:rsidR="009F661D" w:rsidRPr="003E4CA5" w:rsidRDefault="003E4CA5" w:rsidP="009F661D">
      <w:pPr>
        <w:jc w:val="both"/>
        <w:rPr>
          <w:noProof/>
        </w:rPr>
      </w:pPr>
      <w:r w:rsidRPr="003E4CA5">
        <w:rPr>
          <w:noProof/>
        </w:rPr>
        <w:drawing>
          <wp:anchor distT="0" distB="0" distL="114300" distR="114300" simplePos="0" relativeHeight="251667456" behindDoc="0" locked="0" layoutInCell="1" allowOverlap="1">
            <wp:simplePos x="0" y="0"/>
            <wp:positionH relativeFrom="column">
              <wp:posOffset>1400810</wp:posOffset>
            </wp:positionH>
            <wp:positionV relativeFrom="paragraph">
              <wp:posOffset>34290</wp:posOffset>
            </wp:positionV>
            <wp:extent cx="3411220" cy="4140200"/>
            <wp:effectExtent l="19050" t="0" r="0" b="0"/>
            <wp:wrapSquare wrapText="bothSides"/>
            <wp:docPr id="6"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14"/>
                    <a:srcRect/>
                    <a:stretch>
                      <a:fillRect/>
                    </a:stretch>
                  </pic:blipFill>
                  <pic:spPr bwMode="auto">
                    <a:xfrm>
                      <a:off x="0" y="0"/>
                      <a:ext cx="3411220" cy="4140200"/>
                    </a:xfrm>
                    <a:prstGeom prst="rect">
                      <a:avLst/>
                    </a:prstGeom>
                    <a:noFill/>
                    <a:ln w="9525">
                      <a:noFill/>
                      <a:miter lim="800000"/>
                      <a:headEnd/>
                      <a:tailEnd/>
                    </a:ln>
                  </pic:spPr>
                </pic:pic>
              </a:graphicData>
            </a:graphic>
          </wp:anchor>
        </w:drawing>
      </w:r>
    </w:p>
    <w:p w:rsidR="00C440ED" w:rsidRPr="00993DCB" w:rsidRDefault="00C440ED" w:rsidP="00331B49">
      <w:pPr>
        <w:pStyle w:val="BodyText"/>
        <w:numPr>
          <w:ilvl w:val="0"/>
          <w:numId w:val="3"/>
        </w:numPr>
        <w:tabs>
          <w:tab w:val="num" w:pos="360"/>
        </w:tabs>
        <w:overflowPunct/>
        <w:autoSpaceDE/>
        <w:autoSpaceDN/>
        <w:adjustRightInd/>
        <w:ind w:left="142" w:hanging="142"/>
        <w:jc w:val="left"/>
        <w:textAlignment w:val="auto"/>
      </w:pPr>
      <w:r w:rsidRPr="00993DCB">
        <w:t xml:space="preserve">In </w:t>
      </w:r>
      <w:r w:rsidR="008A55CD" w:rsidRPr="00993DCB">
        <w:t>2013</w:t>
      </w:r>
      <w:r w:rsidRPr="00993DCB">
        <w:t xml:space="preserve">, there were </w:t>
      </w:r>
      <w:r w:rsidR="008A55CD" w:rsidRPr="00993DCB">
        <w:t>8,715</w:t>
      </w:r>
      <w:r w:rsidRPr="00993DCB">
        <w:t xml:space="preserve"> workers employed in research and development, representing </w:t>
      </w:r>
      <w:r w:rsidR="008A55CD" w:rsidRPr="00993DCB">
        <w:t>5,162</w:t>
      </w:r>
      <w:r w:rsidRPr="00993DCB">
        <w:t xml:space="preserve"> full-time equivalent (FTE) workers.</w:t>
      </w:r>
    </w:p>
    <w:p w:rsidR="0038645D" w:rsidRPr="00993DCB" w:rsidRDefault="0038645D" w:rsidP="0038645D">
      <w:pPr>
        <w:pStyle w:val="ListParagraph"/>
      </w:pPr>
    </w:p>
    <w:p w:rsidR="00C440ED" w:rsidRPr="00993DCB" w:rsidRDefault="00C440ED"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There were </w:t>
      </w:r>
      <w:r w:rsidR="008A55CD" w:rsidRPr="00993DCB">
        <w:t>4</w:t>
      </w:r>
      <w:r w:rsidR="00202785" w:rsidRPr="00993DCB">
        <w:t>,</w:t>
      </w:r>
      <w:r w:rsidR="008A55CD" w:rsidRPr="00993DCB">
        <w:t>533</w:t>
      </w:r>
      <w:r w:rsidRPr="00993DCB">
        <w:t xml:space="preserve"> researchers, representing </w:t>
      </w:r>
      <w:r w:rsidR="008A55CD" w:rsidRPr="00993DCB">
        <w:t>2,492</w:t>
      </w:r>
      <w:r w:rsidRPr="00993DCB">
        <w:t xml:space="preserve"> FTE researchers. </w:t>
      </w:r>
    </w:p>
    <w:p w:rsidR="00451E35" w:rsidRPr="00993DCB" w:rsidRDefault="00451E35" w:rsidP="003E7B2E">
      <w:pPr>
        <w:pStyle w:val="ListParagraph"/>
        <w:bidi w:val="0"/>
        <w:ind w:left="0"/>
        <w:jc w:val="lowKashida"/>
        <w:rPr>
          <w:rFonts w:cs="Times New Roman"/>
          <w:i/>
          <w:iCs/>
          <w:sz w:val="20"/>
          <w:u w:val="single"/>
        </w:rPr>
      </w:pPr>
    </w:p>
    <w:p w:rsidR="009C673D" w:rsidRPr="00993DCB" w:rsidRDefault="009C673D" w:rsidP="00F10336">
      <w:pPr>
        <w:pStyle w:val="ListParagraph"/>
        <w:bidi w:val="0"/>
        <w:ind w:left="0"/>
        <w:jc w:val="lowKashida"/>
        <w:rPr>
          <w:rFonts w:cs="Times New Roman"/>
          <w:i/>
          <w:iCs/>
          <w:sz w:val="20"/>
          <w:u w:val="single"/>
        </w:rPr>
      </w:pPr>
      <w:r w:rsidRPr="00993DCB">
        <w:rPr>
          <w:rFonts w:cs="Times New Roman"/>
          <w:i/>
          <w:iCs/>
          <w:sz w:val="20"/>
          <w:u w:val="single"/>
        </w:rPr>
        <w:t>For more detail</w:t>
      </w:r>
      <w:r w:rsidR="00CB3264" w:rsidRPr="00993DCB">
        <w:rPr>
          <w:rFonts w:cs="Times New Roman"/>
          <w:i/>
          <w:iCs/>
          <w:sz w:val="20"/>
          <w:u w:val="single"/>
        </w:rPr>
        <w:t>s</w:t>
      </w:r>
      <w:r w:rsidRPr="00993DCB">
        <w:rPr>
          <w:rFonts w:cs="Times New Roman"/>
          <w:i/>
          <w:iCs/>
          <w:sz w:val="20"/>
          <w:u w:val="single"/>
        </w:rPr>
        <w:t xml:space="preserve"> </w:t>
      </w:r>
      <w:r w:rsidR="004E1D7F" w:rsidRPr="00993DCB">
        <w:rPr>
          <w:rFonts w:cs="Times New Roman"/>
          <w:i/>
          <w:iCs/>
          <w:sz w:val="20"/>
          <w:u w:val="single"/>
        </w:rPr>
        <w:t>on</w:t>
      </w:r>
      <w:r w:rsidRPr="00993DCB">
        <w:rPr>
          <w:rFonts w:cs="Times New Roman"/>
          <w:i/>
          <w:iCs/>
          <w:sz w:val="20"/>
          <w:u w:val="single"/>
        </w:rPr>
        <w:t xml:space="preserve"> </w:t>
      </w:r>
      <w:r w:rsidR="00CB3264" w:rsidRPr="00993DCB">
        <w:rPr>
          <w:rFonts w:cs="Times New Roman"/>
          <w:i/>
          <w:iCs/>
          <w:sz w:val="20"/>
          <w:u w:val="single"/>
        </w:rPr>
        <w:t>the i</w:t>
      </w:r>
      <w:r w:rsidRPr="00993DCB">
        <w:rPr>
          <w:rFonts w:cs="Times New Roman"/>
          <w:i/>
          <w:iCs/>
          <w:sz w:val="20"/>
          <w:u w:val="single"/>
        </w:rPr>
        <w:t xml:space="preserve">nformation </w:t>
      </w:r>
      <w:r w:rsidR="00CB3264" w:rsidRPr="00993DCB">
        <w:rPr>
          <w:rFonts w:cs="Times New Roman"/>
          <w:i/>
          <w:iCs/>
          <w:sz w:val="20"/>
          <w:u w:val="single"/>
        </w:rPr>
        <w:t>s</w:t>
      </w:r>
      <w:r w:rsidRPr="00993DCB">
        <w:rPr>
          <w:rFonts w:cs="Times New Roman"/>
          <w:i/>
          <w:iCs/>
          <w:sz w:val="20"/>
          <w:u w:val="single"/>
        </w:rPr>
        <w:t>ociety</w:t>
      </w:r>
      <w:r w:rsidR="00CB3264"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CB3264"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1.8 </w:t>
      </w:r>
      <w:r w:rsidR="004E1D7F" w:rsidRPr="00993DCB">
        <w:rPr>
          <w:rFonts w:cs="Times New Roman"/>
          <w:i/>
          <w:iCs/>
          <w:sz w:val="20"/>
          <w:u w:val="single"/>
        </w:rPr>
        <w:t>of</w:t>
      </w:r>
      <w:r w:rsidR="00CB3264" w:rsidRPr="00993DCB">
        <w:rPr>
          <w:rFonts w:cs="Times New Roman"/>
          <w:i/>
          <w:iCs/>
          <w:sz w:val="20"/>
          <w:u w:val="single"/>
        </w:rPr>
        <w:t xml:space="preserve">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CB3264" w:rsidRPr="00993DCB">
        <w:rPr>
          <w:rFonts w:cs="Times New Roman"/>
          <w:i/>
          <w:iCs/>
          <w:sz w:val="20"/>
          <w:u w:val="single"/>
        </w:rPr>
        <w:t xml:space="preserve">section, </w:t>
      </w:r>
      <w:r w:rsidRPr="00993DCB">
        <w:rPr>
          <w:rFonts w:cs="Times New Roman"/>
          <w:i/>
          <w:iCs/>
          <w:sz w:val="20"/>
          <w:u w:val="single"/>
        </w:rPr>
        <w:t>page</w:t>
      </w:r>
      <w:r w:rsidR="00CB3264" w:rsidRPr="00993DCB">
        <w:rPr>
          <w:rFonts w:cs="Times New Roman"/>
          <w:i/>
          <w:iCs/>
          <w:sz w:val="20"/>
          <w:u w:val="single"/>
        </w:rPr>
        <w:t>s</w:t>
      </w:r>
      <w:r w:rsidR="006A480D" w:rsidRPr="00993DCB">
        <w:rPr>
          <w:rFonts w:cs="Times New Roman"/>
          <w:i/>
          <w:iCs/>
          <w:noProof w:val="0"/>
          <w:sz w:val="20"/>
          <w:u w:val="single"/>
          <w:rtl/>
        </w:rPr>
        <w:t xml:space="preserve"> </w:t>
      </w:r>
      <w:r w:rsidR="00E74619">
        <w:rPr>
          <w:rFonts w:cs="Times New Roman"/>
          <w:i/>
          <w:iCs/>
          <w:sz w:val="20"/>
          <w:u w:val="single"/>
        </w:rPr>
        <w:t>101</w:t>
      </w:r>
      <w:r w:rsidR="003E7B2E" w:rsidRPr="00993DCB">
        <w:rPr>
          <w:rFonts w:cs="Times New Roman"/>
          <w:i/>
          <w:iCs/>
          <w:sz w:val="20"/>
          <w:u w:val="single"/>
        </w:rPr>
        <w:t>-</w:t>
      </w:r>
      <w:r w:rsidR="00E74619">
        <w:rPr>
          <w:rFonts w:cs="Times New Roman"/>
          <w:i/>
          <w:iCs/>
          <w:sz w:val="20"/>
          <w:u w:val="single"/>
        </w:rPr>
        <w:t>10</w:t>
      </w:r>
      <w:r w:rsidR="00F10336">
        <w:rPr>
          <w:rFonts w:cs="Times New Roman"/>
          <w:i/>
          <w:iCs/>
          <w:sz w:val="20"/>
          <w:u w:val="single"/>
        </w:rPr>
        <w:t>6</w:t>
      </w:r>
      <w:r w:rsidR="00CB3264" w:rsidRPr="00993DCB">
        <w:rPr>
          <w:rFonts w:cs="Times New Roman"/>
          <w:i/>
          <w:iCs/>
          <w:sz w:val="20"/>
          <w:u w:val="single"/>
        </w:rPr>
        <w:t>.</w:t>
      </w:r>
    </w:p>
    <w:p w:rsidR="00511744" w:rsidRPr="00993DCB" w:rsidRDefault="00511744">
      <w:pPr>
        <w:overflowPunct/>
        <w:autoSpaceDE/>
        <w:autoSpaceDN/>
        <w:adjustRightInd/>
        <w:textAlignment w:val="auto"/>
        <w:rPr>
          <w:rFonts w:cs="Traditional Arabic"/>
          <w:b/>
          <w:bCs/>
          <w:noProof/>
        </w:rPr>
      </w:pPr>
    </w:p>
    <w:p w:rsidR="00CE5C3E"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Housing and Housing Conditions </w:t>
      </w:r>
    </w:p>
    <w:p w:rsidR="00CE5C3E" w:rsidRDefault="00CE5C3E" w:rsidP="00CE5C3E">
      <w:pPr>
        <w:pStyle w:val="BodyText"/>
        <w:numPr>
          <w:ilvl w:val="0"/>
          <w:numId w:val="3"/>
        </w:numPr>
        <w:tabs>
          <w:tab w:val="num" w:pos="360"/>
        </w:tabs>
        <w:overflowPunct/>
        <w:autoSpaceDE/>
        <w:autoSpaceDN/>
        <w:adjustRightInd/>
        <w:ind w:left="142" w:hanging="142"/>
        <w:jc w:val="lowKashida"/>
        <w:textAlignment w:val="auto"/>
      </w:pPr>
      <w:r w:rsidRPr="00993DCB">
        <w:t xml:space="preserve">The average housing density in Palestine was 1.6 persons per room. The average for the West Bank was 1.5 compared </w:t>
      </w:r>
      <w:r>
        <w:t>with</w:t>
      </w:r>
      <w:r w:rsidRPr="00993DCB">
        <w:t xml:space="preserve"> 1.8 persons per room in </w:t>
      </w:r>
      <w:r>
        <w:t>Gaza Strip</w:t>
      </w:r>
      <w:r w:rsidRPr="00993DCB">
        <w:t xml:space="preserve">.  </w:t>
      </w:r>
    </w:p>
    <w:p w:rsidR="001F2744" w:rsidRPr="00993DCB" w:rsidRDefault="001F2744" w:rsidP="00CE5C3E">
      <w:pPr>
        <w:pStyle w:val="Title"/>
        <w:bidi w:val="0"/>
        <w:ind w:left="98"/>
        <w:jc w:val="left"/>
        <w:rPr>
          <w:rFonts w:cs="Traditional Arabic"/>
          <w:sz w:val="20"/>
          <w:szCs w:val="20"/>
        </w:rPr>
      </w:pPr>
      <w:r w:rsidRPr="00993DCB">
        <w:rPr>
          <w:rFonts w:cs="Traditional Arabic"/>
          <w:sz w:val="20"/>
          <w:szCs w:val="20"/>
        </w:rPr>
        <w:t xml:space="preserve">                              </w:t>
      </w:r>
    </w:p>
    <w:p w:rsidR="004E21FA" w:rsidRDefault="004E21FA"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 </w:t>
      </w:r>
      <w:r w:rsidR="007E08CD" w:rsidRPr="00993DCB">
        <w:t xml:space="preserve">Data showed that </w:t>
      </w:r>
      <w:r w:rsidR="001A2CD9" w:rsidRPr="00993DCB">
        <w:t>0.6</w:t>
      </w:r>
      <w:r w:rsidRPr="00993DCB">
        <w:t xml:space="preserve">% of households in </w:t>
      </w:r>
      <w:r w:rsidR="0021776D" w:rsidRPr="00993DCB">
        <w:t>Palestine</w:t>
      </w:r>
      <w:r w:rsidRPr="00993DCB">
        <w:t xml:space="preserve"> lived in a villa, </w:t>
      </w:r>
      <w:r w:rsidR="001A2CD9" w:rsidRPr="00993DCB">
        <w:t>47</w:t>
      </w:r>
      <w:r w:rsidR="00AD62A3" w:rsidRPr="00993DCB">
        <w:t>.3</w:t>
      </w:r>
      <w:r w:rsidRPr="00993DCB">
        <w:t xml:space="preserve">% lived in a house, and </w:t>
      </w:r>
      <w:r w:rsidR="00AD62A3" w:rsidRPr="00993DCB">
        <w:t>5</w:t>
      </w:r>
      <w:r w:rsidR="001A2CD9" w:rsidRPr="00993DCB">
        <w:t>0</w:t>
      </w:r>
      <w:r w:rsidR="00AD62A3" w:rsidRPr="00993DCB">
        <w:t>.7</w:t>
      </w:r>
      <w:r w:rsidRPr="00993DCB">
        <w:t>% lived in an apartment.</w:t>
      </w:r>
    </w:p>
    <w:p w:rsidR="003E4CA5" w:rsidRPr="00993DCB" w:rsidRDefault="003E4CA5" w:rsidP="003E4CA5">
      <w:pPr>
        <w:pStyle w:val="BodyText"/>
        <w:overflowPunct/>
        <w:autoSpaceDE/>
        <w:autoSpaceDN/>
        <w:adjustRightInd/>
        <w:ind w:left="142"/>
        <w:jc w:val="lowKashida"/>
        <w:textAlignment w:val="auto"/>
      </w:pPr>
    </w:p>
    <w:p w:rsidR="00243D35" w:rsidRPr="00993DCB" w:rsidRDefault="00243D35" w:rsidP="00331B49">
      <w:pPr>
        <w:pStyle w:val="BodyText"/>
        <w:numPr>
          <w:ilvl w:val="0"/>
          <w:numId w:val="3"/>
        </w:numPr>
        <w:tabs>
          <w:tab w:val="clear" w:pos="1920"/>
          <w:tab w:val="num" w:pos="360"/>
        </w:tabs>
        <w:overflowPunct/>
        <w:autoSpaceDE/>
        <w:autoSpaceDN/>
        <w:adjustRightInd/>
        <w:ind w:left="142" w:hanging="142"/>
        <w:jc w:val="left"/>
        <w:textAlignment w:val="auto"/>
      </w:pPr>
      <w:r w:rsidRPr="00993DCB">
        <w:t>The average number of rooms per housing unit in Palestine was 3.4: 3.4 in the West Bank and 3.5 in Gaza Strip.</w:t>
      </w:r>
    </w:p>
    <w:p w:rsidR="00451E35" w:rsidRPr="00993DCB" w:rsidRDefault="00451E35" w:rsidP="00451E35">
      <w:pPr>
        <w:jc w:val="both"/>
        <w:rPr>
          <w:i/>
          <w:iCs/>
          <w:u w:val="single"/>
        </w:rPr>
      </w:pPr>
    </w:p>
    <w:p w:rsidR="004E21FA" w:rsidRPr="00993DCB" w:rsidRDefault="004E21FA" w:rsidP="00F10336">
      <w:pPr>
        <w:jc w:val="both"/>
        <w:rPr>
          <w:noProof/>
        </w:rPr>
      </w:pPr>
      <w:r w:rsidRPr="00993DCB">
        <w:rPr>
          <w:i/>
          <w:iCs/>
          <w:u w:val="single"/>
        </w:rPr>
        <w:t xml:space="preserve">For more details on housing and housing conditions, see the tables in chapter 1.9 of the Arabic section, pages </w:t>
      </w:r>
      <w:r w:rsidR="00E74619">
        <w:rPr>
          <w:i/>
          <w:iCs/>
          <w:u w:val="single"/>
        </w:rPr>
        <w:t>107</w:t>
      </w:r>
      <w:r w:rsidRPr="00993DCB">
        <w:rPr>
          <w:i/>
          <w:iCs/>
          <w:u w:val="single"/>
        </w:rPr>
        <w:t>-</w:t>
      </w:r>
      <w:r w:rsidR="00E74619">
        <w:rPr>
          <w:i/>
          <w:iCs/>
          <w:u w:val="single"/>
        </w:rPr>
        <w:t>11</w:t>
      </w:r>
      <w:r w:rsidR="00F10336">
        <w:rPr>
          <w:i/>
          <w:iCs/>
          <w:u w:val="single"/>
        </w:rPr>
        <w:t>4</w:t>
      </w:r>
      <w:r w:rsidRPr="00993DCB">
        <w:rPr>
          <w:i/>
          <w:iCs/>
          <w:u w:val="single"/>
        </w:rPr>
        <w:t>.</w:t>
      </w:r>
    </w:p>
    <w:p w:rsidR="00061A8B" w:rsidRPr="00993DCB" w:rsidRDefault="00061A8B" w:rsidP="004E21FA">
      <w:pPr>
        <w:pStyle w:val="ListParagraph"/>
        <w:bidi w:val="0"/>
        <w:ind w:left="0"/>
        <w:rPr>
          <w:rFonts w:cs="Times New Roman"/>
          <w:i/>
          <w:iCs/>
          <w:sz w:val="20"/>
          <w:u w:val="single"/>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Living Standards</w:t>
      </w:r>
    </w:p>
    <w:p w:rsidR="008625AF" w:rsidRPr="00993DCB" w:rsidRDefault="006C456B"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Average Monthly </w:t>
      </w:r>
      <w:r w:rsidR="008625AF" w:rsidRPr="00993DCB">
        <w:t>Per Capita Expenditure</w:t>
      </w:r>
      <w:r w:rsidR="00CE5C3E">
        <w:t xml:space="preserve"> in 2011</w:t>
      </w:r>
      <w:r w:rsidR="008625AF" w:rsidRPr="00993DCB">
        <w:t>: Data revealed that monthly</w:t>
      </w:r>
      <w:r w:rsidR="00E57B6C" w:rsidRPr="00993DCB">
        <w:t xml:space="preserve"> per capita</w:t>
      </w:r>
      <w:r w:rsidR="008625AF" w:rsidRPr="00993DCB">
        <w:t xml:space="preserve"> expenditure was JD 158.2</w:t>
      </w:r>
      <w:r w:rsidR="007E08CD" w:rsidRPr="00993DCB">
        <w:t>:</w:t>
      </w:r>
      <w:r w:rsidR="008625AF" w:rsidRPr="00993DCB">
        <w:t xml:space="preserve"> JD 188.1 in the West Bank and JD 109.8 in </w:t>
      </w:r>
      <w:r w:rsidR="00854415">
        <w:t>Gaza Strip</w:t>
      </w:r>
      <w:r w:rsidR="008625AF" w:rsidRPr="00993DCB">
        <w:t xml:space="preserve">.  Monthly </w:t>
      </w:r>
      <w:r w:rsidR="00E57B6C" w:rsidRPr="00993DCB">
        <w:t xml:space="preserve">per capita </w:t>
      </w:r>
      <w:r w:rsidR="008625AF" w:rsidRPr="00993DCB">
        <w:t>expenditure on food groups was JD 56.9</w:t>
      </w:r>
      <w:r w:rsidR="007E08CD" w:rsidRPr="00993DCB">
        <w:t>:</w:t>
      </w:r>
      <w:r w:rsidR="008625AF" w:rsidRPr="00993DCB">
        <w:t xml:space="preserve"> JD 64.3 in the West Bank and JD 44.8 in </w:t>
      </w:r>
      <w:r w:rsidR="007C01D8" w:rsidRPr="00993DCB">
        <w:t>Gaza Strip</w:t>
      </w:r>
      <w:r w:rsidR="008625AF" w:rsidRPr="00993DCB">
        <w:t xml:space="preserve">, while average monthly </w:t>
      </w:r>
      <w:r w:rsidR="00E57B6C" w:rsidRPr="00993DCB">
        <w:t xml:space="preserve">per capita </w:t>
      </w:r>
      <w:r w:rsidR="008625AF" w:rsidRPr="00993DCB">
        <w:t>expenditure on non-food groups was JD 86.9</w:t>
      </w:r>
      <w:r w:rsidR="007E08CD" w:rsidRPr="00993DCB">
        <w:t>:</w:t>
      </w:r>
      <w:r w:rsidR="008625AF" w:rsidRPr="00993DCB">
        <w:t xml:space="preserve"> JD 108.1 in the West Bank and JD 52.4 in </w:t>
      </w:r>
      <w:r w:rsidR="007C01D8" w:rsidRPr="00993DCB">
        <w:t>Gaza Strip</w:t>
      </w:r>
      <w:r w:rsidR="008625AF" w:rsidRPr="00993DCB">
        <w:t>.  The share of total expenditure on food was 35.9%</w:t>
      </w:r>
      <w:r w:rsidR="007E08CD" w:rsidRPr="00993DCB">
        <w:t>:</w:t>
      </w:r>
      <w:r w:rsidR="008625AF" w:rsidRPr="00993DCB">
        <w:t xml:space="preserve"> 34.2% in the West Bank and 40.8% in </w:t>
      </w:r>
      <w:r w:rsidR="007C01D8" w:rsidRPr="00993DCB">
        <w:t>Gaza Strip</w:t>
      </w:r>
      <w:r w:rsidR="008625AF" w:rsidRPr="00993DCB">
        <w:t>.</w:t>
      </w:r>
    </w:p>
    <w:p w:rsidR="008625AF" w:rsidRPr="00993DCB" w:rsidRDefault="008625AF" w:rsidP="008625AF">
      <w:pPr>
        <w:ind w:left="-218"/>
        <w:jc w:val="both"/>
        <w:rPr>
          <w:noProof/>
        </w:rPr>
      </w:pPr>
    </w:p>
    <w:p w:rsidR="008625AF" w:rsidRPr="00993DCB" w:rsidRDefault="006C456B"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Average Monthly </w:t>
      </w:r>
      <w:r w:rsidR="008625AF" w:rsidRPr="00993DCB">
        <w:t>Per Capita Consumption</w:t>
      </w:r>
      <w:r w:rsidR="00CE5C3E">
        <w:t xml:space="preserve"> in 2011</w:t>
      </w:r>
      <w:r w:rsidR="008625AF" w:rsidRPr="00993DCB">
        <w:t xml:space="preserve">: Average monthly </w:t>
      </w:r>
      <w:r w:rsidR="00E57B6C" w:rsidRPr="00993DCB">
        <w:t xml:space="preserve">per capita </w:t>
      </w:r>
      <w:r w:rsidR="008625AF" w:rsidRPr="00993DCB">
        <w:t xml:space="preserve">consumption in </w:t>
      </w:r>
      <w:r w:rsidR="0021776D" w:rsidRPr="00993DCB">
        <w:t>Palestine</w:t>
      </w:r>
      <w:r w:rsidR="008625AF" w:rsidRPr="00993DCB">
        <w:t xml:space="preserve"> was JD 165.0</w:t>
      </w:r>
      <w:r w:rsidRPr="00993DCB">
        <w:t>:</w:t>
      </w:r>
      <w:r w:rsidR="008625AF" w:rsidRPr="00993DCB">
        <w:t xml:space="preserve"> JD 196.5 in the West Bank compared </w:t>
      </w:r>
      <w:r w:rsidR="0033655E">
        <w:t>with</w:t>
      </w:r>
      <w:r w:rsidR="008625AF" w:rsidRPr="00993DCB">
        <w:t xml:space="preserve"> JD 113.9 in </w:t>
      </w:r>
      <w:r w:rsidR="007C01D8" w:rsidRPr="00993DCB">
        <w:t>Gaza Strip</w:t>
      </w:r>
      <w:r w:rsidR="008625AF" w:rsidRPr="00993DCB">
        <w:t xml:space="preserve">.  Monthly </w:t>
      </w:r>
      <w:r w:rsidR="00E57B6C" w:rsidRPr="00993DCB">
        <w:t xml:space="preserve">per capita </w:t>
      </w:r>
      <w:r w:rsidR="008625AF" w:rsidRPr="00993DCB">
        <w:t>consumption of food was JD 58.8</w:t>
      </w:r>
      <w:r w:rsidRPr="00993DCB">
        <w:t>:</w:t>
      </w:r>
      <w:r w:rsidR="008625AF" w:rsidRPr="00993DCB">
        <w:t xml:space="preserve"> JD 66.9 in the West Bank and JD 45.5 in </w:t>
      </w:r>
      <w:r w:rsidR="00854415">
        <w:t>Gaza Strip</w:t>
      </w:r>
      <w:r w:rsidR="008625AF" w:rsidRPr="00993DCB">
        <w:t xml:space="preserve">. Monthly </w:t>
      </w:r>
      <w:r w:rsidR="00E57B6C" w:rsidRPr="00993DCB">
        <w:t xml:space="preserve">per capita </w:t>
      </w:r>
      <w:r w:rsidR="008625AF" w:rsidRPr="00993DCB">
        <w:t>consumption of non-food items was JD 106.3</w:t>
      </w:r>
      <w:r w:rsidRPr="00993DCB">
        <w:t>:</w:t>
      </w:r>
      <w:r w:rsidR="008625AF" w:rsidRPr="00993DCB">
        <w:t xml:space="preserve"> JD 129.6 in the West Bank and JD 68.4 in </w:t>
      </w:r>
      <w:r w:rsidR="007C01D8" w:rsidRPr="00993DCB">
        <w:t>Gaza Strip</w:t>
      </w:r>
      <w:r w:rsidR="008625AF" w:rsidRPr="00993DCB">
        <w:t>.</w:t>
      </w:r>
    </w:p>
    <w:p w:rsidR="00511744" w:rsidRPr="00993DCB" w:rsidRDefault="00511744" w:rsidP="00511744">
      <w:pPr>
        <w:pStyle w:val="ListParagraph"/>
      </w:pPr>
    </w:p>
    <w:p w:rsidR="00EF4E42" w:rsidRPr="00993DCB" w:rsidRDefault="00EF4E42" w:rsidP="00EF4E42">
      <w:pPr>
        <w:jc w:val="center"/>
        <w:rPr>
          <w:rFonts w:ascii="Arial" w:hAnsi="Arial" w:cs="Arial"/>
          <w:b/>
          <w:bCs/>
          <w:sz w:val="18"/>
          <w:szCs w:val="18"/>
        </w:rPr>
      </w:pPr>
      <w:r w:rsidRPr="00993DCB">
        <w:rPr>
          <w:rFonts w:ascii="Arial" w:hAnsi="Arial" w:cs="Arial"/>
          <w:b/>
          <w:bCs/>
          <w:sz w:val="18"/>
          <w:szCs w:val="18"/>
        </w:rPr>
        <w:t>Poverty Rates of Population in Palestine by Region,</w:t>
      </w:r>
      <w:r w:rsidRPr="00993DCB">
        <w:rPr>
          <w:rFonts w:ascii="Arial" w:hAnsi="Arial" w:cs="Arial"/>
          <w:b/>
          <w:bCs/>
          <w:sz w:val="18"/>
          <w:szCs w:val="18"/>
          <w:rtl/>
        </w:rPr>
        <w:t xml:space="preserve"> </w:t>
      </w:r>
      <w:r w:rsidRPr="00993DCB">
        <w:rPr>
          <w:rFonts w:ascii="Arial" w:hAnsi="Arial" w:cs="Arial"/>
          <w:b/>
          <w:bCs/>
          <w:sz w:val="18"/>
          <w:szCs w:val="18"/>
        </w:rPr>
        <w:t>20</w:t>
      </w:r>
      <w:r w:rsidRPr="00993DCB">
        <w:rPr>
          <w:rFonts w:ascii="Arial" w:hAnsi="Arial" w:cs="Arial"/>
          <w:b/>
          <w:bCs/>
          <w:sz w:val="18"/>
          <w:szCs w:val="18"/>
          <w:rtl/>
        </w:rPr>
        <w:t>09</w:t>
      </w:r>
      <w:r w:rsidRPr="00993DCB">
        <w:rPr>
          <w:rFonts w:ascii="Arial" w:hAnsi="Arial" w:cs="Arial"/>
          <w:b/>
          <w:bCs/>
          <w:sz w:val="18"/>
          <w:szCs w:val="18"/>
        </w:rPr>
        <w:t>- 2011</w:t>
      </w:r>
    </w:p>
    <w:p w:rsidR="00EF4E42" w:rsidRPr="00993DCB" w:rsidRDefault="00EF4E42" w:rsidP="00EF4E42">
      <w:pPr>
        <w:jc w:val="center"/>
        <w:rPr>
          <w:rFonts w:ascii="Arial" w:hAnsi="Arial" w:cs="Arial"/>
          <w:b/>
          <w:bCs/>
          <w:sz w:val="10"/>
          <w:szCs w:val="10"/>
        </w:rPr>
      </w:pPr>
    </w:p>
    <w:p w:rsidR="00EF4E42" w:rsidRPr="00993DCB" w:rsidRDefault="00AC418C" w:rsidP="00EF4E42">
      <w:pPr>
        <w:jc w:val="center"/>
        <w:rPr>
          <w:rtl/>
        </w:rPr>
      </w:pPr>
      <w:r w:rsidRPr="00993DCB">
        <w:rPr>
          <w:noProof/>
          <w:bdr w:val="single" w:sz="4" w:space="0" w:color="auto"/>
        </w:rPr>
        <w:drawing>
          <wp:inline distT="0" distB="0" distL="0" distR="0">
            <wp:extent cx="4038600" cy="1400175"/>
            <wp:effectExtent l="0" t="0" r="0" b="0"/>
            <wp:docPr id="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F4E42" w:rsidRPr="00993DCB" w:rsidRDefault="00EF4E42" w:rsidP="00EF4E42">
      <w:pPr>
        <w:tabs>
          <w:tab w:val="num" w:pos="624"/>
        </w:tabs>
        <w:rPr>
          <w:b/>
          <w:bCs/>
          <w:rtl/>
        </w:rPr>
      </w:pPr>
    </w:p>
    <w:p w:rsidR="008625AF" w:rsidRPr="00993DCB" w:rsidRDefault="008625AF" w:rsidP="006A43F2">
      <w:pPr>
        <w:pStyle w:val="BodyText"/>
        <w:numPr>
          <w:ilvl w:val="0"/>
          <w:numId w:val="3"/>
        </w:numPr>
        <w:tabs>
          <w:tab w:val="num" w:pos="360"/>
        </w:tabs>
        <w:overflowPunct/>
        <w:autoSpaceDE/>
        <w:autoSpaceDN/>
        <w:adjustRightInd/>
        <w:ind w:left="142" w:hanging="142"/>
        <w:jc w:val="lowKashida"/>
        <w:textAlignment w:val="auto"/>
      </w:pPr>
      <w:r w:rsidRPr="00993DCB">
        <w:t>The consumption data indicated that the total</w:t>
      </w:r>
      <w:r w:rsidR="009C76D2" w:rsidRPr="009C76D2">
        <w:t xml:space="preserve"> </w:t>
      </w:r>
      <w:r w:rsidR="00B93D80" w:rsidRPr="00993DCB">
        <w:t xml:space="preserve">rate </w:t>
      </w:r>
      <w:r w:rsidRPr="00993DCB">
        <w:t>of</w:t>
      </w:r>
      <w:r w:rsidR="006A43F2" w:rsidRPr="006A43F2">
        <w:t xml:space="preserve"> </w:t>
      </w:r>
      <w:r w:rsidR="006A43F2" w:rsidRPr="00993DCB">
        <w:t>poverty</w:t>
      </w:r>
      <w:r w:rsidRPr="00993DCB">
        <w:t xml:space="preserve"> among Palestinian individuals in </w:t>
      </w:r>
      <w:r w:rsidR="0021776D" w:rsidRPr="00993DCB">
        <w:t>Palestine</w:t>
      </w:r>
      <w:r w:rsidRPr="00993DCB">
        <w:t xml:space="preserve"> was 25.8% in 201</w:t>
      </w:r>
      <w:r w:rsidRPr="00993DCB">
        <w:rPr>
          <w:rtl/>
        </w:rPr>
        <w:t>1</w:t>
      </w:r>
      <w:r w:rsidRPr="00993DCB">
        <w:t xml:space="preserve">: </w:t>
      </w:r>
      <w:r w:rsidRPr="00993DCB">
        <w:rPr>
          <w:rtl/>
        </w:rPr>
        <w:t>17.</w:t>
      </w:r>
      <w:r w:rsidRPr="00993DCB">
        <w:t xml:space="preserve">8% in the West </w:t>
      </w:r>
      <w:r w:rsidR="00E656F0" w:rsidRPr="00993DCB">
        <w:t xml:space="preserve">Bank and 38.8% in </w:t>
      </w:r>
      <w:r w:rsidR="007C01D8" w:rsidRPr="00993DCB">
        <w:t>Gaza Strip</w:t>
      </w:r>
      <w:r w:rsidR="00E656F0" w:rsidRPr="00993DCB">
        <w:t xml:space="preserve">. </w:t>
      </w:r>
    </w:p>
    <w:p w:rsidR="00DD1D39" w:rsidRPr="00993DCB" w:rsidRDefault="00DD1D39" w:rsidP="00DD1D39">
      <w:pPr>
        <w:jc w:val="both"/>
        <w:rPr>
          <w:noProof/>
        </w:rPr>
      </w:pPr>
    </w:p>
    <w:p w:rsidR="008625AF" w:rsidRPr="00993DCB" w:rsidRDefault="008625AF"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More significant is the fact that the consumption data indicated that </w:t>
      </w:r>
      <w:r w:rsidRPr="00993DCB">
        <w:rPr>
          <w:rtl/>
        </w:rPr>
        <w:t>12.</w:t>
      </w:r>
      <w:r w:rsidRPr="00993DCB">
        <w:t xml:space="preserve">9% of individuals in </w:t>
      </w:r>
      <w:r w:rsidR="0021776D" w:rsidRPr="00993DCB">
        <w:t>Palestine</w:t>
      </w:r>
      <w:r w:rsidRPr="00993DCB">
        <w:t xml:space="preserve"> suffer</w:t>
      </w:r>
      <w:r w:rsidR="00B93D80" w:rsidRPr="00993DCB">
        <w:t>ed</w:t>
      </w:r>
      <w:r w:rsidRPr="00993DCB">
        <w:t xml:space="preserve"> from deep poverty in 201</w:t>
      </w:r>
      <w:r w:rsidRPr="00993DCB">
        <w:rPr>
          <w:rtl/>
        </w:rPr>
        <w:t>1</w:t>
      </w:r>
      <w:r w:rsidR="00E57B6C" w:rsidRPr="00993DCB">
        <w:rPr>
          <w:lang w:val="en-GB"/>
        </w:rPr>
        <w:t>:</w:t>
      </w:r>
      <w:r w:rsidRPr="00993DCB">
        <w:t xml:space="preserve"> </w:t>
      </w:r>
      <w:r w:rsidRPr="00993DCB">
        <w:rPr>
          <w:rtl/>
        </w:rPr>
        <w:t>7.</w:t>
      </w:r>
      <w:r w:rsidRPr="00993DCB">
        <w:t xml:space="preserve">8% in the West Bank and </w:t>
      </w:r>
      <w:r w:rsidRPr="00993DCB">
        <w:rPr>
          <w:rtl/>
        </w:rPr>
        <w:t>21.1</w:t>
      </w:r>
      <w:r w:rsidRPr="00993DCB">
        <w:t xml:space="preserve">% in </w:t>
      </w:r>
      <w:r w:rsidR="007C01D8" w:rsidRPr="00993DCB">
        <w:t>Gaza Strip</w:t>
      </w:r>
      <w:r w:rsidRPr="00993DCB">
        <w:t>.</w:t>
      </w:r>
    </w:p>
    <w:p w:rsidR="00EC1272" w:rsidRPr="00993DCB" w:rsidRDefault="00EC1272" w:rsidP="00A822B8">
      <w:pPr>
        <w:pStyle w:val="ListParagraph"/>
        <w:bidi w:val="0"/>
        <w:ind w:left="0"/>
        <w:jc w:val="lowKashida"/>
        <w:rPr>
          <w:rFonts w:cs="Times New Roman"/>
          <w:i/>
          <w:iCs/>
          <w:sz w:val="20"/>
          <w:u w:val="single"/>
        </w:rPr>
      </w:pPr>
    </w:p>
    <w:p w:rsidR="009C673D" w:rsidRPr="00993DCB" w:rsidRDefault="009C673D" w:rsidP="0027211E">
      <w:pPr>
        <w:pStyle w:val="ListParagraph"/>
        <w:bidi w:val="0"/>
        <w:ind w:left="0"/>
        <w:jc w:val="lowKashida"/>
        <w:rPr>
          <w:rFonts w:cs="Times New Roman"/>
          <w:i/>
          <w:iCs/>
          <w:sz w:val="20"/>
          <w:u w:val="single"/>
        </w:rPr>
      </w:pPr>
      <w:r w:rsidRPr="00993DCB">
        <w:rPr>
          <w:rFonts w:cs="Times New Roman"/>
          <w:i/>
          <w:iCs/>
          <w:sz w:val="20"/>
          <w:u w:val="single"/>
        </w:rPr>
        <w:t>For more detail</w:t>
      </w:r>
      <w:r w:rsidR="00DF3698" w:rsidRPr="00993DCB">
        <w:rPr>
          <w:rFonts w:cs="Times New Roman"/>
          <w:i/>
          <w:iCs/>
          <w:sz w:val="20"/>
          <w:u w:val="single"/>
        </w:rPr>
        <w:t>s</w:t>
      </w:r>
      <w:r w:rsidRPr="00993DCB">
        <w:rPr>
          <w:rFonts w:cs="Times New Roman"/>
          <w:i/>
          <w:iCs/>
          <w:sz w:val="20"/>
          <w:u w:val="single"/>
        </w:rPr>
        <w:t xml:space="preserve"> </w:t>
      </w:r>
      <w:r w:rsidR="00075F09" w:rsidRPr="00993DCB">
        <w:rPr>
          <w:rFonts w:cs="Times New Roman"/>
          <w:i/>
          <w:iCs/>
          <w:sz w:val="20"/>
          <w:u w:val="single"/>
        </w:rPr>
        <w:t>on</w:t>
      </w:r>
      <w:r w:rsidRPr="00993DCB">
        <w:rPr>
          <w:rFonts w:cs="Times New Roman"/>
          <w:i/>
          <w:iCs/>
          <w:sz w:val="20"/>
          <w:u w:val="single"/>
        </w:rPr>
        <w:t xml:space="preserve"> </w:t>
      </w:r>
      <w:r w:rsidR="00B93D80" w:rsidRPr="00993DCB">
        <w:rPr>
          <w:rFonts w:cs="Times New Roman"/>
          <w:i/>
          <w:iCs/>
          <w:sz w:val="20"/>
          <w:u w:val="single"/>
        </w:rPr>
        <w:t>living standards</w:t>
      </w:r>
      <w:r w:rsidR="00DF3698" w:rsidRPr="00993DCB">
        <w:rPr>
          <w:rFonts w:cs="Times New Roman"/>
          <w:i/>
          <w:iCs/>
          <w:sz w:val="20"/>
          <w:u w:val="single"/>
        </w:rPr>
        <w:t>,</w:t>
      </w:r>
      <w:r w:rsidR="008947C1" w:rsidRPr="00993DCB">
        <w:rPr>
          <w:rFonts w:cs="Times New Roman"/>
          <w:i/>
          <w:iCs/>
          <w:sz w:val="20"/>
          <w:u w:val="single"/>
        </w:rPr>
        <w:t xml:space="preserve"> </w:t>
      </w:r>
      <w:r w:rsidR="0037009A" w:rsidRPr="00993DCB">
        <w:rPr>
          <w:rFonts w:cs="Times New Roman"/>
          <w:i/>
          <w:iCs/>
          <w:sz w:val="20"/>
          <w:u w:val="single"/>
        </w:rPr>
        <w:t xml:space="preserve">see </w:t>
      </w:r>
      <w:r w:rsidR="00DF3698"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w:t>
      </w:r>
      <w:r w:rsidR="008947C1" w:rsidRPr="00993DCB">
        <w:rPr>
          <w:rFonts w:cs="Times New Roman"/>
          <w:i/>
          <w:iCs/>
          <w:sz w:val="20"/>
          <w:u w:val="single"/>
        </w:rPr>
        <w:t>1</w:t>
      </w:r>
      <w:r w:rsidR="00A822B8" w:rsidRPr="00993DCB">
        <w:rPr>
          <w:rFonts w:cs="Times New Roman"/>
          <w:i/>
          <w:iCs/>
          <w:sz w:val="20"/>
          <w:u w:val="single"/>
        </w:rPr>
        <w:t>0</w:t>
      </w:r>
      <w:r w:rsidRPr="00993DCB">
        <w:rPr>
          <w:rFonts w:cs="Times New Roman"/>
          <w:i/>
          <w:iCs/>
          <w:sz w:val="20"/>
          <w:u w:val="single"/>
        </w:rPr>
        <w:t xml:space="preserve"> </w:t>
      </w:r>
      <w:r w:rsidR="00075F09" w:rsidRPr="00993DCB">
        <w:rPr>
          <w:rFonts w:cs="Times New Roman"/>
          <w:i/>
          <w:iCs/>
          <w:sz w:val="20"/>
          <w:u w:val="single"/>
        </w:rPr>
        <w:t>of</w:t>
      </w:r>
      <w:r w:rsidRPr="00993DCB">
        <w:rPr>
          <w:rFonts w:cs="Times New Roman"/>
          <w:i/>
          <w:iCs/>
          <w:sz w:val="20"/>
          <w:u w:val="single"/>
        </w:rPr>
        <w:t xml:space="preserve"> </w:t>
      </w:r>
      <w:r w:rsidR="00DF3698" w:rsidRPr="00993DCB">
        <w:rPr>
          <w:rFonts w:cs="Times New Roman"/>
          <w:i/>
          <w:iCs/>
          <w:sz w:val="20"/>
          <w:u w:val="single"/>
        </w:rPr>
        <w:t xml:space="preserve">the </w:t>
      </w:r>
      <w:r w:rsidR="00654A09" w:rsidRPr="00993DCB">
        <w:rPr>
          <w:rFonts w:cs="Times New Roman"/>
          <w:i/>
          <w:iCs/>
          <w:sz w:val="20"/>
          <w:u w:val="single"/>
        </w:rPr>
        <w:t>Arabic</w:t>
      </w:r>
      <w:r w:rsidR="00DF3698" w:rsidRPr="00993DCB">
        <w:rPr>
          <w:rFonts w:cs="Times New Roman"/>
          <w:i/>
          <w:iCs/>
          <w:sz w:val="20"/>
          <w:u w:val="single"/>
        </w:rPr>
        <w:t xml:space="preserve"> section, </w:t>
      </w:r>
      <w:r w:rsidRPr="00993DCB">
        <w:rPr>
          <w:rFonts w:cs="Times New Roman"/>
          <w:i/>
          <w:iCs/>
          <w:sz w:val="20"/>
          <w:u w:val="single"/>
        </w:rPr>
        <w:t>page</w:t>
      </w:r>
      <w:r w:rsidR="00DF3698" w:rsidRPr="00993DCB">
        <w:rPr>
          <w:rFonts w:cs="Times New Roman"/>
          <w:i/>
          <w:iCs/>
          <w:sz w:val="20"/>
          <w:u w:val="single"/>
        </w:rPr>
        <w:t>s</w:t>
      </w:r>
      <w:r w:rsidR="006A480D" w:rsidRPr="00993DCB">
        <w:rPr>
          <w:rFonts w:cs="Times New Roman"/>
          <w:i/>
          <w:iCs/>
          <w:sz w:val="20"/>
          <w:u w:val="single"/>
        </w:rPr>
        <w:t xml:space="preserve"> </w:t>
      </w:r>
      <w:r w:rsidR="0027211E">
        <w:rPr>
          <w:rFonts w:cs="Times New Roman"/>
          <w:i/>
          <w:iCs/>
          <w:sz w:val="20"/>
          <w:u w:val="single"/>
        </w:rPr>
        <w:t>115</w:t>
      </w:r>
      <w:r w:rsidR="003E7B2E" w:rsidRPr="00993DCB">
        <w:rPr>
          <w:rFonts w:cs="Times New Roman"/>
          <w:i/>
          <w:iCs/>
          <w:sz w:val="20"/>
          <w:u w:val="single"/>
        </w:rPr>
        <w:t>-</w:t>
      </w:r>
      <w:r w:rsidR="0027211E">
        <w:rPr>
          <w:rFonts w:cs="Times New Roman"/>
          <w:i/>
          <w:iCs/>
          <w:sz w:val="20"/>
          <w:u w:val="single"/>
        </w:rPr>
        <w:t>120</w:t>
      </w:r>
      <w:r w:rsidR="00DF3698" w:rsidRPr="00993DCB">
        <w:rPr>
          <w:rFonts w:cs="Times New Roman"/>
          <w:i/>
          <w:iCs/>
          <w:sz w:val="20"/>
          <w:u w:val="single"/>
        </w:rPr>
        <w:t>.</w:t>
      </w:r>
    </w:p>
    <w:p w:rsidR="006D7EB6" w:rsidRPr="00993DCB" w:rsidRDefault="006D7EB6" w:rsidP="006D7EB6">
      <w:pPr>
        <w:pStyle w:val="Title"/>
        <w:tabs>
          <w:tab w:val="left" w:pos="851"/>
        </w:tabs>
        <w:bidi w:val="0"/>
        <w:jc w:val="left"/>
        <w:rPr>
          <w:rFonts w:cs="Times New Roman"/>
          <w:b w:val="0"/>
          <w:bCs w:val="0"/>
          <w:noProof w:val="0"/>
          <w:sz w:val="20"/>
          <w:szCs w:val="20"/>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Security and Justice                               </w:t>
      </w:r>
    </w:p>
    <w:p w:rsidR="006D63DB" w:rsidRPr="00993DCB" w:rsidRDefault="006D63DB" w:rsidP="00CE5C3E">
      <w:pPr>
        <w:pStyle w:val="BodyText"/>
        <w:numPr>
          <w:ilvl w:val="0"/>
          <w:numId w:val="3"/>
        </w:numPr>
        <w:tabs>
          <w:tab w:val="clear" w:pos="1920"/>
          <w:tab w:val="num" w:pos="360"/>
        </w:tabs>
        <w:overflowPunct/>
        <w:autoSpaceDE/>
        <w:autoSpaceDN/>
        <w:adjustRightInd/>
        <w:ind w:left="142" w:hanging="142"/>
        <w:jc w:val="lowKashida"/>
        <w:textAlignment w:val="auto"/>
      </w:pPr>
      <w:r w:rsidRPr="00993DCB">
        <w:t>Criminal offenses reported: There were 18,330 criminal offenses reported in 2012 in the West Bank.</w:t>
      </w:r>
    </w:p>
    <w:p w:rsidR="006D63DB" w:rsidRPr="003E4CA5" w:rsidRDefault="006D63DB" w:rsidP="006D63DB">
      <w:pPr>
        <w:ind w:left="-218"/>
        <w:jc w:val="both"/>
        <w:rPr>
          <w:noProof/>
        </w:rPr>
      </w:pPr>
    </w:p>
    <w:p w:rsidR="003E4CA5" w:rsidRDefault="006D63DB"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criminal offenses reported in West Bank governorates in 2012 comprised assault (</w:t>
      </w:r>
      <w:r w:rsidRPr="00993DCB">
        <w:rPr>
          <w:rtl/>
        </w:rPr>
        <w:t>48.</w:t>
      </w:r>
      <w:r w:rsidRPr="00993DCB">
        <w:t>3%), theft (13.2%), offenses against morality (19.3%), fraud (3.7%), and the remainder were kidnapping, attempted kidnapping, threats, drugs</w:t>
      </w:r>
      <w:r w:rsidR="0033655E">
        <w:t>,</w:t>
      </w:r>
      <w:r w:rsidRPr="00993DCB">
        <w:t xml:space="preserve"> and murder.</w:t>
      </w:r>
    </w:p>
    <w:p w:rsidR="003E4CA5" w:rsidRDefault="003E4CA5" w:rsidP="003E4CA5">
      <w:pPr>
        <w:pStyle w:val="ListParagraph"/>
      </w:pPr>
    </w:p>
    <w:p w:rsidR="00423529" w:rsidRPr="00E717DF" w:rsidRDefault="00423529" w:rsidP="00423529">
      <w:pPr>
        <w:jc w:val="center"/>
        <w:rPr>
          <w:rFonts w:ascii="Arial" w:hAnsi="Arial" w:cs="Arial"/>
          <w:b/>
          <w:bCs/>
          <w:sz w:val="18"/>
          <w:szCs w:val="18"/>
        </w:rPr>
      </w:pPr>
      <w:r w:rsidRPr="00E717DF">
        <w:rPr>
          <w:rFonts w:ascii="Arial" w:hAnsi="Arial" w:cs="Arial"/>
          <w:b/>
          <w:bCs/>
          <w:sz w:val="18"/>
          <w:szCs w:val="18"/>
        </w:rPr>
        <w:t>Number of Reported Criminal Offenses in the West Bank</w:t>
      </w:r>
      <w:r w:rsidR="00144BA5">
        <w:rPr>
          <w:rFonts w:ascii="Arial" w:hAnsi="Arial" w:cs="Arial"/>
          <w:b/>
          <w:bCs/>
          <w:sz w:val="18"/>
          <w:szCs w:val="18"/>
        </w:rPr>
        <w:t>*</w:t>
      </w:r>
      <w:r w:rsidRPr="00E717DF">
        <w:rPr>
          <w:rFonts w:ascii="Arial" w:hAnsi="Arial" w:cs="Arial"/>
          <w:b/>
          <w:bCs/>
          <w:sz w:val="18"/>
          <w:szCs w:val="18"/>
        </w:rPr>
        <w:t xml:space="preserve"> by Governorate, </w:t>
      </w:r>
      <w:r w:rsidRPr="00E717DF">
        <w:rPr>
          <w:rFonts w:ascii="Arial" w:hAnsi="Arial" w:cs="Arial" w:hint="cs"/>
          <w:b/>
          <w:bCs/>
          <w:sz w:val="18"/>
          <w:szCs w:val="18"/>
          <w:rtl/>
        </w:rPr>
        <w:t>2012</w:t>
      </w:r>
    </w:p>
    <w:p w:rsidR="00423529" w:rsidRPr="00E717DF" w:rsidRDefault="00423529" w:rsidP="00423529">
      <w:pPr>
        <w:pStyle w:val="BodyText2"/>
        <w:jc w:val="center"/>
        <w:rPr>
          <w:sz w:val="16"/>
          <w:szCs w:val="16"/>
          <w:rtl/>
        </w:rPr>
      </w:pPr>
      <w:r w:rsidRPr="00E717DF">
        <w:rPr>
          <w:rFonts w:ascii="Simplified Arabic" w:hAnsi="Simplified Arabic"/>
          <w:b/>
          <w:bCs/>
          <w:noProof/>
          <w:sz w:val="18"/>
          <w:szCs w:val="18"/>
          <w:bdr w:val="single" w:sz="4" w:space="0" w:color="auto"/>
          <w:rtl/>
        </w:rPr>
        <w:drawing>
          <wp:inline distT="0" distB="0" distL="0" distR="0">
            <wp:extent cx="4238396" cy="1484986"/>
            <wp:effectExtent l="0" t="0" r="0" b="0"/>
            <wp:docPr id="20"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663"/>
      </w:tblGrid>
      <w:tr w:rsidR="00144BA5" w:rsidRPr="00144BA5" w:rsidTr="005D438D">
        <w:tc>
          <w:tcPr>
            <w:tcW w:w="6663" w:type="dxa"/>
          </w:tcPr>
          <w:p w:rsidR="00144BA5" w:rsidRDefault="00144BA5" w:rsidP="00833658">
            <w:pPr>
              <w:tabs>
                <w:tab w:val="right" w:pos="-126"/>
              </w:tabs>
              <w:bidi/>
              <w:ind w:left="-126" w:hanging="126"/>
              <w:jc w:val="right"/>
              <w:rPr>
                <w:rFonts w:cs="Times New Roman"/>
                <w:sz w:val="16"/>
                <w:szCs w:val="16"/>
              </w:rPr>
            </w:pPr>
            <w:r w:rsidRPr="00C30535">
              <w:rPr>
                <w:rFonts w:cs="Times New Roman"/>
                <w:sz w:val="16"/>
                <w:szCs w:val="16"/>
              </w:rPr>
              <w:t>*Data doesn’t include those that part of Jerusalem which was annexed forcefully by Israel following its occupation of the West Bank in 1967.</w:t>
            </w:r>
          </w:p>
          <w:p w:rsidR="00833658" w:rsidRPr="00833658" w:rsidRDefault="00833658" w:rsidP="00833658">
            <w:pPr>
              <w:tabs>
                <w:tab w:val="right" w:pos="-126"/>
              </w:tabs>
              <w:bidi/>
              <w:ind w:left="-126" w:hanging="126"/>
              <w:jc w:val="right"/>
              <w:rPr>
                <w:rFonts w:cs="Times New Roman"/>
                <w:sz w:val="6"/>
                <w:szCs w:val="6"/>
              </w:rPr>
            </w:pPr>
          </w:p>
        </w:tc>
      </w:tr>
    </w:tbl>
    <w:p w:rsidR="006D63DB" w:rsidRDefault="006D63DB" w:rsidP="00331B49">
      <w:pPr>
        <w:pStyle w:val="BodyText"/>
        <w:numPr>
          <w:ilvl w:val="0"/>
          <w:numId w:val="3"/>
        </w:numPr>
        <w:tabs>
          <w:tab w:val="clear" w:pos="1920"/>
          <w:tab w:val="num" w:pos="360"/>
        </w:tabs>
        <w:overflowPunct/>
        <w:autoSpaceDE/>
        <w:autoSpaceDN/>
        <w:adjustRightInd/>
        <w:ind w:left="142" w:hanging="142"/>
        <w:jc w:val="lowKashida"/>
        <w:textAlignment w:val="auto"/>
      </w:pPr>
      <w:r w:rsidRPr="00993DCB">
        <w:t>Juvenile offenders: There were 1,221 juvenile offenders admitted to reform institutions in Palestine in 2012: 402</w:t>
      </w:r>
      <w:r w:rsidRPr="00993DCB">
        <w:rPr>
          <w:rtl/>
        </w:rPr>
        <w:t xml:space="preserve"> </w:t>
      </w:r>
      <w:r w:rsidRPr="00993DCB">
        <w:t xml:space="preserve">juvenile offenders in the West Bank and 819 in </w:t>
      </w:r>
      <w:r w:rsidR="00854415">
        <w:t>Gaza Strip</w:t>
      </w:r>
      <w:r w:rsidRPr="00993DCB">
        <w:t>. The criminal offenses committed by these juveniles comprised 529 cases of burglary and theft, 339</w:t>
      </w:r>
      <w:r w:rsidRPr="00993DCB">
        <w:rPr>
          <w:rtl/>
        </w:rPr>
        <w:t xml:space="preserve"> </w:t>
      </w:r>
      <w:r w:rsidRPr="00993DCB">
        <w:t>cases of assault</w:t>
      </w:r>
      <w:r w:rsidR="0033655E">
        <w:t>,</w:t>
      </w:r>
      <w:r w:rsidRPr="00993DCB">
        <w:t xml:space="preserve"> 86 offenses against morality,</w:t>
      </w:r>
      <w:r w:rsidR="0033655E">
        <w:t xml:space="preserve"> and</w:t>
      </w:r>
      <w:r w:rsidRPr="00993DCB">
        <w:t xml:space="preserve"> 37 cases of using or trading narcotic drugs. The remainder comprised destruction of property, offenses against public order and other crimes.</w:t>
      </w:r>
    </w:p>
    <w:p w:rsidR="006D63DB" w:rsidRPr="003E4CA5" w:rsidRDefault="006D63DB" w:rsidP="006D63DB">
      <w:pPr>
        <w:pStyle w:val="BodyText"/>
        <w:overflowPunct/>
        <w:autoSpaceDE/>
        <w:autoSpaceDN/>
        <w:adjustRightInd/>
        <w:jc w:val="lowKashida"/>
        <w:textAlignment w:val="auto"/>
        <w:rPr>
          <w:sz w:val="14"/>
          <w:szCs w:val="14"/>
        </w:rPr>
      </w:pPr>
    </w:p>
    <w:p w:rsidR="006D63DB" w:rsidRDefault="006D63DB" w:rsidP="00927E20">
      <w:pPr>
        <w:pStyle w:val="BodyText"/>
        <w:numPr>
          <w:ilvl w:val="0"/>
          <w:numId w:val="3"/>
        </w:numPr>
        <w:tabs>
          <w:tab w:val="clear" w:pos="1920"/>
          <w:tab w:val="num" w:pos="360"/>
        </w:tabs>
        <w:overflowPunct/>
        <w:autoSpaceDE/>
        <w:autoSpaceDN/>
        <w:adjustRightInd/>
        <w:ind w:left="142" w:hanging="142"/>
        <w:jc w:val="lowKashida"/>
        <w:textAlignment w:val="auto"/>
        <w:rPr>
          <w:rFonts w:cs="Times New Roman"/>
        </w:rPr>
      </w:pPr>
      <w:r w:rsidRPr="00F41E6A">
        <w:rPr>
          <w:rFonts w:cs="Times New Roman"/>
        </w:rPr>
        <w:t>Road traffic accidents</w:t>
      </w:r>
      <w:r w:rsidR="00F41E6A" w:rsidRPr="00F41E6A">
        <w:rPr>
          <w:rFonts w:cs="Times New Roman"/>
        </w:rPr>
        <w:t xml:space="preserve"> the data doesn’t include those that part of Jerusalem which was annexed forcefully by Israel following its occupation of the West Bank in 1967. </w:t>
      </w:r>
      <w:r w:rsidRPr="00F41E6A">
        <w:rPr>
          <w:rFonts w:cs="Times New Roman"/>
        </w:rPr>
        <w:t xml:space="preserve">:  There were </w:t>
      </w:r>
      <w:r w:rsidR="00D4619B" w:rsidRPr="00F41E6A">
        <w:rPr>
          <w:rFonts w:cs="Times New Roman"/>
        </w:rPr>
        <w:t>7</w:t>
      </w:r>
      <w:r w:rsidRPr="00F41E6A">
        <w:rPr>
          <w:rFonts w:cs="Times New Roman"/>
        </w:rPr>
        <w:t xml:space="preserve">,824 road traffic accidents in the West Bank in 2013, including 3,941 accidents causing injuries and </w:t>
      </w:r>
      <w:r w:rsidRPr="00F41E6A">
        <w:rPr>
          <w:rFonts w:cs="Times New Roman"/>
          <w:rtl/>
        </w:rPr>
        <w:t>3,</w:t>
      </w:r>
      <w:r w:rsidRPr="00F41E6A">
        <w:rPr>
          <w:rFonts w:cs="Times New Roman"/>
        </w:rPr>
        <w:t xml:space="preserve">883 accidents with </w:t>
      </w:r>
      <w:r w:rsidR="00927E20" w:rsidRPr="00F41E6A">
        <w:rPr>
          <w:rFonts w:cs="Times New Roman"/>
        </w:rPr>
        <w:t>physical</w:t>
      </w:r>
      <w:r w:rsidRPr="00F41E6A">
        <w:rPr>
          <w:rFonts w:cs="Times New Roman"/>
        </w:rPr>
        <w:t xml:space="preserve"> losses only. There were 7,753 injuries caused by road accidents as follows: 6,707 minor injuries, 720 moderate injuries, 184 serious injuries and 142 fatalities.</w:t>
      </w:r>
    </w:p>
    <w:p w:rsidR="00AB2ED8" w:rsidRPr="006A56BF" w:rsidRDefault="00AB2ED8" w:rsidP="00AB2ED8">
      <w:pPr>
        <w:pStyle w:val="ListParagraph"/>
        <w:rPr>
          <w:rFonts w:cs="Times New Roman"/>
          <w:sz w:val="10"/>
          <w:szCs w:val="10"/>
        </w:rPr>
      </w:pPr>
    </w:p>
    <w:p w:rsidR="006D63DB" w:rsidRDefault="006D63DB" w:rsidP="00D176D1">
      <w:pPr>
        <w:pStyle w:val="ListParagraph"/>
        <w:bidi w:val="0"/>
        <w:ind w:left="0"/>
        <w:jc w:val="lowKashida"/>
        <w:rPr>
          <w:rFonts w:cs="Times New Roman"/>
          <w:i/>
          <w:iCs/>
          <w:sz w:val="20"/>
          <w:u w:val="single"/>
        </w:rPr>
      </w:pPr>
      <w:r w:rsidRPr="00993DCB">
        <w:rPr>
          <w:rFonts w:cs="Times New Roman"/>
          <w:i/>
          <w:iCs/>
          <w:sz w:val="20"/>
          <w:u w:val="single"/>
        </w:rPr>
        <w:t>For more details on security and justice, see the tables in chapter 1.11 of the Arabic section, pages</w:t>
      </w:r>
      <w:r w:rsidRPr="00993DCB">
        <w:rPr>
          <w:rFonts w:cs="Times New Roman"/>
          <w:i/>
          <w:iCs/>
          <w:noProof w:val="0"/>
          <w:sz w:val="20"/>
          <w:u w:val="single"/>
          <w:rtl/>
        </w:rPr>
        <w:t xml:space="preserve"> </w:t>
      </w:r>
      <w:r w:rsidR="00D176D1">
        <w:rPr>
          <w:rFonts w:cs="Times New Roman"/>
          <w:i/>
          <w:iCs/>
          <w:sz w:val="20"/>
          <w:u w:val="single"/>
        </w:rPr>
        <w:t>121</w:t>
      </w:r>
      <w:r w:rsidRPr="00993DCB">
        <w:rPr>
          <w:rFonts w:cs="Times New Roman"/>
          <w:i/>
          <w:iCs/>
          <w:sz w:val="20"/>
          <w:u w:val="single"/>
        </w:rPr>
        <w:t>-</w:t>
      </w:r>
      <w:r w:rsidR="00D176D1">
        <w:rPr>
          <w:rFonts w:cs="Times New Roman"/>
          <w:i/>
          <w:iCs/>
          <w:sz w:val="20"/>
          <w:u w:val="single"/>
        </w:rPr>
        <w:t>126</w:t>
      </w:r>
      <w:r w:rsidRPr="00993DCB">
        <w:rPr>
          <w:rFonts w:cs="Times New Roman"/>
          <w:i/>
          <w:iCs/>
          <w:sz w:val="20"/>
          <w:u w:val="single"/>
        </w:rPr>
        <w:t>.</w:t>
      </w:r>
    </w:p>
    <w:p w:rsidR="00CE5C3E" w:rsidRPr="00833658" w:rsidRDefault="00CE5C3E" w:rsidP="00CE5C3E">
      <w:pPr>
        <w:pStyle w:val="ListParagraph"/>
        <w:bidi w:val="0"/>
        <w:ind w:left="0"/>
        <w:jc w:val="lowKashida"/>
        <w:rPr>
          <w:rFonts w:cs="Times New Roman"/>
          <w:i/>
          <w:iCs/>
          <w:sz w:val="10"/>
          <w:szCs w:val="10"/>
          <w:u w:val="single"/>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Labor and Wages                               </w:t>
      </w:r>
    </w:p>
    <w:p w:rsidR="00D9029F" w:rsidRDefault="00067375"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In </w:t>
      </w:r>
      <w:r w:rsidR="002970BC" w:rsidRPr="00993DCB">
        <w:t>2013</w:t>
      </w:r>
      <w:r w:rsidRPr="00993DCB">
        <w:t xml:space="preserve">, the </w:t>
      </w:r>
      <w:r w:rsidR="00210CA8" w:rsidRPr="00993DCB">
        <w:t>labor</w:t>
      </w:r>
      <w:r w:rsidRPr="00993DCB">
        <w:t xml:space="preserve"> force participation rate in Palestine was 43.6%: 69.</w:t>
      </w:r>
      <w:r w:rsidR="002970BC" w:rsidRPr="00993DCB">
        <w:t>3</w:t>
      </w:r>
      <w:r w:rsidRPr="00993DCB">
        <w:t>% for males and 17.</w:t>
      </w:r>
      <w:r w:rsidR="002970BC" w:rsidRPr="00993DCB">
        <w:t>3</w:t>
      </w:r>
      <w:r w:rsidRPr="00993DCB">
        <w:t>% for females.</w:t>
      </w:r>
    </w:p>
    <w:p w:rsidR="003E4CA5" w:rsidRPr="00D402BC" w:rsidRDefault="003E4CA5" w:rsidP="003E4CA5">
      <w:pPr>
        <w:jc w:val="center"/>
        <w:rPr>
          <w:rFonts w:ascii="Arial" w:hAnsi="Arial" w:cs="Arial"/>
          <w:b/>
          <w:bCs/>
          <w:snapToGrid w:val="0"/>
          <w:sz w:val="4"/>
          <w:szCs w:val="4"/>
        </w:rPr>
      </w:pPr>
    </w:p>
    <w:p w:rsidR="003E4CA5" w:rsidRPr="003E4CA5" w:rsidRDefault="003E4CA5" w:rsidP="003E4CA5">
      <w:pPr>
        <w:jc w:val="center"/>
        <w:rPr>
          <w:rFonts w:ascii="Arial" w:hAnsi="Arial" w:cs="Arial"/>
          <w:b/>
          <w:bCs/>
          <w:snapToGrid w:val="0"/>
          <w:sz w:val="18"/>
          <w:szCs w:val="18"/>
        </w:rPr>
      </w:pPr>
      <w:r w:rsidRPr="003E4CA5">
        <w:rPr>
          <w:rFonts w:ascii="Arial" w:hAnsi="Arial" w:cs="Arial"/>
          <w:b/>
          <w:bCs/>
          <w:snapToGrid w:val="0"/>
          <w:sz w:val="18"/>
          <w:szCs w:val="18"/>
        </w:rPr>
        <w:t>Percentage of Population (15 Years and Above) in Palestine by Labor Force Status and Age Groups, 2013</w:t>
      </w:r>
    </w:p>
    <w:p w:rsidR="003E4CA5" w:rsidRPr="003E4CA5" w:rsidRDefault="003E4CA5" w:rsidP="003E4CA5">
      <w:pPr>
        <w:jc w:val="lowKashida"/>
        <w:rPr>
          <w:b/>
          <w:bCs/>
          <w:rtl/>
        </w:rPr>
      </w:pPr>
      <w:r w:rsidRPr="003D14BE">
        <w:rPr>
          <w:noProof/>
          <w:bdr w:val="single" w:sz="4" w:space="0" w:color="auto"/>
          <w:vertAlign w:val="subscript"/>
        </w:rPr>
        <w:drawing>
          <wp:inline distT="0" distB="0" distL="0" distR="0">
            <wp:extent cx="4315968" cy="1806854"/>
            <wp:effectExtent l="0" t="0" r="0" b="0"/>
            <wp:docPr id="8"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9029F" w:rsidRPr="00993DCB" w:rsidRDefault="003E4CA5" w:rsidP="003E4CA5">
      <w:pPr>
        <w:pStyle w:val="BodyText"/>
        <w:numPr>
          <w:ilvl w:val="0"/>
          <w:numId w:val="3"/>
        </w:numPr>
        <w:tabs>
          <w:tab w:val="num" w:pos="360"/>
        </w:tabs>
        <w:overflowPunct/>
        <w:autoSpaceDE/>
        <w:autoSpaceDN/>
        <w:adjustRightInd/>
        <w:ind w:left="142" w:hanging="142"/>
        <w:jc w:val="lowKashida"/>
        <w:textAlignment w:val="auto"/>
      </w:pPr>
      <w:r>
        <w:rPr>
          <w:noProof/>
        </w:rPr>
        <w:drawing>
          <wp:anchor distT="0" distB="0" distL="114300" distR="114300" simplePos="0" relativeHeight="251665408" behindDoc="0" locked="0" layoutInCell="1" allowOverlap="1">
            <wp:simplePos x="0" y="0"/>
            <wp:positionH relativeFrom="column">
              <wp:posOffset>1181100</wp:posOffset>
            </wp:positionH>
            <wp:positionV relativeFrom="paragraph">
              <wp:posOffset>226060</wp:posOffset>
            </wp:positionV>
            <wp:extent cx="3228340" cy="4140200"/>
            <wp:effectExtent l="19050" t="0" r="0" b="0"/>
            <wp:wrapSquare wrapText="bothSides"/>
            <wp:docPr id="19" name="Picture 4" descr="G:\كتاب 2014\خرائط\البطالة انجليز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كتاب 2014\خرائط\البطالة انجليزي.jpg"/>
                    <pic:cNvPicPr>
                      <a:picLocks noChangeAspect="1" noChangeArrowheads="1"/>
                    </pic:cNvPicPr>
                  </pic:nvPicPr>
                  <pic:blipFill>
                    <a:blip r:embed="rId18"/>
                    <a:srcRect/>
                    <a:stretch>
                      <a:fillRect/>
                    </a:stretch>
                  </pic:blipFill>
                  <pic:spPr bwMode="auto">
                    <a:xfrm>
                      <a:off x="0" y="0"/>
                      <a:ext cx="3228340" cy="4140200"/>
                    </a:xfrm>
                    <a:prstGeom prst="rect">
                      <a:avLst/>
                    </a:prstGeom>
                    <a:noFill/>
                    <a:ln w="9525">
                      <a:noFill/>
                      <a:miter lim="800000"/>
                      <a:headEnd/>
                      <a:tailEnd/>
                    </a:ln>
                  </pic:spPr>
                </pic:pic>
              </a:graphicData>
            </a:graphic>
          </wp:anchor>
        </w:drawing>
      </w:r>
      <w:r w:rsidR="00D9029F" w:rsidRPr="00993DCB">
        <w:t xml:space="preserve">In </w:t>
      </w:r>
      <w:r w:rsidR="00AA0C8F" w:rsidRPr="00993DCB">
        <w:t>2013</w:t>
      </w:r>
      <w:r w:rsidR="00D9029F" w:rsidRPr="00993DCB">
        <w:t xml:space="preserve">, the unemployment rate was </w:t>
      </w:r>
      <w:r w:rsidR="00067375" w:rsidRPr="00993DCB">
        <w:t>23.</w:t>
      </w:r>
      <w:r w:rsidR="002970BC" w:rsidRPr="00993DCB">
        <w:t>4</w:t>
      </w:r>
      <w:r w:rsidR="00D9029F" w:rsidRPr="00993DCB">
        <w:t xml:space="preserve">% in </w:t>
      </w:r>
      <w:r w:rsidR="0021776D" w:rsidRPr="00993DCB">
        <w:t>Palestine</w:t>
      </w:r>
      <w:r w:rsidR="00D9029F" w:rsidRPr="00993DCB">
        <w:t xml:space="preserve">: </w:t>
      </w:r>
      <w:r w:rsidR="00067375" w:rsidRPr="00993DCB">
        <w:t>20.</w:t>
      </w:r>
      <w:r w:rsidR="002970BC" w:rsidRPr="00993DCB">
        <w:t>6</w:t>
      </w:r>
      <w:r w:rsidR="00D9029F" w:rsidRPr="00993DCB">
        <w:t xml:space="preserve">% for males and </w:t>
      </w:r>
      <w:r w:rsidR="002970BC" w:rsidRPr="00993DCB">
        <w:t>35.0</w:t>
      </w:r>
      <w:r w:rsidR="00D9029F" w:rsidRPr="00993DCB">
        <w:t>% for females.</w:t>
      </w:r>
    </w:p>
    <w:p w:rsidR="00D9029F" w:rsidRPr="00993DCB" w:rsidRDefault="00D9029F" w:rsidP="00331B49">
      <w:pPr>
        <w:pStyle w:val="BodyText"/>
        <w:numPr>
          <w:ilvl w:val="0"/>
          <w:numId w:val="3"/>
        </w:numPr>
        <w:tabs>
          <w:tab w:val="num" w:pos="360"/>
        </w:tabs>
        <w:overflowPunct/>
        <w:autoSpaceDE/>
        <w:autoSpaceDN/>
        <w:adjustRightInd/>
        <w:ind w:left="142" w:hanging="142"/>
        <w:jc w:val="lowKashida"/>
        <w:textAlignment w:val="auto"/>
      </w:pPr>
      <w:r w:rsidRPr="00993DCB">
        <w:t>Most workers (</w:t>
      </w:r>
      <w:r w:rsidR="00165F15" w:rsidRPr="00993DCB">
        <w:rPr>
          <w:rFonts w:hint="cs"/>
          <w:rtl/>
        </w:rPr>
        <w:t>68.2</w:t>
      </w:r>
      <w:r w:rsidRPr="00993DCB">
        <w:t xml:space="preserve">%) in </w:t>
      </w:r>
      <w:r w:rsidR="0021776D" w:rsidRPr="00993DCB">
        <w:t>Palestine</w:t>
      </w:r>
      <w:r w:rsidRPr="00993DCB">
        <w:t xml:space="preserve"> in </w:t>
      </w:r>
      <w:r w:rsidR="00165F15" w:rsidRPr="00993DCB">
        <w:t>2013</w:t>
      </w:r>
      <w:r w:rsidRPr="00993DCB">
        <w:t xml:space="preserve"> were wage</w:t>
      </w:r>
      <w:r w:rsidR="00CC6ED1" w:rsidRPr="00993DCB">
        <w:t>d</w:t>
      </w:r>
      <w:r w:rsidRPr="00993DCB">
        <w:t xml:space="preserve"> employees</w:t>
      </w:r>
      <w:r w:rsidR="00CC6ED1" w:rsidRPr="00993DCB">
        <w:t>:</w:t>
      </w:r>
      <w:r w:rsidRPr="00993DCB">
        <w:t xml:space="preserve"> </w:t>
      </w:r>
      <w:r w:rsidR="00165F15" w:rsidRPr="00993DCB">
        <w:t>94.9</w:t>
      </w:r>
      <w:r w:rsidRPr="00993DCB">
        <w:t>% of workers in Israel and Israeli settlements are wage</w:t>
      </w:r>
      <w:r w:rsidR="00CC6ED1" w:rsidRPr="00993DCB">
        <w:t>d</w:t>
      </w:r>
      <w:r w:rsidRPr="00993DCB">
        <w:t xml:space="preserve"> employees.</w:t>
      </w:r>
    </w:p>
    <w:p w:rsidR="00D9029F" w:rsidRPr="00993DCB" w:rsidRDefault="002D3119" w:rsidP="00331B49">
      <w:pPr>
        <w:pStyle w:val="BodyText"/>
        <w:numPr>
          <w:ilvl w:val="0"/>
          <w:numId w:val="3"/>
        </w:numPr>
        <w:tabs>
          <w:tab w:val="num" w:pos="360"/>
        </w:tabs>
        <w:overflowPunct/>
        <w:autoSpaceDE/>
        <w:autoSpaceDN/>
        <w:adjustRightInd/>
        <w:ind w:left="142" w:hanging="142"/>
        <w:jc w:val="lowKashida"/>
        <w:textAlignment w:val="auto"/>
      </w:pPr>
      <w:r w:rsidRPr="00993DCB">
        <w:rPr>
          <w:rFonts w:hint="cs"/>
          <w:rtl/>
        </w:rPr>
        <w:t>3.5</w:t>
      </w:r>
      <w:r w:rsidR="00D9029F" w:rsidRPr="00993DCB">
        <w:t xml:space="preserve">% of children in </w:t>
      </w:r>
      <w:r w:rsidR="0021776D" w:rsidRPr="00993DCB">
        <w:t>Palestine</w:t>
      </w:r>
      <w:r w:rsidR="00D9029F" w:rsidRPr="00993DCB">
        <w:t xml:space="preserve"> were in employment: </w:t>
      </w:r>
      <w:r w:rsidRPr="00993DCB">
        <w:rPr>
          <w:rFonts w:hint="cs"/>
          <w:rtl/>
        </w:rPr>
        <w:t>6.5</w:t>
      </w:r>
      <w:r w:rsidR="00D9029F" w:rsidRPr="00993DCB">
        <w:t>% male and 0.</w:t>
      </w:r>
      <w:r w:rsidRPr="00993DCB">
        <w:rPr>
          <w:rFonts w:hint="cs"/>
          <w:rtl/>
        </w:rPr>
        <w:t>3</w:t>
      </w:r>
      <w:r w:rsidR="00D9029F" w:rsidRPr="00993DCB">
        <w:t>% female.</w:t>
      </w:r>
    </w:p>
    <w:p w:rsidR="002C203F" w:rsidRPr="00993DCB" w:rsidRDefault="002C203F" w:rsidP="00CB23EE">
      <w:pPr>
        <w:pStyle w:val="ListParagraph"/>
        <w:bidi w:val="0"/>
        <w:ind w:left="0"/>
        <w:jc w:val="lowKashida"/>
        <w:rPr>
          <w:rFonts w:cs="Times New Roman"/>
          <w:i/>
          <w:iCs/>
          <w:sz w:val="20"/>
          <w:u w:val="single"/>
        </w:rPr>
      </w:pPr>
      <w:r w:rsidRPr="00993DCB">
        <w:rPr>
          <w:rFonts w:cs="Times New Roman"/>
          <w:i/>
          <w:iCs/>
          <w:sz w:val="20"/>
          <w:u w:val="single"/>
        </w:rPr>
        <w:t>For more detail</w:t>
      </w:r>
      <w:r w:rsidR="003C6E13" w:rsidRPr="00993DCB">
        <w:rPr>
          <w:rFonts w:cs="Times New Roman"/>
          <w:i/>
          <w:iCs/>
          <w:sz w:val="20"/>
          <w:u w:val="single"/>
        </w:rPr>
        <w:t>s</w:t>
      </w:r>
      <w:r w:rsidRPr="00993DCB">
        <w:rPr>
          <w:rFonts w:cs="Times New Roman"/>
          <w:i/>
          <w:iCs/>
          <w:sz w:val="20"/>
          <w:u w:val="single"/>
        </w:rPr>
        <w:t xml:space="preserve"> </w:t>
      </w:r>
      <w:r w:rsidR="003C6E13" w:rsidRPr="00993DCB">
        <w:rPr>
          <w:rFonts w:cs="Times New Roman"/>
          <w:i/>
          <w:iCs/>
          <w:sz w:val="20"/>
          <w:u w:val="single"/>
        </w:rPr>
        <w:t>on</w:t>
      </w:r>
      <w:r w:rsidRPr="00993DCB">
        <w:rPr>
          <w:rFonts w:cs="Times New Roman"/>
          <w:i/>
          <w:iCs/>
          <w:sz w:val="20"/>
          <w:u w:val="single"/>
        </w:rPr>
        <w:t xml:space="preserve"> </w:t>
      </w:r>
      <w:r w:rsidR="003C6E13" w:rsidRPr="00993DCB">
        <w:rPr>
          <w:rFonts w:cs="Times New Roman"/>
          <w:i/>
          <w:iCs/>
          <w:sz w:val="20"/>
          <w:u w:val="single"/>
        </w:rPr>
        <w:t>l</w:t>
      </w:r>
      <w:r w:rsidRPr="00993DCB">
        <w:rPr>
          <w:rFonts w:cs="Times New Roman"/>
          <w:i/>
          <w:iCs/>
          <w:sz w:val="20"/>
          <w:u w:val="single"/>
        </w:rPr>
        <w:t xml:space="preserve">abor and </w:t>
      </w:r>
      <w:r w:rsidR="003C6E13" w:rsidRPr="00993DCB">
        <w:rPr>
          <w:rFonts w:cs="Times New Roman"/>
          <w:i/>
          <w:iCs/>
          <w:sz w:val="20"/>
          <w:u w:val="single"/>
        </w:rPr>
        <w:t>w</w:t>
      </w:r>
      <w:r w:rsidRPr="00993DCB">
        <w:rPr>
          <w:rFonts w:cs="Times New Roman"/>
          <w:i/>
          <w:iCs/>
          <w:sz w:val="20"/>
          <w:u w:val="single"/>
        </w:rPr>
        <w:t>ages</w:t>
      </w:r>
      <w:r w:rsidR="003C6E13"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see</w:t>
      </w:r>
      <w:r w:rsidR="003C6E13" w:rsidRPr="00993DCB">
        <w:rPr>
          <w:rFonts w:cs="Times New Roman"/>
          <w:i/>
          <w:iCs/>
          <w:sz w:val="20"/>
          <w:u w:val="single"/>
        </w:rPr>
        <w:t xml:space="preserve"> the</w:t>
      </w:r>
      <w:r w:rsidR="0037009A" w:rsidRPr="00993DCB">
        <w:rPr>
          <w:rFonts w:cs="Times New Roman"/>
          <w:i/>
          <w:iCs/>
          <w:sz w:val="20"/>
          <w:u w:val="single"/>
        </w:rPr>
        <w:t xml:space="preserve"> tables </w:t>
      </w:r>
      <w:r w:rsidRPr="00993DCB">
        <w:rPr>
          <w:rFonts w:cs="Times New Roman"/>
          <w:i/>
          <w:iCs/>
          <w:sz w:val="20"/>
          <w:u w:val="single"/>
        </w:rPr>
        <w:t>in chapter 1.1</w:t>
      </w:r>
      <w:r w:rsidR="00A822B8" w:rsidRPr="00993DCB">
        <w:rPr>
          <w:rFonts w:cs="Times New Roman"/>
          <w:i/>
          <w:iCs/>
          <w:sz w:val="20"/>
          <w:u w:val="single"/>
        </w:rPr>
        <w:t>2</w:t>
      </w:r>
      <w:r w:rsidRPr="00993DCB">
        <w:rPr>
          <w:rFonts w:cs="Times New Roman"/>
          <w:i/>
          <w:iCs/>
          <w:sz w:val="20"/>
          <w:u w:val="single"/>
        </w:rPr>
        <w:t xml:space="preserve"> </w:t>
      </w:r>
      <w:r w:rsidR="003C6E13" w:rsidRPr="00993DCB">
        <w:rPr>
          <w:rFonts w:cs="Times New Roman"/>
          <w:i/>
          <w:iCs/>
          <w:sz w:val="20"/>
          <w:u w:val="single"/>
        </w:rPr>
        <w:t xml:space="preserve">of the </w:t>
      </w:r>
      <w:r w:rsidR="00654A09" w:rsidRPr="00993DCB">
        <w:rPr>
          <w:rFonts w:cs="Times New Roman"/>
          <w:i/>
          <w:iCs/>
          <w:sz w:val="20"/>
          <w:u w:val="single"/>
        </w:rPr>
        <w:t>Arabic</w:t>
      </w:r>
      <w:r w:rsidR="003C6E13" w:rsidRPr="00993DCB">
        <w:rPr>
          <w:rFonts w:cs="Times New Roman"/>
          <w:i/>
          <w:iCs/>
          <w:sz w:val="20"/>
          <w:u w:val="single"/>
        </w:rPr>
        <w:t xml:space="preserve"> section,</w:t>
      </w:r>
      <w:r w:rsidRPr="00993DCB">
        <w:rPr>
          <w:rFonts w:cs="Times New Roman"/>
          <w:i/>
          <w:iCs/>
          <w:sz w:val="20"/>
          <w:u w:val="single"/>
        </w:rPr>
        <w:t xml:space="preserve"> page</w:t>
      </w:r>
      <w:r w:rsidR="003C6E13" w:rsidRPr="00993DCB">
        <w:rPr>
          <w:rFonts w:cs="Times New Roman"/>
          <w:i/>
          <w:iCs/>
          <w:sz w:val="20"/>
          <w:u w:val="single"/>
        </w:rPr>
        <w:t>s</w:t>
      </w:r>
      <w:r w:rsidRPr="00993DCB">
        <w:rPr>
          <w:rFonts w:cs="Times New Roman"/>
          <w:i/>
          <w:iCs/>
          <w:noProof w:val="0"/>
          <w:sz w:val="20"/>
          <w:u w:val="single"/>
          <w:rtl/>
        </w:rPr>
        <w:t xml:space="preserve"> </w:t>
      </w:r>
      <w:r w:rsidR="00A43340">
        <w:rPr>
          <w:rFonts w:cs="Times New Roman"/>
          <w:i/>
          <w:iCs/>
          <w:sz w:val="20"/>
          <w:u w:val="single"/>
        </w:rPr>
        <w:t>12</w:t>
      </w:r>
      <w:r w:rsidR="00CB23EE">
        <w:rPr>
          <w:rFonts w:cs="Times New Roman"/>
          <w:i/>
          <w:iCs/>
          <w:sz w:val="20"/>
          <w:u w:val="single"/>
        </w:rPr>
        <w:t>7</w:t>
      </w:r>
      <w:r w:rsidR="003E7B2E" w:rsidRPr="00993DCB">
        <w:rPr>
          <w:rFonts w:cs="Times New Roman"/>
          <w:i/>
          <w:iCs/>
          <w:sz w:val="20"/>
          <w:u w:val="single"/>
        </w:rPr>
        <w:t>-</w:t>
      </w:r>
      <w:r w:rsidR="00A43340">
        <w:rPr>
          <w:rFonts w:cs="Times New Roman"/>
          <w:i/>
          <w:iCs/>
          <w:sz w:val="20"/>
          <w:u w:val="single"/>
        </w:rPr>
        <w:t>138</w:t>
      </w:r>
      <w:r w:rsidR="003C6E13" w:rsidRPr="00993DCB">
        <w:rPr>
          <w:rFonts w:cs="Times New Roman"/>
          <w:i/>
          <w:iCs/>
          <w:sz w:val="20"/>
          <w:u w:val="single"/>
        </w:rPr>
        <w:t>.</w:t>
      </w:r>
    </w:p>
    <w:p w:rsidR="002C203F" w:rsidRPr="00993DCB" w:rsidRDefault="002C203F" w:rsidP="002C203F">
      <w:pPr>
        <w:ind w:left="-14"/>
        <w:jc w:val="both"/>
        <w:rPr>
          <w:noProof/>
          <w:sz w:val="16"/>
          <w:szCs w:val="16"/>
        </w:rPr>
      </w:pPr>
    </w:p>
    <w:p w:rsidR="00B56D61" w:rsidRPr="00993DCB" w:rsidRDefault="00B56D61"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Establishment</w:t>
      </w:r>
      <w:r w:rsidR="00CC6ED1" w:rsidRPr="00993DCB">
        <w:rPr>
          <w:rFonts w:cs="Traditional Arabic"/>
          <w:sz w:val="20"/>
          <w:szCs w:val="20"/>
        </w:rPr>
        <w:t>s</w:t>
      </w:r>
    </w:p>
    <w:p w:rsidR="003E4CA5" w:rsidRDefault="00CC6ED1" w:rsidP="00331B49">
      <w:pPr>
        <w:pStyle w:val="BodyText"/>
        <w:numPr>
          <w:ilvl w:val="0"/>
          <w:numId w:val="3"/>
        </w:numPr>
        <w:tabs>
          <w:tab w:val="num" w:pos="360"/>
        </w:tabs>
        <w:overflowPunct/>
        <w:autoSpaceDE/>
        <w:autoSpaceDN/>
        <w:adjustRightInd/>
        <w:ind w:left="142" w:hanging="142"/>
        <w:jc w:val="left"/>
        <w:textAlignment w:val="auto"/>
      </w:pPr>
      <w:r w:rsidRPr="00993DCB">
        <w:t>In 2012 e</w:t>
      </w:r>
      <w:r w:rsidR="00210CA8" w:rsidRPr="00993DCB">
        <w:t>stablishment</w:t>
      </w:r>
      <w:r w:rsidRPr="00993DCB">
        <w:t>s operating</w:t>
      </w:r>
      <w:r w:rsidR="00210CA8" w:rsidRPr="00993DCB">
        <w:t xml:space="preserve"> in the private sector, n</w:t>
      </w:r>
      <w:r w:rsidR="00106734" w:rsidRPr="00993DCB">
        <w:t xml:space="preserve">on-governmental   </w:t>
      </w:r>
      <w:r w:rsidR="006C4981" w:rsidRPr="00993DCB">
        <w:t>organization</w:t>
      </w:r>
      <w:r w:rsidR="00210CA8" w:rsidRPr="00993DCB">
        <w:t xml:space="preserve"> sector and government companies in Palestine </w:t>
      </w:r>
      <w:r w:rsidRPr="00993DCB">
        <w:t xml:space="preserve">comprised </w:t>
      </w:r>
      <w:r w:rsidR="00210CA8" w:rsidRPr="00993DCB">
        <w:t xml:space="preserve">135,401 </w:t>
      </w:r>
      <w:r w:rsidR="006C4981" w:rsidRPr="00993DCB">
        <w:t>e</w:t>
      </w:r>
      <w:r w:rsidR="00210CA8" w:rsidRPr="00993DCB">
        <w:t>stablishment</w:t>
      </w:r>
      <w:r w:rsidRPr="00993DCB">
        <w:t>s</w:t>
      </w:r>
      <w:r w:rsidR="009A1CD5" w:rsidRPr="00993DCB">
        <w:t>:</w:t>
      </w:r>
      <w:r w:rsidR="00210CA8" w:rsidRPr="00993DCB">
        <w:t xml:space="preserve"> 91,203 </w:t>
      </w:r>
      <w:r w:rsidR="006C4981" w:rsidRPr="00993DCB">
        <w:t>e</w:t>
      </w:r>
      <w:r w:rsidR="00210CA8" w:rsidRPr="00993DCB">
        <w:t>stablishment</w:t>
      </w:r>
      <w:r w:rsidRPr="00993DCB">
        <w:t>s</w:t>
      </w:r>
      <w:r w:rsidR="00210CA8" w:rsidRPr="00993DCB">
        <w:t xml:space="preserve"> in the </w:t>
      </w:r>
      <w:r w:rsidR="006C4981" w:rsidRPr="00993DCB">
        <w:t>W</w:t>
      </w:r>
      <w:r w:rsidR="00210CA8" w:rsidRPr="00993DCB">
        <w:t xml:space="preserve">est </w:t>
      </w:r>
      <w:r w:rsidR="006C4981" w:rsidRPr="00993DCB">
        <w:t>B</w:t>
      </w:r>
      <w:r w:rsidR="00210CA8" w:rsidRPr="00993DCB">
        <w:t xml:space="preserve">ank and 44,198 </w:t>
      </w:r>
      <w:r w:rsidR="006C4981" w:rsidRPr="00993DCB">
        <w:t>e</w:t>
      </w:r>
      <w:r w:rsidR="00210CA8" w:rsidRPr="00993DCB">
        <w:t>stablishment</w:t>
      </w:r>
      <w:r w:rsidRPr="00993DCB">
        <w:t>s</w:t>
      </w:r>
      <w:r w:rsidR="00210CA8" w:rsidRPr="00993DCB">
        <w:t xml:space="preserve"> in </w:t>
      </w:r>
      <w:r w:rsidR="007C01D8" w:rsidRPr="00993DCB">
        <w:t>Gaza Strip</w:t>
      </w:r>
      <w:r w:rsidRPr="00993DCB">
        <w:t>.</w:t>
      </w:r>
      <w:r w:rsidR="00106734" w:rsidRPr="00993DCB">
        <w:t xml:space="preserve"> </w:t>
      </w:r>
      <w:r w:rsidRPr="00993DCB">
        <w:t>T</w:t>
      </w:r>
      <w:r w:rsidR="00106734" w:rsidRPr="00993DCB">
        <w:t xml:space="preserve">he number of employees </w:t>
      </w:r>
      <w:r w:rsidR="00210CA8" w:rsidRPr="00993DCB">
        <w:t>in Palestine in 2012 w</w:t>
      </w:r>
      <w:r w:rsidRPr="00993DCB">
        <w:t>as</w:t>
      </w:r>
      <w:r w:rsidR="00210CA8" w:rsidRPr="00993DCB">
        <w:t xml:space="preserve"> 384,778</w:t>
      </w:r>
      <w:r w:rsidRPr="00993DCB">
        <w:t>:</w:t>
      </w:r>
      <w:r w:rsidR="00210CA8" w:rsidRPr="00993DCB">
        <w:t xml:space="preserve"> 262,825 employees in the </w:t>
      </w:r>
      <w:r w:rsidR="006C4981" w:rsidRPr="00993DCB">
        <w:t xml:space="preserve">West Bank </w:t>
      </w:r>
      <w:r w:rsidR="00210CA8" w:rsidRPr="00993DCB">
        <w:t xml:space="preserve">and 121,953 employees in </w:t>
      </w:r>
      <w:r w:rsidR="007C01D8" w:rsidRPr="00993DCB">
        <w:t>Gaza Strip</w:t>
      </w:r>
      <w:r w:rsidR="00210CA8" w:rsidRPr="00993DCB">
        <w:t>.</w:t>
      </w:r>
    </w:p>
    <w:p w:rsidR="00B56D61" w:rsidRPr="00993DCB" w:rsidRDefault="00210CA8" w:rsidP="003E4CA5">
      <w:pPr>
        <w:pStyle w:val="BodyText"/>
        <w:overflowPunct/>
        <w:autoSpaceDE/>
        <w:autoSpaceDN/>
        <w:adjustRightInd/>
        <w:ind w:left="142"/>
        <w:jc w:val="left"/>
        <w:textAlignment w:val="auto"/>
      </w:pPr>
      <w:r w:rsidRPr="00993DCB">
        <w:rPr>
          <w:rtl/>
        </w:rPr>
        <w:t xml:space="preserve"> </w:t>
      </w:r>
    </w:p>
    <w:p w:rsidR="00451E35" w:rsidRPr="00993DCB" w:rsidRDefault="00B56D61" w:rsidP="00331B49">
      <w:pPr>
        <w:pStyle w:val="BodyText"/>
        <w:numPr>
          <w:ilvl w:val="0"/>
          <w:numId w:val="3"/>
        </w:numPr>
        <w:tabs>
          <w:tab w:val="num" w:pos="360"/>
        </w:tabs>
        <w:overflowPunct/>
        <w:autoSpaceDE/>
        <w:autoSpaceDN/>
        <w:adjustRightInd/>
        <w:ind w:left="142" w:hanging="142"/>
        <w:textAlignment w:val="auto"/>
      </w:pPr>
      <w:r w:rsidRPr="00993DCB">
        <w:t>The distribution of establishments</w:t>
      </w:r>
      <w:r w:rsidR="00CC6ED1" w:rsidRPr="00993DCB">
        <w:t xml:space="preserve"> operating</w:t>
      </w:r>
      <w:r w:rsidRPr="00993DCB">
        <w:t xml:space="preserve"> in Palestine in the private sector, non-governmental organization s</w:t>
      </w:r>
      <w:r w:rsidR="004D4069" w:rsidRPr="00993DCB">
        <w:t xml:space="preserve">ector and government companies </w:t>
      </w:r>
      <w:r w:rsidRPr="00993DCB">
        <w:t>by economic activity</w:t>
      </w:r>
      <w:r w:rsidR="00451E35" w:rsidRPr="00993DCB">
        <w:t xml:space="preserve"> </w:t>
      </w:r>
      <w:r w:rsidR="00CC6ED1" w:rsidRPr="00993DCB">
        <w:t>s</w:t>
      </w:r>
      <w:r w:rsidRPr="00993DCB">
        <w:t>how</w:t>
      </w:r>
      <w:r w:rsidR="006C4981" w:rsidRPr="00993DCB">
        <w:t>ed</w:t>
      </w:r>
      <w:r w:rsidRPr="00993DCB">
        <w:t xml:space="preserve"> that the activities of wholesale, retail</w:t>
      </w:r>
      <w:r w:rsidR="005223F2">
        <w:t xml:space="preserve"> trade</w:t>
      </w:r>
      <w:r w:rsidRPr="00993DCB">
        <w:t xml:space="preserve"> and repairs came first with 73,823 establishments, </w:t>
      </w:r>
      <w:r w:rsidR="006C4981" w:rsidRPr="00993DCB">
        <w:t>m</w:t>
      </w:r>
      <w:r w:rsidRPr="00993DCB">
        <w:t xml:space="preserve">anufacturing activities came in second place with 17,858 establishments, </w:t>
      </w:r>
      <w:r w:rsidR="00CC6ED1" w:rsidRPr="00993DCB">
        <w:t xml:space="preserve">and </w:t>
      </w:r>
      <w:r w:rsidRPr="00993DCB">
        <w:t xml:space="preserve">establishments in other services activities </w:t>
      </w:r>
      <w:r w:rsidR="00CC6ED1" w:rsidRPr="00993DCB">
        <w:t>totaled</w:t>
      </w:r>
      <w:r w:rsidRPr="00993DCB">
        <w:t xml:space="preserve"> 13,098 establishments</w:t>
      </w:r>
      <w:r w:rsidR="00CC6ED1" w:rsidRPr="00993DCB">
        <w:t>.</w:t>
      </w:r>
      <w:r w:rsidRPr="00993DCB">
        <w:t xml:space="preserve"> </w:t>
      </w:r>
      <w:r w:rsidR="00CC6ED1" w:rsidRPr="00993DCB">
        <w:t>T</w:t>
      </w:r>
      <w:r w:rsidRPr="00993DCB">
        <w:t xml:space="preserve">he </w:t>
      </w:r>
      <w:r w:rsidR="00B12511" w:rsidRPr="00993DCB">
        <w:t>smallest number was</w:t>
      </w:r>
      <w:r w:rsidRPr="00993DCB">
        <w:t xml:space="preserve"> in the </w:t>
      </w:r>
      <w:r w:rsidR="006C4981" w:rsidRPr="00993DCB">
        <w:t>a</w:t>
      </w:r>
      <w:r w:rsidRPr="00993DCB">
        <w:t xml:space="preserve">ctivities of households as employers </w:t>
      </w:r>
      <w:r w:rsidR="009A1CD5" w:rsidRPr="00993DCB">
        <w:t xml:space="preserve">of </w:t>
      </w:r>
      <w:r w:rsidRPr="00993DCB">
        <w:t xml:space="preserve">undifferentiated goods and service-producing activities of households for own use </w:t>
      </w:r>
      <w:r w:rsidR="00B12511" w:rsidRPr="00993DCB">
        <w:t>with six</w:t>
      </w:r>
      <w:r w:rsidRPr="00993DCB">
        <w:t xml:space="preserve"> establishments</w:t>
      </w:r>
      <w:r w:rsidR="00451E35" w:rsidRPr="00993DCB">
        <w:t>.</w:t>
      </w:r>
      <w:r w:rsidRPr="00993DCB">
        <w:t xml:space="preserve">  </w:t>
      </w:r>
    </w:p>
    <w:p w:rsidR="00451E35" w:rsidRPr="00993DCB" w:rsidRDefault="00451E35" w:rsidP="00451E35">
      <w:pPr>
        <w:pStyle w:val="ListParagraph"/>
      </w:pPr>
    </w:p>
    <w:p w:rsidR="00451E35" w:rsidRDefault="00451E35" w:rsidP="00F37F52">
      <w:pPr>
        <w:pStyle w:val="Title"/>
        <w:bidi w:val="0"/>
        <w:jc w:val="left"/>
        <w:rPr>
          <w:rFonts w:cs="Times New Roman"/>
          <w:b w:val="0"/>
          <w:bCs w:val="0"/>
          <w:i/>
          <w:iCs/>
          <w:noProof w:val="0"/>
          <w:sz w:val="20"/>
          <w:szCs w:val="20"/>
          <w:u w:val="single"/>
        </w:rPr>
      </w:pPr>
      <w:r w:rsidRPr="00993DCB">
        <w:rPr>
          <w:rFonts w:cs="Times New Roman"/>
          <w:b w:val="0"/>
          <w:bCs w:val="0"/>
          <w:i/>
          <w:iCs/>
          <w:noProof w:val="0"/>
          <w:sz w:val="20"/>
          <w:szCs w:val="20"/>
          <w:u w:val="single"/>
        </w:rPr>
        <w:t xml:space="preserve">For more details on </w:t>
      </w:r>
      <w:r w:rsidR="00B12511" w:rsidRPr="00993DCB">
        <w:rPr>
          <w:rFonts w:cs="Times New Roman"/>
          <w:b w:val="0"/>
          <w:bCs w:val="0"/>
          <w:i/>
          <w:iCs/>
          <w:noProof w:val="0"/>
          <w:sz w:val="20"/>
          <w:szCs w:val="20"/>
          <w:u w:val="single"/>
        </w:rPr>
        <w:t>e</w:t>
      </w:r>
      <w:r w:rsidRPr="00993DCB">
        <w:rPr>
          <w:rFonts w:cs="Times New Roman"/>
          <w:b w:val="0"/>
          <w:bCs w:val="0"/>
          <w:i/>
          <w:iCs/>
          <w:noProof w:val="0"/>
          <w:sz w:val="20"/>
          <w:szCs w:val="20"/>
          <w:u w:val="single"/>
        </w:rPr>
        <w:t>stablishment</w:t>
      </w:r>
      <w:r w:rsidR="00B12511" w:rsidRPr="00993DCB">
        <w:rPr>
          <w:rFonts w:cs="Times New Roman"/>
          <w:b w:val="0"/>
          <w:bCs w:val="0"/>
          <w:i/>
          <w:iCs/>
          <w:noProof w:val="0"/>
          <w:sz w:val="20"/>
          <w:szCs w:val="20"/>
          <w:u w:val="single"/>
        </w:rPr>
        <w:t>s</w:t>
      </w:r>
      <w:r w:rsidRPr="00993DCB">
        <w:rPr>
          <w:rFonts w:cs="Times New Roman"/>
          <w:b w:val="0"/>
          <w:bCs w:val="0"/>
          <w:i/>
          <w:iCs/>
          <w:noProof w:val="0"/>
          <w:sz w:val="20"/>
          <w:szCs w:val="20"/>
          <w:u w:val="single"/>
        </w:rPr>
        <w:t>, see the tables in chapter 1.1</w:t>
      </w:r>
      <w:r w:rsidR="003233AA" w:rsidRPr="00993DCB">
        <w:rPr>
          <w:rFonts w:cs="Times New Roman"/>
          <w:b w:val="0"/>
          <w:bCs w:val="0"/>
          <w:i/>
          <w:iCs/>
          <w:noProof w:val="0"/>
          <w:sz w:val="20"/>
          <w:szCs w:val="20"/>
          <w:u w:val="single"/>
        </w:rPr>
        <w:t>3</w:t>
      </w:r>
      <w:r w:rsidRPr="00993DCB">
        <w:rPr>
          <w:rFonts w:cs="Times New Roman"/>
          <w:b w:val="0"/>
          <w:bCs w:val="0"/>
          <w:i/>
          <w:iCs/>
          <w:noProof w:val="0"/>
          <w:sz w:val="20"/>
          <w:szCs w:val="20"/>
          <w:u w:val="single"/>
        </w:rPr>
        <w:t xml:space="preserve"> of the Arabic section, pages</w:t>
      </w:r>
      <w:r w:rsidRPr="00993DCB">
        <w:rPr>
          <w:rFonts w:cs="Times New Roman"/>
          <w:b w:val="0"/>
          <w:bCs w:val="0"/>
          <w:i/>
          <w:iCs/>
          <w:noProof w:val="0"/>
          <w:sz w:val="20"/>
          <w:szCs w:val="20"/>
          <w:u w:val="single"/>
          <w:rtl/>
        </w:rPr>
        <w:t xml:space="preserve"> </w:t>
      </w:r>
      <w:r w:rsidR="00877603">
        <w:rPr>
          <w:rFonts w:cs="Times New Roman"/>
          <w:b w:val="0"/>
          <w:bCs w:val="0"/>
          <w:i/>
          <w:iCs/>
          <w:noProof w:val="0"/>
          <w:sz w:val="20"/>
          <w:szCs w:val="20"/>
          <w:u w:val="single"/>
        </w:rPr>
        <w:t>139</w:t>
      </w:r>
      <w:r w:rsidRPr="00993DCB">
        <w:rPr>
          <w:rFonts w:cs="Times New Roman"/>
          <w:b w:val="0"/>
          <w:bCs w:val="0"/>
          <w:i/>
          <w:iCs/>
          <w:noProof w:val="0"/>
          <w:sz w:val="20"/>
          <w:szCs w:val="20"/>
          <w:u w:val="single"/>
        </w:rPr>
        <w:t>-</w:t>
      </w:r>
      <w:r w:rsidR="00877603">
        <w:rPr>
          <w:rFonts w:cs="Times New Roman"/>
          <w:b w:val="0"/>
          <w:bCs w:val="0"/>
          <w:i/>
          <w:iCs/>
          <w:noProof w:val="0"/>
          <w:sz w:val="20"/>
          <w:szCs w:val="20"/>
          <w:u w:val="single"/>
        </w:rPr>
        <w:t>14</w:t>
      </w:r>
      <w:r w:rsidR="00F37F52">
        <w:rPr>
          <w:rFonts w:cs="Times New Roman"/>
          <w:b w:val="0"/>
          <w:bCs w:val="0"/>
          <w:i/>
          <w:iCs/>
          <w:noProof w:val="0"/>
          <w:sz w:val="20"/>
          <w:szCs w:val="20"/>
          <w:u w:val="single"/>
        </w:rPr>
        <w:t>4</w:t>
      </w:r>
      <w:r w:rsidRPr="00993DCB">
        <w:rPr>
          <w:rFonts w:cs="Times New Roman"/>
          <w:b w:val="0"/>
          <w:bCs w:val="0"/>
          <w:i/>
          <w:iCs/>
          <w:noProof w:val="0"/>
          <w:sz w:val="20"/>
          <w:szCs w:val="20"/>
          <w:u w:val="single"/>
        </w:rPr>
        <w:t>.</w:t>
      </w:r>
    </w:p>
    <w:p w:rsidR="00020126" w:rsidRPr="00993DCB" w:rsidRDefault="00020126"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National Accounts</w:t>
      </w:r>
    </w:p>
    <w:p w:rsidR="00005108" w:rsidRPr="009B60FF" w:rsidRDefault="00005108" w:rsidP="009B60FF">
      <w:pPr>
        <w:pStyle w:val="BodyText"/>
        <w:numPr>
          <w:ilvl w:val="0"/>
          <w:numId w:val="3"/>
        </w:numPr>
        <w:tabs>
          <w:tab w:val="clear" w:pos="1920"/>
          <w:tab w:val="num" w:pos="360"/>
        </w:tabs>
        <w:overflowPunct/>
        <w:autoSpaceDE/>
        <w:autoSpaceDN/>
        <w:adjustRightInd/>
        <w:ind w:left="142" w:hanging="142"/>
        <w:jc w:val="lowKashida"/>
        <w:textAlignment w:val="auto"/>
        <w:rPr>
          <w:rFonts w:cs="Times New Roman"/>
        </w:rPr>
      </w:pPr>
      <w:r w:rsidRPr="009B60FF">
        <w:rPr>
          <w:rFonts w:cs="Times New Roman"/>
        </w:rPr>
        <w:t xml:space="preserve">The value of the Gross Domestic Product in </w:t>
      </w:r>
      <w:r w:rsidR="009B60FF" w:rsidRPr="009B60FF">
        <w:rPr>
          <w:rFonts w:cs="Times New Roman"/>
        </w:rPr>
        <w:t>2013</w:t>
      </w:r>
      <w:r w:rsidR="009B60FF" w:rsidRPr="009B60FF">
        <w:rPr>
          <w:rFonts w:cs="Times New Roman"/>
          <w:snapToGrid w:val="0"/>
        </w:rPr>
        <w:t xml:space="preserve"> at Constant Prices</w:t>
      </w:r>
      <w:r w:rsidR="009B60FF" w:rsidRPr="009B60FF">
        <w:rPr>
          <w:rFonts w:cs="Times New Roman"/>
          <w:rtl/>
        </w:rPr>
        <w:t xml:space="preserve"> </w:t>
      </w:r>
      <w:r w:rsidRPr="009B60FF">
        <w:rPr>
          <w:rFonts w:cs="Times New Roman"/>
        </w:rPr>
        <w:t xml:space="preserve"> was USD 7,477.0 million</w:t>
      </w:r>
      <w:r w:rsidR="00C45E32" w:rsidRPr="009B60FF">
        <w:rPr>
          <w:rFonts w:cs="Times New Roman"/>
        </w:rPr>
        <w:t>,</w:t>
      </w:r>
      <w:r w:rsidRPr="009B60FF">
        <w:rPr>
          <w:rFonts w:cs="Times New Roman"/>
        </w:rPr>
        <w:t xml:space="preserve"> </w:t>
      </w:r>
      <w:r w:rsidR="00C45E32" w:rsidRPr="009B60FF">
        <w:rPr>
          <w:rFonts w:cs="Times New Roman"/>
        </w:rPr>
        <w:t xml:space="preserve">a </w:t>
      </w:r>
      <w:r w:rsidRPr="009B60FF">
        <w:rPr>
          <w:rFonts w:cs="Times New Roman"/>
        </w:rPr>
        <w:t>r</w:t>
      </w:r>
      <w:r w:rsidR="00C45E32" w:rsidRPr="009B60FF">
        <w:rPr>
          <w:rFonts w:cs="Times New Roman"/>
        </w:rPr>
        <w:t>i</w:t>
      </w:r>
      <w:r w:rsidRPr="009B60FF">
        <w:rPr>
          <w:rFonts w:cs="Times New Roman"/>
        </w:rPr>
        <w:t xml:space="preserve">se </w:t>
      </w:r>
      <w:r w:rsidR="00C45E32" w:rsidRPr="009B60FF">
        <w:rPr>
          <w:rFonts w:cs="Times New Roman"/>
        </w:rPr>
        <w:t>of</w:t>
      </w:r>
      <w:r w:rsidRPr="009B60FF">
        <w:rPr>
          <w:rFonts w:cs="Times New Roman"/>
        </w:rPr>
        <w:t xml:space="preserve"> 2.2% compared with 2012.</w:t>
      </w:r>
    </w:p>
    <w:p w:rsidR="003E4CA5" w:rsidRPr="00993DCB" w:rsidRDefault="003E4CA5" w:rsidP="003E4CA5">
      <w:pPr>
        <w:pStyle w:val="BodyText"/>
        <w:overflowPunct/>
        <w:autoSpaceDE/>
        <w:autoSpaceDN/>
        <w:adjustRightInd/>
        <w:ind w:left="142"/>
        <w:jc w:val="lowKashida"/>
        <w:textAlignment w:val="auto"/>
      </w:pPr>
    </w:p>
    <w:p w:rsidR="00CE5C3E" w:rsidRDefault="00005108" w:rsidP="00005108">
      <w:pPr>
        <w:ind w:left="360"/>
        <w:jc w:val="center"/>
        <w:rPr>
          <w:rFonts w:ascii="Arial" w:hAnsi="Arial" w:cs="Arial"/>
          <w:b/>
          <w:bCs/>
          <w:snapToGrid w:val="0"/>
          <w:sz w:val="16"/>
          <w:szCs w:val="16"/>
        </w:rPr>
      </w:pPr>
      <w:r w:rsidRPr="00993DCB">
        <w:rPr>
          <w:rFonts w:ascii="Arial" w:hAnsi="Arial" w:cs="Arial"/>
          <w:b/>
          <w:bCs/>
          <w:snapToGrid w:val="0"/>
          <w:sz w:val="16"/>
          <w:szCs w:val="16"/>
        </w:rPr>
        <w:t>Gross Domestic Product (GDP) in Palestine at Constant Prices by Region</w:t>
      </w:r>
    </w:p>
    <w:p w:rsidR="00005108" w:rsidRPr="00993DCB" w:rsidRDefault="00CE5C3E" w:rsidP="00CE5C3E">
      <w:pPr>
        <w:ind w:left="360"/>
        <w:jc w:val="center"/>
        <w:rPr>
          <w:rFonts w:ascii="Arial" w:hAnsi="Arial" w:cs="Arial"/>
          <w:b/>
          <w:bCs/>
          <w:snapToGrid w:val="0"/>
          <w:sz w:val="16"/>
          <w:szCs w:val="16"/>
        </w:rPr>
      </w:pPr>
      <w:r w:rsidRPr="00993DCB">
        <w:rPr>
          <w:rFonts w:ascii="Arial" w:hAnsi="Arial" w:cs="Arial"/>
          <w:b/>
          <w:bCs/>
          <w:snapToGrid w:val="0"/>
          <w:sz w:val="16"/>
          <w:szCs w:val="16"/>
        </w:rPr>
        <w:t>(Value In USD Billion)</w:t>
      </w:r>
      <w:r w:rsidR="00005108" w:rsidRPr="00993DCB">
        <w:rPr>
          <w:rFonts w:ascii="Arial" w:hAnsi="Arial" w:cs="Arial"/>
          <w:b/>
          <w:bCs/>
          <w:snapToGrid w:val="0"/>
          <w:sz w:val="16"/>
          <w:szCs w:val="16"/>
        </w:rPr>
        <w:t>,</w:t>
      </w:r>
      <w:r>
        <w:rPr>
          <w:rFonts w:ascii="Arial" w:hAnsi="Arial" w:cs="Arial"/>
          <w:b/>
          <w:bCs/>
          <w:snapToGrid w:val="0"/>
          <w:sz w:val="16"/>
          <w:szCs w:val="16"/>
        </w:rPr>
        <w:t xml:space="preserve"> </w:t>
      </w:r>
      <w:r w:rsidR="00005108" w:rsidRPr="00993DCB">
        <w:rPr>
          <w:rFonts w:ascii="Arial" w:hAnsi="Arial" w:cs="Arial"/>
          <w:b/>
          <w:bCs/>
          <w:snapToGrid w:val="0"/>
          <w:sz w:val="16"/>
          <w:szCs w:val="16"/>
        </w:rPr>
        <w:t xml:space="preserve">2011-2013 </w:t>
      </w:r>
    </w:p>
    <w:p w:rsidR="00005108" w:rsidRPr="00993DCB" w:rsidRDefault="00005108" w:rsidP="00005108">
      <w:pPr>
        <w:ind w:left="360"/>
        <w:jc w:val="center"/>
        <w:rPr>
          <w:rFonts w:ascii="Arial" w:hAnsi="Arial" w:cs="Arial"/>
          <w:b/>
          <w:bCs/>
          <w:snapToGrid w:val="0"/>
          <w:sz w:val="16"/>
          <w:szCs w:val="16"/>
        </w:rPr>
      </w:pPr>
      <w:r w:rsidRPr="00993DCB">
        <w:rPr>
          <w:rFonts w:ascii="Arial" w:hAnsi="Arial" w:cs="Arial"/>
          <w:b/>
          <w:bCs/>
          <w:noProof/>
          <w:sz w:val="16"/>
          <w:szCs w:val="16"/>
        </w:rPr>
        <w:drawing>
          <wp:inline distT="0" distB="0" distL="0" distR="0">
            <wp:extent cx="4191000" cy="1581150"/>
            <wp:effectExtent l="19050" t="0" r="19050" b="0"/>
            <wp:docPr id="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005108" w:rsidRPr="00993DCB" w:rsidRDefault="00005108" w:rsidP="00005108">
      <w:pPr>
        <w:pStyle w:val="BodyText"/>
        <w:overflowPunct/>
        <w:autoSpaceDE/>
        <w:autoSpaceDN/>
        <w:adjustRightInd/>
        <w:ind w:left="142"/>
        <w:jc w:val="lowKashida"/>
        <w:textAlignment w:val="auto"/>
      </w:pPr>
    </w:p>
    <w:p w:rsidR="00005108" w:rsidRPr="00983E64" w:rsidRDefault="00005108" w:rsidP="00005108">
      <w:pPr>
        <w:pStyle w:val="BodyText"/>
        <w:numPr>
          <w:ilvl w:val="0"/>
          <w:numId w:val="3"/>
        </w:numPr>
        <w:tabs>
          <w:tab w:val="clear" w:pos="1920"/>
          <w:tab w:val="num" w:pos="360"/>
        </w:tabs>
        <w:overflowPunct/>
        <w:autoSpaceDE/>
        <w:autoSpaceDN/>
        <w:adjustRightInd/>
        <w:ind w:left="142" w:hanging="142"/>
        <w:jc w:val="lowKashida"/>
        <w:textAlignment w:val="auto"/>
        <w:rPr>
          <w:rFonts w:cs="Times New Roman"/>
        </w:rPr>
      </w:pPr>
      <w:r w:rsidRPr="00983E64">
        <w:rPr>
          <w:rFonts w:cs="Times New Roman"/>
        </w:rPr>
        <w:t>GDP per capita</w:t>
      </w:r>
      <w:r w:rsidR="00983E64" w:rsidRPr="00983E64">
        <w:rPr>
          <w:rFonts w:cs="Times New Roman"/>
          <w:snapToGrid w:val="0"/>
        </w:rPr>
        <w:t xml:space="preserve"> at Constant Prices</w:t>
      </w:r>
      <w:r w:rsidRPr="00983E64">
        <w:rPr>
          <w:rFonts w:cs="Times New Roman"/>
        </w:rPr>
        <w:t xml:space="preserve"> was USD 1,793.3 in 2013, a decrease of 0.8% compared </w:t>
      </w:r>
      <w:r w:rsidR="00C45E32" w:rsidRPr="00983E64">
        <w:rPr>
          <w:rFonts w:cs="Times New Roman"/>
        </w:rPr>
        <w:t>with</w:t>
      </w:r>
      <w:r w:rsidRPr="00983E64">
        <w:rPr>
          <w:rFonts w:cs="Times New Roman"/>
        </w:rPr>
        <w:t xml:space="preserve"> 2012.</w:t>
      </w:r>
    </w:p>
    <w:p w:rsidR="003E4CA5" w:rsidRPr="00993DCB" w:rsidRDefault="003E4CA5" w:rsidP="003E4CA5">
      <w:pPr>
        <w:pStyle w:val="BodyText"/>
        <w:overflowPunct/>
        <w:autoSpaceDE/>
        <w:autoSpaceDN/>
        <w:adjustRightInd/>
        <w:ind w:left="142"/>
        <w:jc w:val="lowKashida"/>
        <w:textAlignment w:val="auto"/>
      </w:pPr>
    </w:p>
    <w:p w:rsidR="00005108" w:rsidRDefault="00005108" w:rsidP="00005108">
      <w:pPr>
        <w:pStyle w:val="BodyText"/>
        <w:numPr>
          <w:ilvl w:val="0"/>
          <w:numId w:val="3"/>
        </w:numPr>
        <w:tabs>
          <w:tab w:val="clear" w:pos="1920"/>
          <w:tab w:val="num" w:pos="360"/>
        </w:tabs>
        <w:overflowPunct/>
        <w:autoSpaceDE/>
        <w:autoSpaceDN/>
        <w:adjustRightInd/>
        <w:ind w:left="142" w:hanging="142"/>
        <w:jc w:val="lowKashida"/>
        <w:textAlignment w:val="auto"/>
      </w:pPr>
      <w:r w:rsidRPr="00993DCB">
        <w:t>Gross national income totaled USD 8,068.5 million in 2013, an increase of 3.6% compared with 2012. GNI per capita was USD 1935.1</w:t>
      </w:r>
      <w:r w:rsidR="00CE5C3E">
        <w:t xml:space="preserve"> in 2013</w:t>
      </w:r>
      <w:r w:rsidRPr="00993DCB">
        <w:t>.</w:t>
      </w:r>
    </w:p>
    <w:p w:rsidR="003E4CA5" w:rsidRDefault="003E4CA5" w:rsidP="003E4CA5">
      <w:pPr>
        <w:pStyle w:val="ListParagraph"/>
      </w:pPr>
    </w:p>
    <w:p w:rsidR="00005108" w:rsidRPr="00993DCB" w:rsidRDefault="00005108" w:rsidP="00005108">
      <w:pPr>
        <w:pStyle w:val="BodyText"/>
        <w:numPr>
          <w:ilvl w:val="0"/>
          <w:numId w:val="3"/>
        </w:numPr>
        <w:tabs>
          <w:tab w:val="clear" w:pos="1920"/>
          <w:tab w:val="num" w:pos="360"/>
        </w:tabs>
        <w:overflowPunct/>
        <w:autoSpaceDE/>
        <w:autoSpaceDN/>
        <w:adjustRightInd/>
        <w:ind w:left="142" w:hanging="142"/>
        <w:jc w:val="lowKashida"/>
        <w:textAlignment w:val="auto"/>
      </w:pPr>
      <w:r w:rsidRPr="00993DCB">
        <w:t>Gross disposable income totaled USD 8,703.2 million in 2013, a decrease of 1.7% compared with 2012. GDI per capita was USD 2,087.3</w:t>
      </w:r>
      <w:r w:rsidR="00CE5C3E">
        <w:t xml:space="preserve"> in 2013</w:t>
      </w:r>
      <w:r w:rsidRPr="00993DCB">
        <w:t>.</w:t>
      </w:r>
    </w:p>
    <w:p w:rsidR="00005108" w:rsidRPr="00993DCB" w:rsidRDefault="00005108" w:rsidP="00005108">
      <w:pPr>
        <w:pStyle w:val="ListParagraph"/>
      </w:pPr>
    </w:p>
    <w:p w:rsidR="002C203F" w:rsidRPr="00993DCB" w:rsidRDefault="002C203F" w:rsidP="00F37F52">
      <w:pPr>
        <w:pStyle w:val="ListParagraph"/>
        <w:bidi w:val="0"/>
        <w:ind w:left="0"/>
        <w:jc w:val="lowKashida"/>
        <w:rPr>
          <w:rFonts w:cs="Times New Roman"/>
          <w:i/>
          <w:iCs/>
          <w:sz w:val="20"/>
          <w:u w:val="single"/>
        </w:rPr>
      </w:pPr>
      <w:r w:rsidRPr="00993DCB">
        <w:rPr>
          <w:rFonts w:cs="Times New Roman"/>
          <w:i/>
          <w:iCs/>
          <w:sz w:val="20"/>
          <w:u w:val="single"/>
        </w:rPr>
        <w:t>For more detail</w:t>
      </w:r>
      <w:r w:rsidR="00554881" w:rsidRPr="00993DCB">
        <w:rPr>
          <w:rFonts w:cs="Times New Roman"/>
          <w:i/>
          <w:iCs/>
          <w:sz w:val="20"/>
          <w:u w:val="single"/>
        </w:rPr>
        <w:t>s</w:t>
      </w:r>
      <w:r w:rsidRPr="00993DCB">
        <w:rPr>
          <w:rFonts w:cs="Times New Roman"/>
          <w:i/>
          <w:iCs/>
          <w:sz w:val="20"/>
          <w:u w:val="single"/>
        </w:rPr>
        <w:t xml:space="preserve"> </w:t>
      </w:r>
      <w:r w:rsidR="00554881" w:rsidRPr="00993DCB">
        <w:rPr>
          <w:rFonts w:cs="Times New Roman"/>
          <w:i/>
          <w:iCs/>
          <w:sz w:val="20"/>
          <w:u w:val="single"/>
        </w:rPr>
        <w:t>on</w:t>
      </w:r>
      <w:r w:rsidRPr="00993DCB">
        <w:rPr>
          <w:rFonts w:cs="Times New Roman"/>
          <w:i/>
          <w:iCs/>
          <w:sz w:val="20"/>
          <w:u w:val="single"/>
        </w:rPr>
        <w:t xml:space="preserve"> National Accounts</w:t>
      </w:r>
      <w:r w:rsidR="00554881"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see</w:t>
      </w:r>
      <w:r w:rsidR="00554881" w:rsidRPr="00993DCB">
        <w:rPr>
          <w:rFonts w:cs="Times New Roman"/>
          <w:i/>
          <w:iCs/>
          <w:sz w:val="20"/>
          <w:u w:val="single"/>
        </w:rPr>
        <w:t xml:space="preserve"> the</w:t>
      </w:r>
      <w:r w:rsidR="0037009A" w:rsidRPr="00993DCB">
        <w:rPr>
          <w:rFonts w:cs="Times New Roman"/>
          <w:i/>
          <w:iCs/>
          <w:sz w:val="20"/>
          <w:u w:val="single"/>
        </w:rPr>
        <w:t xml:space="preserve"> tables </w:t>
      </w:r>
      <w:r w:rsidRPr="00993DCB">
        <w:rPr>
          <w:rFonts w:cs="Times New Roman"/>
          <w:i/>
          <w:iCs/>
          <w:sz w:val="20"/>
          <w:u w:val="single"/>
        </w:rPr>
        <w:t>in chapter 1.1</w:t>
      </w:r>
      <w:r w:rsidR="003233AA" w:rsidRPr="00993DCB">
        <w:rPr>
          <w:rFonts w:cs="Times New Roman"/>
          <w:i/>
          <w:iCs/>
          <w:sz w:val="20"/>
          <w:u w:val="single"/>
        </w:rPr>
        <w:t>4</w:t>
      </w:r>
      <w:r w:rsidRPr="00993DCB">
        <w:rPr>
          <w:rFonts w:cs="Times New Roman"/>
          <w:i/>
          <w:iCs/>
          <w:sz w:val="20"/>
          <w:u w:val="single"/>
        </w:rPr>
        <w:t xml:space="preserve"> </w:t>
      </w:r>
      <w:r w:rsidR="00554881"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554881" w:rsidRPr="00993DCB">
        <w:rPr>
          <w:rFonts w:cs="Times New Roman"/>
          <w:i/>
          <w:iCs/>
          <w:sz w:val="20"/>
          <w:u w:val="single"/>
        </w:rPr>
        <w:t xml:space="preserve">section, </w:t>
      </w:r>
      <w:r w:rsidRPr="00993DCB">
        <w:rPr>
          <w:rFonts w:cs="Times New Roman"/>
          <w:i/>
          <w:iCs/>
          <w:sz w:val="20"/>
          <w:u w:val="single"/>
        </w:rPr>
        <w:t>page</w:t>
      </w:r>
      <w:r w:rsidR="00554881" w:rsidRPr="00993DCB">
        <w:rPr>
          <w:rFonts w:cs="Times New Roman"/>
          <w:i/>
          <w:iCs/>
          <w:sz w:val="20"/>
          <w:u w:val="single"/>
        </w:rPr>
        <w:t>s</w:t>
      </w:r>
      <w:r w:rsidR="006A480D" w:rsidRPr="00993DCB">
        <w:rPr>
          <w:rFonts w:cs="Times New Roman"/>
          <w:i/>
          <w:iCs/>
          <w:sz w:val="20"/>
          <w:u w:val="single"/>
        </w:rPr>
        <w:t xml:space="preserve"> </w:t>
      </w:r>
      <w:r w:rsidR="00987C99">
        <w:rPr>
          <w:rFonts w:cs="Times New Roman"/>
          <w:i/>
          <w:iCs/>
          <w:sz w:val="20"/>
          <w:u w:val="single"/>
        </w:rPr>
        <w:t>145</w:t>
      </w:r>
      <w:r w:rsidR="003E7B2E" w:rsidRPr="00993DCB">
        <w:rPr>
          <w:rFonts w:cs="Times New Roman"/>
          <w:i/>
          <w:iCs/>
          <w:sz w:val="20"/>
          <w:u w:val="single"/>
        </w:rPr>
        <w:t>-</w:t>
      </w:r>
      <w:r w:rsidR="00987C99">
        <w:rPr>
          <w:rFonts w:cs="Times New Roman"/>
          <w:i/>
          <w:iCs/>
          <w:sz w:val="20"/>
          <w:u w:val="single"/>
        </w:rPr>
        <w:t>15</w:t>
      </w:r>
      <w:r w:rsidR="00F37F52">
        <w:rPr>
          <w:rFonts w:cs="Times New Roman"/>
          <w:i/>
          <w:iCs/>
          <w:sz w:val="20"/>
          <w:u w:val="single"/>
        </w:rPr>
        <w:t>4</w:t>
      </w:r>
      <w:r w:rsidR="00554881" w:rsidRPr="00993DCB">
        <w:rPr>
          <w:rFonts w:cs="Times New Roman"/>
          <w:i/>
          <w:iCs/>
          <w:sz w:val="20"/>
          <w:u w:val="single"/>
        </w:rPr>
        <w:t>.</w:t>
      </w:r>
    </w:p>
    <w:p w:rsidR="004E37A9" w:rsidRPr="00993DCB" w:rsidRDefault="004E37A9" w:rsidP="004E37A9">
      <w:pPr>
        <w:pStyle w:val="BodyText3"/>
        <w:ind w:left="360" w:right="720"/>
        <w:rPr>
          <w:b w:val="0"/>
          <w:bCs w:val="0"/>
          <w:sz w:val="16"/>
          <w:szCs w:val="16"/>
        </w:rPr>
      </w:pPr>
    </w:p>
    <w:p w:rsidR="0007478A" w:rsidRPr="00993DCB" w:rsidRDefault="001F2744" w:rsidP="0007478A">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Prices and Price Indices </w:t>
      </w:r>
    </w:p>
    <w:p w:rsidR="0007478A" w:rsidRPr="00993DCB" w:rsidRDefault="0007478A" w:rsidP="0007478A">
      <w:pPr>
        <w:pStyle w:val="Title"/>
        <w:bidi w:val="0"/>
        <w:ind w:left="-210"/>
        <w:jc w:val="left"/>
        <w:rPr>
          <w:rFonts w:cs="Traditional Arabic"/>
          <w:sz w:val="20"/>
          <w:szCs w:val="20"/>
        </w:rPr>
      </w:pPr>
      <w:r w:rsidRPr="00993DCB">
        <w:rPr>
          <w:rFonts w:cs="Traditional Arabic"/>
          <w:sz w:val="20"/>
          <w:szCs w:val="20"/>
        </w:rPr>
        <w:t xml:space="preserve">15.1 Changes in Consumer Price Indices in 2013 compared </w:t>
      </w:r>
      <w:r w:rsidR="00C45E32">
        <w:rPr>
          <w:rFonts w:cs="Traditional Arabic"/>
          <w:sz w:val="20"/>
          <w:szCs w:val="20"/>
        </w:rPr>
        <w:t>with</w:t>
      </w:r>
      <w:r w:rsidRPr="00993DCB">
        <w:rPr>
          <w:rFonts w:cs="Traditional Arabic"/>
          <w:sz w:val="20"/>
          <w:szCs w:val="20"/>
        </w:rPr>
        <w:t xml:space="preserve"> 2012: </w:t>
      </w:r>
    </w:p>
    <w:p w:rsidR="0007478A"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Consumer Price Index in Palestine increased by 1.72%.</w:t>
      </w:r>
    </w:p>
    <w:p w:rsidR="003E4CA5" w:rsidRPr="00993DCB"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Consumer Price Index in the West Bank increased by 3.10%.</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Consumer Price Index in Jerusalem J1 increased by 1.81%.</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Consumer Price Index in Gaza Strip decreased by 0.76%.</w:t>
      </w:r>
    </w:p>
    <w:p w:rsidR="0007478A" w:rsidRPr="00993DCB" w:rsidRDefault="0007478A" w:rsidP="0007478A">
      <w:pPr>
        <w:pStyle w:val="BodyText3"/>
        <w:ind w:left="360" w:right="720"/>
        <w:rPr>
          <w:b w:val="0"/>
          <w:bCs w:val="0"/>
          <w:sz w:val="16"/>
          <w:szCs w:val="16"/>
        </w:rPr>
      </w:pPr>
    </w:p>
    <w:p w:rsidR="0007478A" w:rsidRPr="00993DCB" w:rsidRDefault="0007478A" w:rsidP="0007478A">
      <w:pPr>
        <w:pStyle w:val="BodyText3"/>
        <w:overflowPunct/>
        <w:autoSpaceDE/>
        <w:autoSpaceDN/>
        <w:adjustRightInd/>
        <w:ind w:right="-1" w:hanging="210"/>
        <w:jc w:val="lowKashida"/>
        <w:textAlignment w:val="auto"/>
      </w:pPr>
      <w:r w:rsidRPr="00993DCB">
        <w:t xml:space="preserve">15.2 Changes in Producer Price Indices in 2013 compared </w:t>
      </w:r>
      <w:r w:rsidR="00C45E32">
        <w:t>with</w:t>
      </w:r>
      <w:r w:rsidRPr="00993DCB">
        <w:t xml:space="preserve"> 2012</w:t>
      </w: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Producer Price Index increased by 0.89%.</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Producer Price Index for locally consumed products increased by 0.94%.</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Producer Price Index for exported products increased by 0.30%.</w:t>
      </w:r>
    </w:p>
    <w:p w:rsidR="0007478A" w:rsidRPr="00993DCB" w:rsidRDefault="0007478A" w:rsidP="0007478A">
      <w:pPr>
        <w:pStyle w:val="BodyText"/>
        <w:overflowPunct/>
        <w:autoSpaceDE/>
        <w:autoSpaceDN/>
        <w:adjustRightInd/>
        <w:jc w:val="lowKashida"/>
        <w:textAlignment w:val="auto"/>
      </w:pPr>
    </w:p>
    <w:p w:rsidR="0007478A" w:rsidRPr="00993DCB" w:rsidRDefault="0007478A" w:rsidP="0007478A">
      <w:pPr>
        <w:pStyle w:val="BodyText3"/>
        <w:overflowPunct/>
        <w:autoSpaceDE/>
        <w:autoSpaceDN/>
        <w:adjustRightInd/>
        <w:ind w:right="-1" w:hanging="196"/>
        <w:jc w:val="lowKashida"/>
        <w:textAlignment w:val="auto"/>
      </w:pPr>
      <w:r w:rsidRPr="00993DCB">
        <w:t xml:space="preserve">15.3 Changes in Wholesale Price Indices in 2013 compared </w:t>
      </w:r>
      <w:r w:rsidR="00C45E32">
        <w:t>with</w:t>
      </w:r>
      <w:r w:rsidRPr="00993DCB">
        <w:t xml:space="preserve"> 2012</w:t>
      </w: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Wholesale Price Index increased by 0.78%.</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Wholesale Price Index for local products decreased by 0.39%.</w:t>
      </w:r>
    </w:p>
    <w:p w:rsidR="003E4CA5" w:rsidRDefault="003E4CA5" w:rsidP="003E4CA5">
      <w:pPr>
        <w:pStyle w:val="BodyText"/>
        <w:overflowPunct/>
        <w:autoSpaceDE/>
        <w:autoSpaceDN/>
        <w:adjustRightInd/>
        <w:ind w:left="142"/>
        <w:jc w:val="lowKashida"/>
        <w:textAlignment w:val="auto"/>
      </w:pPr>
    </w:p>
    <w:p w:rsidR="0007478A" w:rsidRPr="00993DCB" w:rsidRDefault="0007478A" w:rsidP="0007478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Wholesale Price Index for imported products increased by 0.79%.</w:t>
      </w:r>
    </w:p>
    <w:p w:rsidR="0007478A" w:rsidRPr="00993DCB" w:rsidRDefault="0007478A" w:rsidP="0007478A">
      <w:pPr>
        <w:pStyle w:val="ListParagraph"/>
        <w:rPr>
          <w:sz w:val="16"/>
          <w:szCs w:val="12"/>
        </w:rPr>
      </w:pPr>
    </w:p>
    <w:p w:rsidR="000D23AB" w:rsidRPr="00993DCB" w:rsidRDefault="000D23AB" w:rsidP="000D23AB">
      <w:pPr>
        <w:pStyle w:val="ListParagraph"/>
        <w:rPr>
          <w:sz w:val="16"/>
          <w:szCs w:val="12"/>
        </w:rPr>
      </w:pPr>
    </w:p>
    <w:p w:rsidR="008874A9" w:rsidRPr="00993DCB" w:rsidRDefault="008874A9" w:rsidP="00F37F52">
      <w:pPr>
        <w:pStyle w:val="ListParagraph"/>
        <w:bidi w:val="0"/>
        <w:ind w:left="0"/>
        <w:jc w:val="lowKashida"/>
        <w:rPr>
          <w:rFonts w:cs="Times New Roman"/>
          <w:i/>
          <w:iCs/>
          <w:sz w:val="20"/>
          <w:u w:val="single"/>
        </w:rPr>
      </w:pPr>
      <w:r w:rsidRPr="00993DCB">
        <w:rPr>
          <w:rFonts w:cs="Times New Roman"/>
          <w:i/>
          <w:iCs/>
          <w:sz w:val="20"/>
          <w:u w:val="single"/>
        </w:rPr>
        <w:t>For more detail</w:t>
      </w:r>
      <w:r w:rsidR="00324085" w:rsidRPr="00993DCB">
        <w:rPr>
          <w:rFonts w:cs="Times New Roman"/>
          <w:i/>
          <w:iCs/>
          <w:sz w:val="20"/>
          <w:u w:val="single"/>
        </w:rPr>
        <w:t>s</w:t>
      </w:r>
      <w:r w:rsidRPr="00993DCB">
        <w:rPr>
          <w:rFonts w:cs="Times New Roman"/>
          <w:i/>
          <w:iCs/>
          <w:sz w:val="20"/>
          <w:u w:val="single"/>
        </w:rPr>
        <w:t xml:space="preserve"> </w:t>
      </w:r>
      <w:r w:rsidR="00324085" w:rsidRPr="00993DCB">
        <w:rPr>
          <w:rFonts w:cs="Times New Roman"/>
          <w:i/>
          <w:iCs/>
          <w:sz w:val="20"/>
          <w:u w:val="single"/>
        </w:rPr>
        <w:t>on</w:t>
      </w:r>
      <w:r w:rsidRPr="00993DCB">
        <w:rPr>
          <w:rFonts w:cs="Times New Roman"/>
          <w:i/>
          <w:iCs/>
          <w:sz w:val="20"/>
          <w:u w:val="single"/>
        </w:rPr>
        <w:t xml:space="preserve"> </w:t>
      </w:r>
      <w:r w:rsidR="00324085" w:rsidRPr="00993DCB">
        <w:rPr>
          <w:rFonts w:cs="Times New Roman"/>
          <w:i/>
          <w:iCs/>
          <w:sz w:val="20"/>
          <w:u w:val="single"/>
        </w:rPr>
        <w:t>p</w:t>
      </w:r>
      <w:r w:rsidRPr="00993DCB">
        <w:rPr>
          <w:rFonts w:cs="Times New Roman"/>
          <w:i/>
          <w:iCs/>
          <w:sz w:val="20"/>
          <w:u w:val="single"/>
        </w:rPr>
        <w:t xml:space="preserve">rices and </w:t>
      </w:r>
      <w:r w:rsidR="00324085" w:rsidRPr="00993DCB">
        <w:rPr>
          <w:rFonts w:cs="Times New Roman"/>
          <w:i/>
          <w:iCs/>
          <w:sz w:val="20"/>
          <w:u w:val="single"/>
        </w:rPr>
        <w:t>p</w:t>
      </w:r>
      <w:r w:rsidRPr="00993DCB">
        <w:rPr>
          <w:rFonts w:cs="Times New Roman"/>
          <w:i/>
          <w:iCs/>
          <w:sz w:val="20"/>
          <w:u w:val="single"/>
        </w:rPr>
        <w:t xml:space="preserve">rice </w:t>
      </w:r>
      <w:r w:rsidR="00324085" w:rsidRPr="00993DCB">
        <w:rPr>
          <w:rFonts w:cs="Times New Roman"/>
          <w:i/>
          <w:iCs/>
          <w:sz w:val="20"/>
          <w:u w:val="single"/>
        </w:rPr>
        <w:t>i</w:t>
      </w:r>
      <w:r w:rsidRPr="00993DCB">
        <w:rPr>
          <w:rFonts w:cs="Times New Roman"/>
          <w:i/>
          <w:iCs/>
          <w:sz w:val="20"/>
          <w:u w:val="single"/>
        </w:rPr>
        <w:t>ndices</w:t>
      </w:r>
      <w:r w:rsidR="00324085"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324085"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1.1</w:t>
      </w:r>
      <w:r w:rsidR="000C5F6C" w:rsidRPr="00993DCB">
        <w:rPr>
          <w:rFonts w:cs="Times New Roman"/>
          <w:i/>
          <w:iCs/>
          <w:sz w:val="20"/>
          <w:u w:val="single"/>
        </w:rPr>
        <w:t>5</w:t>
      </w:r>
      <w:r w:rsidRPr="00993DCB">
        <w:rPr>
          <w:rFonts w:cs="Times New Roman"/>
          <w:i/>
          <w:iCs/>
          <w:sz w:val="20"/>
          <w:u w:val="single"/>
        </w:rPr>
        <w:t xml:space="preserve"> </w:t>
      </w:r>
      <w:r w:rsidR="00324085" w:rsidRPr="00993DCB">
        <w:rPr>
          <w:rFonts w:cs="Times New Roman"/>
          <w:i/>
          <w:iCs/>
          <w:sz w:val="20"/>
          <w:u w:val="single"/>
        </w:rPr>
        <w:t>of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324085" w:rsidRPr="00993DCB">
        <w:rPr>
          <w:rFonts w:cs="Times New Roman"/>
          <w:i/>
          <w:iCs/>
          <w:sz w:val="20"/>
          <w:u w:val="single"/>
        </w:rPr>
        <w:t xml:space="preserve">section, </w:t>
      </w:r>
      <w:r w:rsidRPr="00993DCB">
        <w:rPr>
          <w:rFonts w:cs="Times New Roman"/>
          <w:i/>
          <w:iCs/>
          <w:sz w:val="20"/>
          <w:u w:val="single"/>
        </w:rPr>
        <w:t>page</w:t>
      </w:r>
      <w:r w:rsidR="00324085" w:rsidRPr="00993DCB">
        <w:rPr>
          <w:rFonts w:cs="Times New Roman"/>
          <w:i/>
          <w:iCs/>
          <w:sz w:val="20"/>
          <w:u w:val="single"/>
        </w:rPr>
        <w:t>s</w:t>
      </w:r>
      <w:r w:rsidR="006C0C7B" w:rsidRPr="00993DCB">
        <w:rPr>
          <w:rFonts w:cs="Times New Roman"/>
          <w:i/>
          <w:iCs/>
          <w:noProof w:val="0"/>
          <w:sz w:val="20"/>
          <w:u w:val="single"/>
          <w:rtl/>
        </w:rPr>
        <w:t xml:space="preserve"> </w:t>
      </w:r>
      <w:r w:rsidR="00A43DB2">
        <w:rPr>
          <w:rFonts w:cs="Times New Roman"/>
          <w:i/>
          <w:iCs/>
          <w:sz w:val="20"/>
          <w:u w:val="single"/>
        </w:rPr>
        <w:t>155</w:t>
      </w:r>
      <w:r w:rsidR="003E7B2E" w:rsidRPr="00993DCB">
        <w:rPr>
          <w:rFonts w:cs="Times New Roman"/>
          <w:i/>
          <w:iCs/>
          <w:sz w:val="20"/>
          <w:u w:val="single"/>
        </w:rPr>
        <w:t>-</w:t>
      </w:r>
      <w:r w:rsidR="00A43DB2">
        <w:rPr>
          <w:rFonts w:cs="Times New Roman"/>
          <w:i/>
          <w:iCs/>
          <w:sz w:val="20"/>
          <w:u w:val="single"/>
        </w:rPr>
        <w:t>16</w:t>
      </w:r>
      <w:r w:rsidR="00F37F52">
        <w:rPr>
          <w:rFonts w:cs="Times New Roman"/>
          <w:i/>
          <w:iCs/>
          <w:sz w:val="20"/>
          <w:u w:val="single"/>
        </w:rPr>
        <w:t>6</w:t>
      </w:r>
      <w:r w:rsidR="00324085" w:rsidRPr="00993DCB">
        <w:rPr>
          <w:rFonts w:cs="Times New Roman"/>
          <w:i/>
          <w:iCs/>
          <w:sz w:val="20"/>
          <w:u w:val="single"/>
        </w:rPr>
        <w:t>.</w:t>
      </w:r>
    </w:p>
    <w:p w:rsidR="001F2744" w:rsidRPr="00993DCB" w:rsidRDefault="001F2744" w:rsidP="001F2744">
      <w:pPr>
        <w:pStyle w:val="Title"/>
        <w:bidi w:val="0"/>
        <w:rPr>
          <w:rFonts w:cs="Traditional Arabic"/>
          <w:szCs w:val="24"/>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Transport and Communication</w:t>
      </w:r>
      <w:r w:rsidR="003C0114" w:rsidRPr="00993DCB">
        <w:rPr>
          <w:rFonts w:cs="Traditional Arabic"/>
          <w:sz w:val="20"/>
          <w:szCs w:val="20"/>
        </w:rPr>
        <w:t>s</w:t>
      </w:r>
      <w:r w:rsidRPr="00993DCB">
        <w:rPr>
          <w:rFonts w:cs="Traditional Arabic"/>
          <w:sz w:val="20"/>
          <w:szCs w:val="20"/>
        </w:rPr>
        <w:t xml:space="preserve">                               </w:t>
      </w:r>
    </w:p>
    <w:p w:rsidR="00CA32D5" w:rsidRPr="00993DCB" w:rsidRDefault="007738FE" w:rsidP="00A41FD6">
      <w:pPr>
        <w:overflowPunct/>
        <w:autoSpaceDE/>
        <w:autoSpaceDN/>
        <w:adjustRightInd/>
        <w:ind w:right="-284" w:hanging="210"/>
        <w:textAlignment w:val="auto"/>
        <w:rPr>
          <w:b/>
          <w:bCs/>
        </w:rPr>
      </w:pPr>
      <w:r w:rsidRPr="00993DCB">
        <w:rPr>
          <w:b/>
          <w:bCs/>
        </w:rPr>
        <w:t>1</w:t>
      </w:r>
      <w:r w:rsidR="00A41FD6" w:rsidRPr="00993DCB">
        <w:rPr>
          <w:b/>
          <w:bCs/>
        </w:rPr>
        <w:t>6</w:t>
      </w:r>
      <w:r w:rsidR="008B26F1" w:rsidRPr="00993DCB">
        <w:rPr>
          <w:b/>
          <w:bCs/>
        </w:rPr>
        <w:t xml:space="preserve">.1 </w:t>
      </w:r>
      <w:r w:rsidR="00CA32D5" w:rsidRPr="00993DCB">
        <w:rPr>
          <w:b/>
          <w:bCs/>
        </w:rPr>
        <w:t>Transport and Storage</w:t>
      </w:r>
    </w:p>
    <w:p w:rsidR="008E31AC" w:rsidRPr="00993DCB" w:rsidRDefault="008E31AC" w:rsidP="008E31AC">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w:t>
      </w:r>
      <w:r w:rsidRPr="00993DCB">
        <w:rPr>
          <w:rtl/>
        </w:rPr>
        <w:t>8</w:t>
      </w:r>
      <w:r w:rsidRPr="00993DCB">
        <w:t>79 enterprises engaged in this sector in Palestine</w:t>
      </w:r>
      <w:r w:rsidR="00CE5C3E">
        <w:t xml:space="preserve"> in 2013</w:t>
      </w:r>
      <w:r w:rsidRPr="00993DCB">
        <w:t xml:space="preserve">. </w:t>
      </w:r>
    </w:p>
    <w:p w:rsidR="008E31AC" w:rsidRPr="00993DCB" w:rsidRDefault="008E31AC" w:rsidP="008E31AC">
      <w:pPr>
        <w:ind w:left="-14"/>
        <w:jc w:val="both"/>
        <w:rPr>
          <w:noProof/>
        </w:rPr>
      </w:pPr>
    </w:p>
    <w:p w:rsidR="008E31AC" w:rsidRPr="00993DCB" w:rsidRDefault="008E31AC" w:rsidP="008E31AC">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w:t>
      </w:r>
      <w:r w:rsidRPr="00993DCB">
        <w:rPr>
          <w:rtl/>
        </w:rPr>
        <w:t>6,</w:t>
      </w:r>
      <w:r w:rsidRPr="00993DCB">
        <w:t>521 individuals employed in this sector</w:t>
      </w:r>
      <w:r w:rsidR="00CE5C3E">
        <w:t xml:space="preserve"> in 2013</w:t>
      </w:r>
      <w:r w:rsidRPr="00993DCB">
        <w:t xml:space="preserve">. </w:t>
      </w:r>
    </w:p>
    <w:p w:rsidR="008E31AC" w:rsidRPr="00993DCB" w:rsidRDefault="008E31AC" w:rsidP="008E31AC">
      <w:pPr>
        <w:pStyle w:val="ListParagraph"/>
      </w:pPr>
    </w:p>
    <w:p w:rsidR="008E31AC" w:rsidRPr="00993DCB" w:rsidRDefault="008E31AC" w:rsidP="00A43DB2">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of enterprises in transport and storage activities was USD</w:t>
      </w:r>
      <w:r w:rsidR="00A43DB2">
        <w:t xml:space="preserve"> </w:t>
      </w:r>
      <w:r w:rsidRPr="00993DCB">
        <w:t>171.</w:t>
      </w:r>
      <w:r w:rsidR="00A43DB2">
        <w:t>1</w:t>
      </w:r>
      <w:r w:rsidRPr="00993DCB">
        <w:rPr>
          <w:rtl/>
        </w:rPr>
        <w:t xml:space="preserve"> </w:t>
      </w:r>
      <w:r w:rsidRPr="00993DCB">
        <w:t xml:space="preserve">million; intermediate consumption was USD </w:t>
      </w:r>
      <w:r w:rsidRPr="00993DCB">
        <w:rPr>
          <w:rFonts w:hint="cs"/>
          <w:rtl/>
        </w:rPr>
        <w:t>73</w:t>
      </w:r>
      <w:r w:rsidRPr="00993DCB">
        <w:rPr>
          <w:rtl/>
        </w:rPr>
        <w:t>.</w:t>
      </w:r>
      <w:r w:rsidRPr="00993DCB">
        <w:rPr>
          <w:rFonts w:hint="cs"/>
          <w:rtl/>
        </w:rPr>
        <w:t>5</w:t>
      </w:r>
      <w:r w:rsidRPr="00993DCB">
        <w:t xml:space="preserve"> million; and the value added was USD </w:t>
      </w:r>
      <w:r w:rsidRPr="00993DCB">
        <w:rPr>
          <w:rFonts w:hint="cs"/>
          <w:rtl/>
        </w:rPr>
        <w:t>97</w:t>
      </w:r>
      <w:r w:rsidRPr="00993DCB">
        <w:rPr>
          <w:rtl/>
        </w:rPr>
        <w:t>.</w:t>
      </w:r>
      <w:r w:rsidRPr="00993DCB">
        <w:rPr>
          <w:rFonts w:hint="cs"/>
          <w:rtl/>
        </w:rPr>
        <w:t>6</w:t>
      </w:r>
      <w:r w:rsidRPr="00993DCB">
        <w:t xml:space="preserve"> million</w:t>
      </w:r>
      <w:r w:rsidR="00CE5C3E">
        <w:t xml:space="preserve"> in 2013</w:t>
      </w:r>
      <w:r w:rsidRPr="00993DCB">
        <w:t>.</w:t>
      </w:r>
    </w:p>
    <w:p w:rsidR="008874A9" w:rsidRPr="00993DCB" w:rsidRDefault="008874A9" w:rsidP="008874A9">
      <w:pPr>
        <w:pStyle w:val="ListParagraph"/>
        <w:rPr>
          <w:noProof w:val="0"/>
          <w:rtl/>
        </w:rPr>
      </w:pPr>
    </w:p>
    <w:p w:rsidR="00CA32D5" w:rsidRPr="00993DCB" w:rsidRDefault="007738FE" w:rsidP="00A41FD6">
      <w:pPr>
        <w:overflowPunct/>
        <w:autoSpaceDE/>
        <w:autoSpaceDN/>
        <w:adjustRightInd/>
        <w:ind w:right="-284" w:hanging="210"/>
        <w:textAlignment w:val="auto"/>
        <w:rPr>
          <w:b/>
          <w:bCs/>
        </w:rPr>
      </w:pPr>
      <w:r w:rsidRPr="00993DCB">
        <w:rPr>
          <w:b/>
          <w:bCs/>
        </w:rPr>
        <w:t>1</w:t>
      </w:r>
      <w:r w:rsidR="00A41FD6" w:rsidRPr="00993DCB">
        <w:rPr>
          <w:b/>
          <w:bCs/>
        </w:rPr>
        <w:t>6</w:t>
      </w:r>
      <w:r w:rsidR="00E56911" w:rsidRPr="00993DCB">
        <w:rPr>
          <w:b/>
          <w:bCs/>
        </w:rPr>
        <w:t xml:space="preserve">.2 </w:t>
      </w:r>
      <w:r w:rsidR="00CA32D5" w:rsidRPr="00993DCB">
        <w:rPr>
          <w:b/>
          <w:bCs/>
        </w:rPr>
        <w:t>Information and Communication</w:t>
      </w:r>
      <w:r w:rsidR="003C0114" w:rsidRPr="00993DCB">
        <w:rPr>
          <w:b/>
          <w:bCs/>
        </w:rPr>
        <w:t>s</w:t>
      </w:r>
    </w:p>
    <w:p w:rsidR="008E31AC" w:rsidRPr="00993DCB" w:rsidRDefault="008E31AC" w:rsidP="008E31AC">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591 enterprises engaged in this sector in Palestine</w:t>
      </w:r>
      <w:r w:rsidR="00CE5C3E">
        <w:t xml:space="preserve"> in 2013</w:t>
      </w:r>
      <w:r w:rsidRPr="00993DCB">
        <w:t>.</w:t>
      </w:r>
    </w:p>
    <w:p w:rsidR="008E31AC" w:rsidRPr="00993DCB" w:rsidRDefault="008E31AC" w:rsidP="008E31AC">
      <w:pPr>
        <w:ind w:left="-14"/>
        <w:jc w:val="both"/>
        <w:rPr>
          <w:noProof/>
        </w:rPr>
      </w:pPr>
      <w:r w:rsidRPr="00993DCB">
        <w:rPr>
          <w:noProof/>
        </w:rPr>
        <w:t xml:space="preserve"> </w:t>
      </w:r>
    </w:p>
    <w:p w:rsidR="008E31AC" w:rsidRPr="00993DCB" w:rsidRDefault="008E31AC" w:rsidP="008E31AC">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w:t>
      </w:r>
      <w:r w:rsidRPr="00993DCB">
        <w:rPr>
          <w:rFonts w:hint="cs"/>
          <w:rtl/>
        </w:rPr>
        <w:t>8</w:t>
      </w:r>
      <w:r w:rsidRPr="00993DCB">
        <w:rPr>
          <w:rtl/>
        </w:rPr>
        <w:t>,</w:t>
      </w:r>
      <w:r w:rsidRPr="00993DCB">
        <w:rPr>
          <w:rFonts w:hint="cs"/>
          <w:rtl/>
        </w:rPr>
        <w:t>299</w:t>
      </w:r>
      <w:r w:rsidRPr="00993DCB">
        <w:t xml:space="preserve"> individuals employed in this sector</w:t>
      </w:r>
      <w:r w:rsidR="00CE5C3E">
        <w:t xml:space="preserve"> in 2013</w:t>
      </w:r>
      <w:r w:rsidRPr="00993DCB">
        <w:rPr>
          <w:rFonts w:hint="cs"/>
          <w:rtl/>
        </w:rPr>
        <w:t>.</w:t>
      </w:r>
    </w:p>
    <w:p w:rsidR="008E31AC" w:rsidRPr="00993DCB" w:rsidRDefault="008E31AC" w:rsidP="008E31AC">
      <w:pPr>
        <w:ind w:left="-218"/>
        <w:jc w:val="both"/>
        <w:rPr>
          <w:noProof/>
        </w:rPr>
      </w:pPr>
    </w:p>
    <w:p w:rsidR="008E31AC" w:rsidRPr="00993DCB" w:rsidRDefault="008E31AC" w:rsidP="008E31AC">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value of output of enterprises in information and communication activities was USD </w:t>
      </w:r>
      <w:r w:rsidRPr="00993DCB">
        <w:rPr>
          <w:rFonts w:hint="cs"/>
          <w:rtl/>
        </w:rPr>
        <w:t>903</w:t>
      </w:r>
      <w:r w:rsidRPr="00993DCB">
        <w:rPr>
          <w:rtl/>
        </w:rPr>
        <w:t>.</w:t>
      </w:r>
      <w:r w:rsidRPr="00993DCB">
        <w:rPr>
          <w:rFonts w:hint="cs"/>
          <w:rtl/>
        </w:rPr>
        <w:t>3</w:t>
      </w:r>
      <w:r w:rsidRPr="00993DCB">
        <w:t xml:space="preserve"> million; intermediate consumption was USD</w:t>
      </w:r>
      <w:r w:rsidRPr="00993DCB">
        <w:rPr>
          <w:rtl/>
        </w:rPr>
        <w:t>1</w:t>
      </w:r>
      <w:r w:rsidRPr="00993DCB">
        <w:rPr>
          <w:rFonts w:hint="cs"/>
          <w:rtl/>
        </w:rPr>
        <w:t>64</w:t>
      </w:r>
      <w:r w:rsidRPr="00993DCB">
        <w:rPr>
          <w:rtl/>
        </w:rPr>
        <w:t>.</w:t>
      </w:r>
      <w:r w:rsidRPr="00993DCB">
        <w:rPr>
          <w:rFonts w:hint="cs"/>
          <w:rtl/>
        </w:rPr>
        <w:t>6</w:t>
      </w:r>
      <w:r w:rsidRPr="00993DCB">
        <w:rPr>
          <w:rtl/>
        </w:rPr>
        <w:t xml:space="preserve"> </w:t>
      </w:r>
      <w:r w:rsidRPr="00993DCB">
        <w:t xml:space="preserve"> million; and the value added was USD </w:t>
      </w:r>
      <w:r w:rsidRPr="00993DCB">
        <w:rPr>
          <w:rFonts w:hint="cs"/>
          <w:rtl/>
        </w:rPr>
        <w:t>738</w:t>
      </w:r>
      <w:r w:rsidRPr="00993DCB">
        <w:rPr>
          <w:rtl/>
        </w:rPr>
        <w:t>.</w:t>
      </w:r>
      <w:r w:rsidRPr="00993DCB">
        <w:rPr>
          <w:rFonts w:hint="cs"/>
          <w:rtl/>
        </w:rPr>
        <w:t>7</w:t>
      </w:r>
      <w:r w:rsidRPr="00993DCB">
        <w:t xml:space="preserve"> million</w:t>
      </w:r>
      <w:r w:rsidR="00CE5C3E">
        <w:t xml:space="preserve"> in 2013</w:t>
      </w:r>
      <w:r w:rsidRPr="00993DCB">
        <w:t>.</w:t>
      </w:r>
    </w:p>
    <w:p w:rsidR="008E31AC" w:rsidRPr="00993DCB" w:rsidRDefault="008E31AC" w:rsidP="008E31AC">
      <w:pPr>
        <w:pStyle w:val="ListParagraph"/>
      </w:pPr>
    </w:p>
    <w:p w:rsidR="008874A9" w:rsidRPr="00993DCB" w:rsidRDefault="008874A9" w:rsidP="009723CC">
      <w:pPr>
        <w:pStyle w:val="ListParagraph"/>
        <w:bidi w:val="0"/>
        <w:ind w:left="0"/>
        <w:jc w:val="lowKashida"/>
        <w:rPr>
          <w:rFonts w:cs="Times New Roman"/>
          <w:i/>
          <w:iCs/>
          <w:sz w:val="20"/>
          <w:u w:val="single"/>
        </w:rPr>
      </w:pPr>
      <w:r w:rsidRPr="00993DCB">
        <w:rPr>
          <w:rFonts w:cs="Times New Roman"/>
          <w:i/>
          <w:iCs/>
          <w:sz w:val="20"/>
          <w:u w:val="single"/>
        </w:rPr>
        <w:t>For more detai</w:t>
      </w:r>
      <w:r w:rsidR="00514489" w:rsidRPr="00993DCB">
        <w:rPr>
          <w:rFonts w:cs="Times New Roman"/>
          <w:i/>
          <w:iCs/>
          <w:sz w:val="20"/>
          <w:u w:val="single"/>
        </w:rPr>
        <w:t>l</w:t>
      </w:r>
      <w:r w:rsidR="00011A35" w:rsidRPr="00993DCB">
        <w:rPr>
          <w:rFonts w:cs="Times New Roman"/>
          <w:i/>
          <w:iCs/>
          <w:sz w:val="20"/>
          <w:u w:val="single"/>
        </w:rPr>
        <w:t>s</w:t>
      </w:r>
      <w:r w:rsidRPr="00993DCB">
        <w:rPr>
          <w:rFonts w:cs="Times New Roman"/>
          <w:i/>
          <w:iCs/>
          <w:sz w:val="20"/>
          <w:u w:val="single"/>
        </w:rPr>
        <w:t xml:space="preserve"> </w:t>
      </w:r>
      <w:r w:rsidR="00124D0C" w:rsidRPr="00993DCB">
        <w:rPr>
          <w:rFonts w:cs="Times New Roman"/>
          <w:i/>
          <w:iCs/>
          <w:sz w:val="20"/>
          <w:u w:val="single"/>
        </w:rPr>
        <w:t>on</w:t>
      </w:r>
      <w:r w:rsidRPr="00993DCB">
        <w:rPr>
          <w:rFonts w:cs="Times New Roman"/>
          <w:i/>
          <w:iCs/>
          <w:sz w:val="20"/>
          <w:u w:val="single"/>
        </w:rPr>
        <w:t xml:space="preserve"> </w:t>
      </w:r>
      <w:r w:rsidR="00011A35" w:rsidRPr="00993DCB">
        <w:rPr>
          <w:rFonts w:cs="Times New Roman"/>
          <w:i/>
          <w:iCs/>
          <w:sz w:val="20"/>
          <w:u w:val="single"/>
        </w:rPr>
        <w:t>t</w:t>
      </w:r>
      <w:r w:rsidRPr="00993DCB">
        <w:rPr>
          <w:rFonts w:cs="Times New Roman"/>
          <w:i/>
          <w:iCs/>
          <w:sz w:val="20"/>
          <w:u w:val="single"/>
        </w:rPr>
        <w:t xml:space="preserve">ransport and </w:t>
      </w:r>
      <w:r w:rsidR="00011A35" w:rsidRPr="00993DCB">
        <w:rPr>
          <w:rFonts w:cs="Times New Roman"/>
          <w:i/>
          <w:iCs/>
          <w:sz w:val="20"/>
          <w:u w:val="single"/>
        </w:rPr>
        <w:t>c</w:t>
      </w:r>
      <w:r w:rsidRPr="00993DCB">
        <w:rPr>
          <w:rFonts w:cs="Times New Roman"/>
          <w:i/>
          <w:iCs/>
          <w:sz w:val="20"/>
          <w:u w:val="single"/>
        </w:rPr>
        <w:t>ommunication</w:t>
      </w:r>
      <w:r w:rsidR="003C0114" w:rsidRPr="00993DCB">
        <w:rPr>
          <w:rFonts w:cs="Times New Roman"/>
          <w:i/>
          <w:iCs/>
          <w:sz w:val="20"/>
          <w:u w:val="single"/>
        </w:rPr>
        <w:t>s</w:t>
      </w:r>
      <w:r w:rsidR="00011A35"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see</w:t>
      </w:r>
      <w:r w:rsidR="00011A35" w:rsidRPr="00993DCB">
        <w:rPr>
          <w:rFonts w:cs="Times New Roman"/>
          <w:i/>
          <w:iCs/>
          <w:sz w:val="20"/>
          <w:u w:val="single"/>
        </w:rPr>
        <w:t xml:space="preserve"> the</w:t>
      </w:r>
      <w:r w:rsidR="0037009A" w:rsidRPr="00993DCB">
        <w:rPr>
          <w:rFonts w:cs="Times New Roman"/>
          <w:i/>
          <w:iCs/>
          <w:sz w:val="20"/>
          <w:u w:val="single"/>
        </w:rPr>
        <w:t xml:space="preserve"> tables </w:t>
      </w:r>
      <w:r w:rsidRPr="00993DCB">
        <w:rPr>
          <w:rFonts w:cs="Times New Roman"/>
          <w:i/>
          <w:iCs/>
          <w:sz w:val="20"/>
          <w:u w:val="single"/>
        </w:rPr>
        <w:t>in chapter 1.1</w:t>
      </w:r>
      <w:r w:rsidR="000C5F6C" w:rsidRPr="00993DCB">
        <w:rPr>
          <w:rFonts w:cs="Times New Roman"/>
          <w:i/>
          <w:iCs/>
          <w:sz w:val="20"/>
          <w:u w:val="single"/>
        </w:rPr>
        <w:t>6</w:t>
      </w:r>
      <w:r w:rsidRPr="00993DCB">
        <w:rPr>
          <w:rFonts w:cs="Times New Roman"/>
          <w:i/>
          <w:iCs/>
          <w:sz w:val="20"/>
          <w:u w:val="single"/>
        </w:rPr>
        <w:t xml:space="preserve"> </w:t>
      </w:r>
      <w:r w:rsidR="00011A35" w:rsidRPr="00993DCB">
        <w:rPr>
          <w:rFonts w:cs="Times New Roman"/>
          <w:i/>
          <w:iCs/>
          <w:sz w:val="20"/>
          <w:u w:val="single"/>
        </w:rPr>
        <w:t>of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011A35" w:rsidRPr="00993DCB">
        <w:rPr>
          <w:rFonts w:cs="Times New Roman"/>
          <w:i/>
          <w:iCs/>
          <w:sz w:val="20"/>
          <w:u w:val="single"/>
        </w:rPr>
        <w:t>section,</w:t>
      </w:r>
      <w:r w:rsidR="00124D0C" w:rsidRPr="00993DCB">
        <w:rPr>
          <w:rFonts w:cs="Times New Roman"/>
          <w:i/>
          <w:iCs/>
          <w:sz w:val="20"/>
          <w:u w:val="single"/>
        </w:rPr>
        <w:t xml:space="preserve"> </w:t>
      </w:r>
      <w:r w:rsidRPr="00993DCB">
        <w:rPr>
          <w:rFonts w:cs="Times New Roman"/>
          <w:i/>
          <w:iCs/>
          <w:sz w:val="20"/>
          <w:u w:val="single"/>
        </w:rPr>
        <w:t>page</w:t>
      </w:r>
      <w:r w:rsidR="00011A35" w:rsidRPr="00993DCB">
        <w:rPr>
          <w:rFonts w:cs="Times New Roman"/>
          <w:i/>
          <w:iCs/>
          <w:sz w:val="20"/>
          <w:u w:val="single"/>
        </w:rPr>
        <w:t>s</w:t>
      </w:r>
      <w:r w:rsidR="006C0C7B" w:rsidRPr="00993DCB">
        <w:rPr>
          <w:rFonts w:cs="Times New Roman"/>
          <w:i/>
          <w:iCs/>
          <w:sz w:val="20"/>
          <w:u w:val="single"/>
        </w:rPr>
        <w:t xml:space="preserve"> </w:t>
      </w:r>
      <w:r w:rsidR="004466EC">
        <w:rPr>
          <w:rFonts w:cs="Times New Roman"/>
          <w:i/>
          <w:iCs/>
          <w:sz w:val="20"/>
          <w:u w:val="single"/>
        </w:rPr>
        <w:t>167</w:t>
      </w:r>
      <w:r w:rsidR="003E7B2E" w:rsidRPr="00993DCB">
        <w:rPr>
          <w:rFonts w:cs="Times New Roman"/>
          <w:i/>
          <w:iCs/>
          <w:sz w:val="20"/>
          <w:u w:val="single"/>
        </w:rPr>
        <w:t>-</w:t>
      </w:r>
      <w:r w:rsidR="004466EC">
        <w:rPr>
          <w:rFonts w:cs="Times New Roman"/>
          <w:i/>
          <w:iCs/>
          <w:sz w:val="20"/>
          <w:u w:val="single"/>
        </w:rPr>
        <w:t>17</w:t>
      </w:r>
      <w:r w:rsidR="009723CC">
        <w:rPr>
          <w:rFonts w:cs="Times New Roman"/>
          <w:i/>
          <w:iCs/>
          <w:sz w:val="20"/>
          <w:u w:val="single"/>
        </w:rPr>
        <w:t>6</w:t>
      </w:r>
      <w:r w:rsidR="00011A35" w:rsidRPr="00993DCB">
        <w:rPr>
          <w:rFonts w:cs="Times New Roman"/>
          <w:i/>
          <w:iCs/>
          <w:sz w:val="20"/>
          <w:u w:val="single"/>
        </w:rPr>
        <w:t>.</w:t>
      </w:r>
    </w:p>
    <w:p w:rsidR="004E4E14" w:rsidRPr="00993DCB" w:rsidRDefault="004E4E14" w:rsidP="001F2744"/>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Construction</w:t>
      </w:r>
    </w:p>
    <w:p w:rsidR="00F9624E" w:rsidRPr="00993DCB" w:rsidRDefault="00F9624E" w:rsidP="00F9624E">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w:t>
      </w:r>
      <w:r w:rsidRPr="00993DCB">
        <w:rPr>
          <w:rFonts w:hint="cs"/>
          <w:rtl/>
        </w:rPr>
        <w:t>525</w:t>
      </w:r>
      <w:r w:rsidRPr="00993DCB">
        <w:t xml:space="preserve"> enterprises engaged in this sector in Palestine</w:t>
      </w:r>
      <w:r w:rsidR="0078224A">
        <w:t xml:space="preserve"> in 2013</w:t>
      </w:r>
      <w:r w:rsidRPr="00993DCB">
        <w:t>.</w:t>
      </w:r>
    </w:p>
    <w:p w:rsidR="00F9624E" w:rsidRPr="00993DCB" w:rsidRDefault="00F9624E" w:rsidP="00F9624E">
      <w:pPr>
        <w:pStyle w:val="BodyText"/>
        <w:overflowPunct/>
        <w:autoSpaceDE/>
        <w:autoSpaceDN/>
        <w:adjustRightInd/>
        <w:jc w:val="lowKashida"/>
        <w:textAlignment w:val="auto"/>
      </w:pPr>
      <w:r w:rsidRPr="00993DCB">
        <w:t xml:space="preserve">  </w:t>
      </w:r>
    </w:p>
    <w:p w:rsidR="00F9624E" w:rsidRPr="00993DCB" w:rsidRDefault="00F9624E" w:rsidP="00F9624E">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10,177 individuals employed in this sector</w:t>
      </w:r>
      <w:r w:rsidR="0078224A">
        <w:t xml:space="preserve"> in 2013</w:t>
      </w:r>
      <w:r w:rsidRPr="00993DCB">
        <w:t>.</w:t>
      </w:r>
    </w:p>
    <w:p w:rsidR="00F9624E" w:rsidRPr="00993DCB" w:rsidRDefault="00F9624E" w:rsidP="00F9624E">
      <w:pPr>
        <w:pStyle w:val="BodyText"/>
        <w:overflowPunct/>
        <w:autoSpaceDE/>
        <w:autoSpaceDN/>
        <w:adjustRightInd/>
        <w:jc w:val="lowKashida"/>
        <w:textAlignment w:val="auto"/>
      </w:pPr>
    </w:p>
    <w:p w:rsidR="00F9624E" w:rsidRPr="00993DCB" w:rsidRDefault="00F9624E" w:rsidP="00F9624E">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of enterprises in the construction sector was USD 666.4 million</w:t>
      </w:r>
      <w:r w:rsidR="0033655E">
        <w:t>;</w:t>
      </w:r>
      <w:r w:rsidRPr="00993DCB">
        <w:t xml:space="preserve"> intermediate consumption totaled USD 387.4 million</w:t>
      </w:r>
      <w:r w:rsidR="0033655E">
        <w:t>;</w:t>
      </w:r>
      <w:r w:rsidRPr="00993DCB">
        <w:t xml:space="preserve"> and the value added was USD 279.0 million</w:t>
      </w:r>
      <w:r w:rsidR="0078224A">
        <w:t xml:space="preserve"> in 2013</w:t>
      </w:r>
      <w:r w:rsidRPr="00993DCB">
        <w:t>.</w:t>
      </w:r>
    </w:p>
    <w:p w:rsidR="00A822B8" w:rsidRDefault="00A822B8" w:rsidP="00A822B8">
      <w:pPr>
        <w:pStyle w:val="ListParagraph"/>
        <w:rPr>
          <w:i/>
          <w:iCs/>
          <w:u w:val="single"/>
          <w:rtl/>
        </w:rPr>
      </w:pPr>
    </w:p>
    <w:p w:rsidR="003E4CA5" w:rsidRDefault="003E4CA5" w:rsidP="00A822B8">
      <w:pPr>
        <w:pStyle w:val="ListParagraph"/>
        <w:rPr>
          <w:i/>
          <w:iCs/>
          <w:u w:val="single"/>
          <w:rtl/>
        </w:rPr>
      </w:pPr>
    </w:p>
    <w:p w:rsidR="00E06608" w:rsidRPr="00993DCB" w:rsidRDefault="007738FE" w:rsidP="00A41FD6">
      <w:pPr>
        <w:pStyle w:val="Title"/>
        <w:bidi w:val="0"/>
        <w:ind w:hanging="196"/>
        <w:jc w:val="left"/>
        <w:rPr>
          <w:rFonts w:cs="Traditional Arabic"/>
          <w:sz w:val="20"/>
          <w:szCs w:val="20"/>
        </w:rPr>
      </w:pPr>
      <w:r w:rsidRPr="00993DCB">
        <w:rPr>
          <w:rFonts w:cs="Traditional Arabic"/>
          <w:sz w:val="20"/>
          <w:szCs w:val="20"/>
        </w:rPr>
        <w:t>1</w:t>
      </w:r>
      <w:r w:rsidR="00A41FD6" w:rsidRPr="00993DCB">
        <w:rPr>
          <w:rFonts w:cs="Traditional Arabic"/>
          <w:sz w:val="20"/>
          <w:szCs w:val="20"/>
        </w:rPr>
        <w:t>7</w:t>
      </w:r>
      <w:r w:rsidR="009442E8" w:rsidRPr="00993DCB">
        <w:rPr>
          <w:rFonts w:cs="Traditional Arabic"/>
          <w:sz w:val="20"/>
          <w:szCs w:val="20"/>
        </w:rPr>
        <w:t xml:space="preserve">.1 </w:t>
      </w:r>
      <w:r w:rsidR="00E06608" w:rsidRPr="00993DCB">
        <w:rPr>
          <w:rFonts w:cs="Traditional Arabic"/>
          <w:sz w:val="20"/>
          <w:szCs w:val="20"/>
        </w:rPr>
        <w:t>Building Licenses</w:t>
      </w:r>
    </w:p>
    <w:p w:rsidR="006174CE" w:rsidRPr="00993DCB" w:rsidRDefault="006174CE" w:rsidP="006174CE">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number of building licenses issued in 2013 increased by 10.9% compared with </w:t>
      </w:r>
      <w:bookmarkStart w:id="0" w:name="OLE_LINK12"/>
      <w:r w:rsidRPr="00993DCB">
        <w:t xml:space="preserve">2012. </w:t>
      </w:r>
      <w:bookmarkEnd w:id="0"/>
    </w:p>
    <w:p w:rsidR="006174CE" w:rsidRPr="00993DCB" w:rsidRDefault="006174CE" w:rsidP="006174CE">
      <w:pPr>
        <w:ind w:left="-14"/>
        <w:jc w:val="both"/>
        <w:rPr>
          <w:noProof/>
        </w:rPr>
      </w:pPr>
    </w:p>
    <w:p w:rsidR="006174CE" w:rsidRPr="00993DCB" w:rsidRDefault="006174CE" w:rsidP="00826F36">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number of licensed dwellings was 16,960 of which 13,566 were new units with a total area of 2,318.2 thousand m</w:t>
      </w:r>
      <w:r w:rsidRPr="00993DCB">
        <w:rPr>
          <w:vertAlign w:val="superscript"/>
        </w:rPr>
        <w:t>2</w:t>
      </w:r>
      <w:r w:rsidRPr="00993DCB">
        <w:t xml:space="preserve"> and 3,394 were existing dwellings with a total area of 575 thousand m</w:t>
      </w:r>
      <w:r w:rsidRPr="00993DCB">
        <w:rPr>
          <w:vertAlign w:val="superscript"/>
        </w:rPr>
        <w:t>2</w:t>
      </w:r>
      <w:r w:rsidRPr="00993DCB">
        <w:t>.</w:t>
      </w:r>
    </w:p>
    <w:p w:rsidR="0038645D" w:rsidRPr="00993DCB" w:rsidRDefault="0038645D" w:rsidP="0038645D">
      <w:pPr>
        <w:pStyle w:val="ListParagraph"/>
      </w:pPr>
    </w:p>
    <w:p w:rsidR="00E06608" w:rsidRPr="00993DCB" w:rsidRDefault="007738FE" w:rsidP="00A41FD6">
      <w:pPr>
        <w:pStyle w:val="Title"/>
        <w:bidi w:val="0"/>
        <w:ind w:hanging="210"/>
        <w:jc w:val="left"/>
        <w:rPr>
          <w:rFonts w:cs="Times New Roman"/>
          <w:sz w:val="20"/>
          <w:szCs w:val="20"/>
        </w:rPr>
      </w:pPr>
      <w:r w:rsidRPr="00993DCB">
        <w:rPr>
          <w:rFonts w:cs="Times New Roman"/>
          <w:sz w:val="20"/>
          <w:szCs w:val="20"/>
        </w:rPr>
        <w:t>1</w:t>
      </w:r>
      <w:r w:rsidR="00A41FD6" w:rsidRPr="00993DCB">
        <w:rPr>
          <w:rFonts w:cs="Times New Roman"/>
          <w:sz w:val="20"/>
          <w:szCs w:val="20"/>
        </w:rPr>
        <w:t>7</w:t>
      </w:r>
      <w:r w:rsidR="009442E8" w:rsidRPr="00993DCB">
        <w:rPr>
          <w:rFonts w:cs="Times New Roman"/>
          <w:sz w:val="20"/>
          <w:szCs w:val="20"/>
        </w:rPr>
        <w:t xml:space="preserve">.2 </w:t>
      </w:r>
      <w:r w:rsidR="00E06608" w:rsidRPr="00993DCB">
        <w:rPr>
          <w:rFonts w:cs="Times New Roman"/>
          <w:sz w:val="20"/>
          <w:szCs w:val="20"/>
        </w:rPr>
        <w:t>Existi</w:t>
      </w:r>
      <w:r w:rsidR="00383AFC" w:rsidRPr="00993DCB">
        <w:rPr>
          <w:rFonts w:cs="Times New Roman"/>
          <w:sz w:val="20"/>
          <w:szCs w:val="20"/>
        </w:rPr>
        <w:t>n</w:t>
      </w:r>
      <w:r w:rsidR="00E06608" w:rsidRPr="00993DCB">
        <w:rPr>
          <w:rFonts w:cs="Times New Roman"/>
          <w:sz w:val="20"/>
          <w:szCs w:val="20"/>
        </w:rPr>
        <w:t>g Building</w:t>
      </w:r>
      <w:r w:rsidR="00383AFC" w:rsidRPr="00993DCB">
        <w:rPr>
          <w:rFonts w:cs="Times New Roman"/>
          <w:sz w:val="20"/>
          <w:szCs w:val="20"/>
        </w:rPr>
        <w:t>s</w:t>
      </w:r>
    </w:p>
    <w:p w:rsidR="006174CE" w:rsidRPr="00993DCB" w:rsidRDefault="006174CE" w:rsidP="006174CE">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expenditure on construction of new buildings and additions in Palestine in 2013 increased by 0.5% compared with 2012.</w:t>
      </w:r>
    </w:p>
    <w:p w:rsidR="008B26F1" w:rsidRPr="00993DCB" w:rsidRDefault="008B26F1" w:rsidP="008B26F1">
      <w:pPr>
        <w:ind w:left="-14"/>
        <w:jc w:val="both"/>
        <w:rPr>
          <w:noProof/>
        </w:rPr>
      </w:pPr>
    </w:p>
    <w:p w:rsidR="008874A9" w:rsidRPr="00993DCB" w:rsidRDefault="008874A9" w:rsidP="00826F36">
      <w:pPr>
        <w:pStyle w:val="ListParagraph"/>
        <w:bidi w:val="0"/>
        <w:ind w:left="0"/>
        <w:jc w:val="lowKashida"/>
        <w:rPr>
          <w:rFonts w:cs="Times New Roman"/>
          <w:i/>
          <w:iCs/>
          <w:sz w:val="20"/>
          <w:u w:val="single"/>
        </w:rPr>
      </w:pPr>
      <w:r w:rsidRPr="00993DCB">
        <w:rPr>
          <w:rFonts w:cs="Times New Roman"/>
          <w:i/>
          <w:iCs/>
          <w:sz w:val="20"/>
          <w:u w:val="single"/>
        </w:rPr>
        <w:t xml:space="preserve">For more detail </w:t>
      </w:r>
      <w:r w:rsidR="00D5190D" w:rsidRPr="00993DCB">
        <w:rPr>
          <w:rFonts w:cs="Times New Roman"/>
          <w:i/>
          <w:iCs/>
          <w:sz w:val="20"/>
          <w:u w:val="single"/>
        </w:rPr>
        <w:t>on</w:t>
      </w:r>
      <w:r w:rsidRPr="00993DCB">
        <w:rPr>
          <w:rFonts w:cs="Times New Roman"/>
          <w:i/>
          <w:iCs/>
          <w:sz w:val="20"/>
          <w:u w:val="single"/>
        </w:rPr>
        <w:t xml:space="preserve"> </w:t>
      </w:r>
      <w:r w:rsidR="00D5190D" w:rsidRPr="00993DCB">
        <w:rPr>
          <w:rFonts w:cs="Times New Roman"/>
          <w:i/>
          <w:iCs/>
          <w:sz w:val="20"/>
          <w:u w:val="single"/>
        </w:rPr>
        <w:t>c</w:t>
      </w:r>
      <w:r w:rsidRPr="00993DCB">
        <w:rPr>
          <w:rFonts w:cs="Times New Roman"/>
          <w:i/>
          <w:iCs/>
          <w:sz w:val="20"/>
          <w:u w:val="single"/>
        </w:rPr>
        <w:t>onstruction</w:t>
      </w:r>
      <w:r w:rsidR="00D5190D"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D5190D"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1.1</w:t>
      </w:r>
      <w:r w:rsidR="000C5F6C" w:rsidRPr="00993DCB">
        <w:rPr>
          <w:rFonts w:cs="Times New Roman"/>
          <w:i/>
          <w:iCs/>
          <w:sz w:val="20"/>
          <w:u w:val="single"/>
        </w:rPr>
        <w:t>7</w:t>
      </w:r>
      <w:r w:rsidRPr="00993DCB">
        <w:rPr>
          <w:rFonts w:cs="Times New Roman"/>
          <w:i/>
          <w:iCs/>
          <w:sz w:val="20"/>
          <w:u w:val="single"/>
        </w:rPr>
        <w:t xml:space="preserve"> </w:t>
      </w:r>
      <w:r w:rsidR="00D5190D"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D5190D" w:rsidRPr="00993DCB">
        <w:rPr>
          <w:rFonts w:cs="Times New Roman"/>
          <w:i/>
          <w:iCs/>
          <w:sz w:val="20"/>
          <w:u w:val="single"/>
        </w:rPr>
        <w:t xml:space="preserve">section, </w:t>
      </w:r>
      <w:r w:rsidRPr="00993DCB">
        <w:rPr>
          <w:rFonts w:cs="Times New Roman"/>
          <w:i/>
          <w:iCs/>
          <w:sz w:val="20"/>
          <w:u w:val="single"/>
        </w:rPr>
        <w:t>page</w:t>
      </w:r>
      <w:r w:rsidR="00D5190D" w:rsidRPr="00993DCB">
        <w:rPr>
          <w:rFonts w:cs="Times New Roman"/>
          <w:i/>
          <w:iCs/>
          <w:sz w:val="20"/>
          <w:u w:val="single"/>
        </w:rPr>
        <w:t>s</w:t>
      </w:r>
      <w:r w:rsidR="006C0C7B" w:rsidRPr="00993DCB">
        <w:rPr>
          <w:rFonts w:cs="Times New Roman"/>
          <w:i/>
          <w:iCs/>
          <w:noProof w:val="0"/>
          <w:sz w:val="20"/>
          <w:u w:val="single"/>
          <w:rtl/>
        </w:rPr>
        <w:t xml:space="preserve"> </w:t>
      </w:r>
      <w:r w:rsidR="00826F36">
        <w:rPr>
          <w:rFonts w:cs="Times New Roman"/>
          <w:i/>
          <w:iCs/>
          <w:sz w:val="20"/>
          <w:u w:val="single"/>
        </w:rPr>
        <w:t>177</w:t>
      </w:r>
      <w:r w:rsidR="006C0C7B" w:rsidRPr="00993DCB">
        <w:rPr>
          <w:rFonts w:cs="Times New Roman"/>
          <w:i/>
          <w:iCs/>
          <w:sz w:val="20"/>
          <w:u w:val="single"/>
        </w:rPr>
        <w:t>-</w:t>
      </w:r>
      <w:r w:rsidR="00826F36">
        <w:rPr>
          <w:rFonts w:cs="Times New Roman"/>
          <w:i/>
          <w:iCs/>
          <w:sz w:val="20"/>
          <w:u w:val="single"/>
        </w:rPr>
        <w:t>184</w:t>
      </w:r>
      <w:r w:rsidR="00D5190D" w:rsidRPr="00993DCB">
        <w:rPr>
          <w:rFonts w:cs="Times New Roman"/>
          <w:i/>
          <w:iCs/>
          <w:sz w:val="20"/>
          <w:u w:val="single"/>
        </w:rPr>
        <w:t>.</w:t>
      </w:r>
    </w:p>
    <w:p w:rsidR="008874A9" w:rsidRPr="00993DCB" w:rsidRDefault="008874A9" w:rsidP="008874A9">
      <w:pPr>
        <w:jc w:val="both"/>
        <w:rPr>
          <w:noProof/>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 xml:space="preserve">Industry                              </w:t>
      </w:r>
    </w:p>
    <w:p w:rsidR="00FD6391" w:rsidRPr="00993DCB" w:rsidRDefault="00FD6391" w:rsidP="00FD6391">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16,201 enterprises engaged in this sector in Palestine</w:t>
      </w:r>
      <w:r w:rsidR="0078224A">
        <w:t xml:space="preserve"> in 2013</w:t>
      </w:r>
      <w:r w:rsidRPr="00993DCB">
        <w:t>.</w:t>
      </w:r>
    </w:p>
    <w:p w:rsidR="00FD6391" w:rsidRPr="00993DCB" w:rsidRDefault="00FD6391" w:rsidP="00FD6391">
      <w:pPr>
        <w:ind w:left="-218"/>
        <w:jc w:val="both"/>
        <w:rPr>
          <w:noProof/>
          <w:sz w:val="14"/>
          <w:szCs w:val="14"/>
        </w:rPr>
      </w:pPr>
      <w:r w:rsidRPr="00993DCB">
        <w:rPr>
          <w:noProof/>
          <w:sz w:val="14"/>
          <w:szCs w:val="14"/>
        </w:rPr>
        <w:t xml:space="preserve"> </w:t>
      </w:r>
    </w:p>
    <w:p w:rsidR="00FD6391" w:rsidRPr="00993DCB" w:rsidRDefault="00FD6391" w:rsidP="00FD6391">
      <w:pPr>
        <w:pStyle w:val="ListParagraph"/>
        <w:bidi w:val="0"/>
        <w:jc w:val="center"/>
        <w:rPr>
          <w:rFonts w:ascii="Arial" w:hAnsi="Arial"/>
          <w:b/>
          <w:bCs/>
          <w:sz w:val="18"/>
          <w:szCs w:val="18"/>
        </w:rPr>
      </w:pPr>
      <w:r w:rsidRPr="00993DCB">
        <w:rPr>
          <w:rFonts w:ascii="Arial" w:hAnsi="Arial"/>
          <w:b/>
          <w:bCs/>
          <w:sz w:val="18"/>
          <w:szCs w:val="18"/>
        </w:rPr>
        <w:t>Main Economic Indicators for Industrial Activities, 2011-2013</w:t>
      </w:r>
    </w:p>
    <w:p w:rsidR="00FD6391" w:rsidRPr="00993DCB" w:rsidRDefault="00FD6391" w:rsidP="00FD6391">
      <w:pPr>
        <w:pStyle w:val="ListParagraph"/>
        <w:bidi w:val="0"/>
        <w:rPr>
          <w:rFonts w:ascii="Arial" w:hAnsi="Arial"/>
          <w:b/>
          <w:bCs/>
          <w:sz w:val="8"/>
          <w:szCs w:val="8"/>
          <w:rtl/>
        </w:rPr>
      </w:pPr>
    </w:p>
    <w:p w:rsidR="00FD6391" w:rsidRPr="00993DCB" w:rsidRDefault="00FD6391" w:rsidP="00FD6391">
      <w:pPr>
        <w:pStyle w:val="ListParagraph"/>
        <w:bidi w:val="0"/>
        <w:rPr>
          <w:rFonts w:ascii="Arial" w:hAnsi="Arial"/>
          <w:b/>
          <w:bCs/>
          <w:sz w:val="16"/>
          <w:szCs w:val="16"/>
          <w:rtl/>
        </w:rPr>
      </w:pPr>
      <w:r w:rsidRPr="00993DCB">
        <w:rPr>
          <w:bdr w:val="single" w:sz="4" w:space="0" w:color="auto" w:frame="1"/>
        </w:rPr>
        <w:drawing>
          <wp:inline distT="0" distB="0" distL="0" distR="0">
            <wp:extent cx="4010025" cy="1571625"/>
            <wp:effectExtent l="0" t="0" r="0" b="0"/>
            <wp:docPr id="1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FD6391" w:rsidRPr="00993DCB" w:rsidRDefault="00FD6391" w:rsidP="00FD6391">
      <w:pPr>
        <w:pStyle w:val="BodyText"/>
        <w:overflowPunct/>
        <w:autoSpaceDE/>
        <w:autoSpaceDN/>
        <w:adjustRightInd/>
        <w:ind w:left="720"/>
        <w:jc w:val="lowKashida"/>
        <w:textAlignment w:val="auto"/>
      </w:pPr>
    </w:p>
    <w:p w:rsidR="00FD6391" w:rsidRPr="00993DCB" w:rsidRDefault="00FD6391" w:rsidP="00310246">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79,566 employed</w:t>
      </w:r>
      <w:r w:rsidR="00310246">
        <w:t xml:space="preserve"> persons</w:t>
      </w:r>
      <w:r w:rsidRPr="00993DCB">
        <w:t xml:space="preserve"> in this sector</w:t>
      </w:r>
      <w:r w:rsidR="0078224A">
        <w:t xml:space="preserve"> in 2013</w:t>
      </w:r>
      <w:r w:rsidRPr="00993DCB">
        <w:t>.</w:t>
      </w:r>
    </w:p>
    <w:p w:rsidR="00FD6391" w:rsidRPr="00993DCB" w:rsidRDefault="00FD6391" w:rsidP="00FD6391">
      <w:pPr>
        <w:pStyle w:val="BodyText"/>
        <w:overflowPunct/>
        <w:autoSpaceDE/>
        <w:autoSpaceDN/>
        <w:adjustRightInd/>
        <w:jc w:val="lowKashida"/>
        <w:textAlignment w:val="auto"/>
      </w:pPr>
    </w:p>
    <w:p w:rsidR="00FD6391" w:rsidRPr="00993DCB" w:rsidRDefault="00FD6391" w:rsidP="00FD6391">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of enterprises in industrial activities was USD 4,021.5 million</w:t>
      </w:r>
      <w:r w:rsidR="0033655E">
        <w:t>;</w:t>
      </w:r>
      <w:r w:rsidRPr="00993DCB">
        <w:t xml:space="preserve"> intermediate consumption totaled USD 2,394.7 million; and the value added was USD 1,626.8 million</w:t>
      </w:r>
      <w:r w:rsidR="0078224A">
        <w:t xml:space="preserve"> in 2013</w:t>
      </w:r>
      <w:r w:rsidRPr="00993DCB">
        <w:t>.</w:t>
      </w:r>
    </w:p>
    <w:p w:rsidR="008874A9" w:rsidRPr="00993DCB" w:rsidRDefault="008874A9" w:rsidP="008874A9">
      <w:pPr>
        <w:pStyle w:val="ListParagraph"/>
      </w:pPr>
    </w:p>
    <w:p w:rsidR="008874A9" w:rsidRPr="00993DCB" w:rsidRDefault="008874A9" w:rsidP="007E4539">
      <w:pPr>
        <w:pStyle w:val="ListParagraph"/>
        <w:bidi w:val="0"/>
        <w:ind w:left="0"/>
        <w:jc w:val="lowKashida"/>
        <w:rPr>
          <w:rFonts w:cs="Times New Roman"/>
          <w:i/>
          <w:iCs/>
          <w:sz w:val="20"/>
          <w:u w:val="single"/>
        </w:rPr>
      </w:pPr>
      <w:r w:rsidRPr="00993DCB">
        <w:rPr>
          <w:rFonts w:cs="Times New Roman"/>
          <w:i/>
          <w:iCs/>
          <w:sz w:val="20"/>
          <w:u w:val="single"/>
        </w:rPr>
        <w:t>For more detail</w:t>
      </w:r>
      <w:r w:rsidR="002B6D87" w:rsidRPr="00993DCB">
        <w:rPr>
          <w:rFonts w:cs="Times New Roman"/>
          <w:i/>
          <w:iCs/>
          <w:sz w:val="20"/>
          <w:u w:val="single"/>
        </w:rPr>
        <w:t>s</w:t>
      </w:r>
      <w:r w:rsidRPr="00993DCB">
        <w:rPr>
          <w:rFonts w:cs="Times New Roman"/>
          <w:i/>
          <w:iCs/>
          <w:sz w:val="20"/>
          <w:u w:val="single"/>
        </w:rPr>
        <w:t xml:space="preserve"> </w:t>
      </w:r>
      <w:r w:rsidR="002B6D87" w:rsidRPr="00993DCB">
        <w:rPr>
          <w:rFonts w:cs="Times New Roman"/>
          <w:i/>
          <w:iCs/>
          <w:sz w:val="20"/>
          <w:u w:val="single"/>
        </w:rPr>
        <w:t>on i</w:t>
      </w:r>
      <w:r w:rsidRPr="00993DCB">
        <w:rPr>
          <w:rFonts w:cs="Times New Roman"/>
          <w:i/>
          <w:iCs/>
          <w:sz w:val="20"/>
          <w:u w:val="single"/>
        </w:rPr>
        <w:t>ndustry</w:t>
      </w:r>
      <w:r w:rsidR="002B6D87"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2B6D87"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1.1</w:t>
      </w:r>
      <w:r w:rsidR="000C5F6C" w:rsidRPr="00993DCB">
        <w:rPr>
          <w:rFonts w:cs="Times New Roman"/>
          <w:i/>
          <w:iCs/>
          <w:sz w:val="20"/>
          <w:u w:val="single"/>
        </w:rPr>
        <w:t>8</w:t>
      </w:r>
      <w:r w:rsidRPr="00993DCB">
        <w:rPr>
          <w:rFonts w:cs="Times New Roman"/>
          <w:i/>
          <w:iCs/>
          <w:sz w:val="20"/>
          <w:u w:val="single"/>
        </w:rPr>
        <w:t xml:space="preserve"> </w:t>
      </w:r>
      <w:r w:rsidR="002B6D87" w:rsidRPr="00993DCB">
        <w:rPr>
          <w:rFonts w:cs="Times New Roman"/>
          <w:i/>
          <w:iCs/>
          <w:sz w:val="20"/>
          <w:u w:val="single"/>
        </w:rPr>
        <w:t>of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2B6D87" w:rsidRPr="00993DCB">
        <w:rPr>
          <w:rFonts w:cs="Times New Roman"/>
          <w:i/>
          <w:iCs/>
          <w:sz w:val="20"/>
          <w:u w:val="single"/>
        </w:rPr>
        <w:t xml:space="preserve">section, </w:t>
      </w:r>
      <w:r w:rsidRPr="00993DCB">
        <w:rPr>
          <w:rFonts w:cs="Times New Roman"/>
          <w:i/>
          <w:iCs/>
          <w:sz w:val="20"/>
          <w:u w:val="single"/>
        </w:rPr>
        <w:t>page</w:t>
      </w:r>
      <w:r w:rsidR="002B6D87" w:rsidRPr="00993DCB">
        <w:rPr>
          <w:rFonts w:cs="Times New Roman"/>
          <w:i/>
          <w:iCs/>
          <w:sz w:val="20"/>
          <w:u w:val="single"/>
        </w:rPr>
        <w:t>s</w:t>
      </w:r>
      <w:r w:rsidR="006C0C7B" w:rsidRPr="00993DCB">
        <w:rPr>
          <w:rFonts w:cs="Times New Roman"/>
          <w:i/>
          <w:iCs/>
          <w:sz w:val="20"/>
          <w:u w:val="single"/>
        </w:rPr>
        <w:t xml:space="preserve"> </w:t>
      </w:r>
      <w:r w:rsidR="007E4539">
        <w:rPr>
          <w:rFonts w:cs="Times New Roman" w:hint="cs"/>
          <w:i/>
          <w:iCs/>
          <w:noProof w:val="0"/>
          <w:sz w:val="20"/>
          <w:u w:val="single"/>
          <w:rtl/>
        </w:rPr>
        <w:t>185</w:t>
      </w:r>
      <w:r w:rsidR="006C0C7B" w:rsidRPr="00993DCB">
        <w:rPr>
          <w:rFonts w:cs="Times New Roman"/>
          <w:i/>
          <w:iCs/>
          <w:sz w:val="20"/>
          <w:u w:val="single"/>
        </w:rPr>
        <w:t>-</w:t>
      </w:r>
      <w:r w:rsidR="007E4539">
        <w:rPr>
          <w:rFonts w:cs="Times New Roman" w:hint="cs"/>
          <w:i/>
          <w:iCs/>
          <w:noProof w:val="0"/>
          <w:sz w:val="20"/>
          <w:u w:val="single"/>
          <w:rtl/>
        </w:rPr>
        <w:t>188</w:t>
      </w:r>
      <w:r w:rsidR="002B6D87" w:rsidRPr="00993DCB">
        <w:rPr>
          <w:rFonts w:cs="Times New Roman"/>
          <w:i/>
          <w:iCs/>
          <w:sz w:val="20"/>
          <w:u w:val="single"/>
        </w:rPr>
        <w:t>.</w:t>
      </w:r>
    </w:p>
    <w:p w:rsidR="008874A9" w:rsidRPr="00993DCB" w:rsidRDefault="008874A9" w:rsidP="008874A9">
      <w:pPr>
        <w:pStyle w:val="ListParagraph"/>
        <w:rPr>
          <w:rFonts w:cs="Times New Roman"/>
          <w:i/>
          <w:iCs/>
          <w:sz w:val="20"/>
          <w:u w:val="single"/>
        </w:rPr>
      </w:pPr>
    </w:p>
    <w:p w:rsidR="001F2744" w:rsidRPr="00993DCB" w:rsidRDefault="001F2744" w:rsidP="00331B49">
      <w:pPr>
        <w:pStyle w:val="Title"/>
        <w:numPr>
          <w:ilvl w:val="0"/>
          <w:numId w:val="2"/>
        </w:numPr>
        <w:bidi w:val="0"/>
        <w:ind w:left="98" w:hanging="308"/>
        <w:jc w:val="left"/>
        <w:rPr>
          <w:rFonts w:cs="Times New Roman"/>
          <w:sz w:val="20"/>
          <w:szCs w:val="20"/>
        </w:rPr>
      </w:pPr>
      <w:r w:rsidRPr="00993DCB">
        <w:rPr>
          <w:rFonts w:cs="Traditional Arabic"/>
          <w:sz w:val="20"/>
          <w:szCs w:val="20"/>
        </w:rPr>
        <w:t xml:space="preserve">Tourism              </w:t>
      </w:r>
      <w:r w:rsidRPr="00993DCB">
        <w:rPr>
          <w:rFonts w:cs="Times New Roman"/>
          <w:szCs w:val="24"/>
        </w:rPr>
        <w:t xml:space="preserve">             </w:t>
      </w:r>
    </w:p>
    <w:p w:rsidR="000D67F7" w:rsidRPr="00993DCB" w:rsidRDefault="00EF136C" w:rsidP="0035714C">
      <w:pPr>
        <w:ind w:left="-14"/>
        <w:jc w:val="both"/>
        <w:rPr>
          <w:b/>
          <w:bCs/>
        </w:rPr>
      </w:pPr>
      <w:r w:rsidRPr="00993DCB">
        <w:rPr>
          <w:b/>
          <w:bCs/>
        </w:rPr>
        <w:t>19.1</w:t>
      </w:r>
      <w:r w:rsidRPr="00993DCB">
        <w:t xml:space="preserve"> </w:t>
      </w:r>
      <w:r w:rsidR="000D67F7" w:rsidRPr="00993DCB">
        <w:rPr>
          <w:b/>
          <w:bCs/>
        </w:rPr>
        <w:t>Hotel Activities in the West Bank</w:t>
      </w:r>
    </w:p>
    <w:p w:rsidR="005A0462" w:rsidRPr="00993DCB" w:rsidRDefault="005A0462" w:rsidP="0078224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113 hotels in operation in 2013 with 5,890 rooms in total and 13,458 beds.</w:t>
      </w:r>
    </w:p>
    <w:p w:rsidR="005A0462" w:rsidRPr="00993DCB" w:rsidRDefault="005A0462" w:rsidP="005A0462">
      <w:pPr>
        <w:ind w:left="-14"/>
        <w:jc w:val="both"/>
        <w:rPr>
          <w:noProof/>
        </w:rPr>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During 2013, the total number of guests in hotels in the West Bank was 600,362. </w:t>
      </w:r>
    </w:p>
    <w:p w:rsidR="005A0462" w:rsidRPr="00993DCB" w:rsidRDefault="005A0462" w:rsidP="005A0462">
      <w:pPr>
        <w:pStyle w:val="ListParagraph"/>
      </w:pPr>
    </w:p>
    <w:p w:rsidR="005A0462" w:rsidRPr="00993DCB" w:rsidRDefault="005A0462" w:rsidP="00D02F6E">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total number of guest nights was 1,467,709</w:t>
      </w:r>
      <w:r w:rsidRPr="00993DCB">
        <w:rPr>
          <w:rtl/>
        </w:rPr>
        <w:t xml:space="preserve"> </w:t>
      </w:r>
      <w:r w:rsidRPr="00993DCB">
        <w:t xml:space="preserve">during 2013, of which 9.6% were Palestinian, 39.5% were guests from European Union countries and 8.6% were guests from the United States and Canada.  </w:t>
      </w:r>
    </w:p>
    <w:p w:rsidR="005A0462" w:rsidRPr="00993DCB" w:rsidRDefault="005A0462" w:rsidP="005A0462">
      <w:pPr>
        <w:pStyle w:val="ListParagraph"/>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2,797 hotel workers: 2,133 males and 664 females. </w:t>
      </w:r>
    </w:p>
    <w:p w:rsidR="005A0462" w:rsidRPr="00993DCB" w:rsidRDefault="005A0462" w:rsidP="005A0462">
      <w:pPr>
        <w:pStyle w:val="BodyText"/>
        <w:overflowPunct/>
        <w:autoSpaceDE/>
        <w:autoSpaceDN/>
        <w:adjustRightInd/>
        <w:jc w:val="lowKashida"/>
        <w:textAlignment w:val="auto"/>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Room occupancy was 24.8% in 2013.</w:t>
      </w:r>
    </w:p>
    <w:p w:rsidR="005A0462" w:rsidRPr="00993DCB" w:rsidRDefault="005A0462" w:rsidP="005A0462">
      <w:pPr>
        <w:pStyle w:val="BodyText"/>
        <w:overflowPunct/>
        <w:autoSpaceDE/>
        <w:autoSpaceDN/>
        <w:adjustRightInd/>
        <w:jc w:val="lowKashida"/>
        <w:textAlignment w:val="auto"/>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average length of stay in Palestinian hotels was </w:t>
      </w:r>
      <w:r w:rsidRPr="00993DCB">
        <w:rPr>
          <w:rtl/>
        </w:rPr>
        <w:t>2.</w:t>
      </w:r>
      <w:r w:rsidRPr="00993DCB">
        <w:t>4 nights per guest during 2013.</w:t>
      </w:r>
    </w:p>
    <w:p w:rsidR="000D67F7" w:rsidRPr="00993DCB" w:rsidRDefault="000D67F7" w:rsidP="000D67F7">
      <w:pPr>
        <w:ind w:left="-14"/>
        <w:jc w:val="both"/>
        <w:rPr>
          <w:noProof/>
        </w:rPr>
      </w:pPr>
    </w:p>
    <w:p w:rsidR="002C4BB1" w:rsidRPr="00993DCB" w:rsidRDefault="002C4BB1" w:rsidP="00D02F6E">
      <w:pPr>
        <w:pStyle w:val="ListParagraph"/>
        <w:bidi w:val="0"/>
        <w:ind w:left="0"/>
        <w:jc w:val="lowKashida"/>
        <w:rPr>
          <w:rFonts w:cs="Times New Roman"/>
          <w:i/>
          <w:iCs/>
          <w:sz w:val="20"/>
          <w:u w:val="single"/>
        </w:rPr>
      </w:pPr>
      <w:r w:rsidRPr="00993DCB">
        <w:rPr>
          <w:rFonts w:cs="Times New Roman"/>
          <w:i/>
          <w:iCs/>
          <w:sz w:val="20"/>
          <w:u w:val="single"/>
        </w:rPr>
        <w:t>For more details on tourism, see the tables in chapter 1.1</w:t>
      </w:r>
      <w:r w:rsidR="000C5F6C" w:rsidRPr="00993DCB">
        <w:rPr>
          <w:rFonts w:cs="Times New Roman"/>
          <w:i/>
          <w:iCs/>
          <w:sz w:val="20"/>
          <w:u w:val="single"/>
        </w:rPr>
        <w:t>9</w:t>
      </w:r>
      <w:r w:rsidRPr="00993DCB">
        <w:rPr>
          <w:rFonts w:cs="Times New Roman"/>
          <w:i/>
          <w:iCs/>
          <w:sz w:val="20"/>
          <w:u w:val="single"/>
        </w:rPr>
        <w:t xml:space="preserve"> of the Arabic section, pages </w:t>
      </w:r>
      <w:r w:rsidR="00D02F6E">
        <w:rPr>
          <w:rFonts w:cs="Times New Roman"/>
          <w:i/>
          <w:iCs/>
          <w:sz w:val="20"/>
          <w:u w:val="single"/>
        </w:rPr>
        <w:t>189</w:t>
      </w:r>
      <w:r w:rsidRPr="00993DCB">
        <w:rPr>
          <w:rFonts w:cs="Times New Roman"/>
          <w:i/>
          <w:iCs/>
          <w:sz w:val="20"/>
          <w:u w:val="single"/>
        </w:rPr>
        <w:t>-</w:t>
      </w:r>
      <w:r w:rsidR="00D02F6E">
        <w:rPr>
          <w:rFonts w:cs="Times New Roman"/>
          <w:i/>
          <w:iCs/>
          <w:sz w:val="20"/>
          <w:u w:val="single"/>
        </w:rPr>
        <w:t>196</w:t>
      </w:r>
      <w:r w:rsidRPr="00993DCB">
        <w:rPr>
          <w:rFonts w:cs="Times New Roman"/>
          <w:i/>
          <w:iCs/>
          <w:sz w:val="20"/>
          <w:u w:val="single"/>
        </w:rPr>
        <w:t>.</w:t>
      </w:r>
    </w:p>
    <w:p w:rsidR="00A822B8" w:rsidRPr="00993DCB" w:rsidRDefault="00A822B8" w:rsidP="00A822B8">
      <w:pPr>
        <w:pStyle w:val="ListParagraph"/>
        <w:bidi w:val="0"/>
        <w:ind w:left="0"/>
        <w:jc w:val="lowKashida"/>
        <w:rPr>
          <w:rFonts w:cs="Times New Roman"/>
          <w:i/>
          <w:iCs/>
          <w:sz w:val="20"/>
          <w:u w:val="single"/>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Services</w:t>
      </w: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33,793 enterprises engaged in the services sector in Palestine.</w:t>
      </w:r>
    </w:p>
    <w:p w:rsidR="005A0462" w:rsidRPr="00993DCB" w:rsidRDefault="005A0462" w:rsidP="005A0462">
      <w:pPr>
        <w:pStyle w:val="BodyText"/>
        <w:overflowPunct/>
        <w:autoSpaceDE/>
        <w:autoSpaceDN/>
        <w:adjustRightInd/>
        <w:jc w:val="lowKashida"/>
        <w:textAlignment w:val="auto"/>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129,466 individuals employed in services.</w:t>
      </w:r>
    </w:p>
    <w:p w:rsidR="005A0462" w:rsidRPr="00993DCB" w:rsidRDefault="005A0462" w:rsidP="005A0462">
      <w:pPr>
        <w:pStyle w:val="BodyText"/>
        <w:overflowPunct/>
        <w:autoSpaceDE/>
        <w:autoSpaceDN/>
        <w:adjustRightInd/>
        <w:jc w:val="lowKashida"/>
        <w:textAlignment w:val="auto"/>
      </w:pPr>
    </w:p>
    <w:p w:rsidR="005A0462" w:rsidRPr="00993DCB" w:rsidRDefault="005A0462" w:rsidP="005A0462">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of enterprises in the services sector was USD</w:t>
      </w:r>
      <w:r w:rsidRPr="00993DCB">
        <w:rPr>
          <w:rtl/>
        </w:rPr>
        <w:t>1,8</w:t>
      </w:r>
      <w:r w:rsidRPr="00993DCB">
        <w:rPr>
          <w:rFonts w:hint="cs"/>
          <w:rtl/>
        </w:rPr>
        <w:t>96</w:t>
      </w:r>
      <w:r w:rsidRPr="00993DCB">
        <w:rPr>
          <w:rtl/>
        </w:rPr>
        <w:t>.</w:t>
      </w:r>
      <w:r w:rsidRPr="00993DCB">
        <w:rPr>
          <w:rFonts w:hint="cs"/>
          <w:rtl/>
        </w:rPr>
        <w:t>8</w:t>
      </w:r>
      <w:r w:rsidRPr="00993DCB">
        <w:rPr>
          <w:rtl/>
        </w:rPr>
        <w:t xml:space="preserve"> </w:t>
      </w:r>
      <w:r w:rsidRPr="00993DCB">
        <w:t xml:space="preserve"> million; intermediate consumption totaled USD 4</w:t>
      </w:r>
      <w:r w:rsidRPr="00993DCB">
        <w:rPr>
          <w:rFonts w:hint="cs"/>
          <w:rtl/>
        </w:rPr>
        <w:t>93</w:t>
      </w:r>
      <w:r w:rsidRPr="00993DCB">
        <w:t>.</w:t>
      </w:r>
      <w:r w:rsidRPr="00993DCB">
        <w:rPr>
          <w:rFonts w:hint="cs"/>
          <w:rtl/>
        </w:rPr>
        <w:t>0</w:t>
      </w:r>
      <w:r w:rsidRPr="00993DCB">
        <w:t xml:space="preserve"> million; and the value added was USD 1,</w:t>
      </w:r>
      <w:r w:rsidRPr="00993DCB">
        <w:rPr>
          <w:rFonts w:hint="cs"/>
          <w:rtl/>
        </w:rPr>
        <w:t>403</w:t>
      </w:r>
      <w:r w:rsidRPr="00993DCB">
        <w:rPr>
          <w:rtl/>
        </w:rPr>
        <w:t>.</w:t>
      </w:r>
      <w:r w:rsidRPr="00993DCB">
        <w:rPr>
          <w:rFonts w:hint="cs"/>
          <w:rtl/>
        </w:rPr>
        <w:t>8</w:t>
      </w:r>
      <w:r w:rsidRPr="00993DCB">
        <w:t xml:space="preserve"> million.</w:t>
      </w:r>
    </w:p>
    <w:p w:rsidR="00592B2E" w:rsidRPr="00993DCB" w:rsidRDefault="00592B2E" w:rsidP="00592B2E">
      <w:pPr>
        <w:jc w:val="lowKashida"/>
        <w:rPr>
          <w:sz w:val="14"/>
          <w:szCs w:val="14"/>
        </w:rPr>
      </w:pPr>
    </w:p>
    <w:p w:rsidR="00725C87" w:rsidRPr="00993DCB" w:rsidRDefault="008874A9" w:rsidP="003E06A1">
      <w:pPr>
        <w:pStyle w:val="ListParagraph"/>
        <w:bidi w:val="0"/>
        <w:ind w:left="0"/>
        <w:jc w:val="lowKashida"/>
        <w:rPr>
          <w:rFonts w:cs="Times New Roman"/>
          <w:i/>
          <w:iCs/>
          <w:sz w:val="20"/>
          <w:u w:val="single"/>
        </w:rPr>
      </w:pPr>
      <w:r w:rsidRPr="00993DCB">
        <w:rPr>
          <w:rFonts w:cs="Times New Roman"/>
          <w:i/>
          <w:iCs/>
          <w:sz w:val="20"/>
          <w:u w:val="single"/>
        </w:rPr>
        <w:t>For more detail</w:t>
      </w:r>
      <w:r w:rsidR="00E33DF0" w:rsidRPr="00993DCB">
        <w:rPr>
          <w:rFonts w:cs="Times New Roman"/>
          <w:i/>
          <w:iCs/>
          <w:sz w:val="20"/>
          <w:u w:val="single"/>
        </w:rPr>
        <w:t>s</w:t>
      </w:r>
      <w:r w:rsidRPr="00993DCB">
        <w:rPr>
          <w:rFonts w:cs="Times New Roman"/>
          <w:i/>
          <w:iCs/>
          <w:sz w:val="20"/>
          <w:u w:val="single"/>
        </w:rPr>
        <w:t xml:space="preserve"> </w:t>
      </w:r>
      <w:r w:rsidR="00E33DF0" w:rsidRPr="00993DCB">
        <w:rPr>
          <w:rFonts w:cs="Times New Roman"/>
          <w:i/>
          <w:iCs/>
          <w:sz w:val="20"/>
          <w:u w:val="single"/>
        </w:rPr>
        <w:t>on the s</w:t>
      </w:r>
      <w:r w:rsidR="006C0C7B" w:rsidRPr="00993DCB">
        <w:rPr>
          <w:rFonts w:cs="Times New Roman"/>
          <w:i/>
          <w:iCs/>
          <w:sz w:val="20"/>
          <w:u w:val="single"/>
        </w:rPr>
        <w:t>ervices</w:t>
      </w:r>
      <w:r w:rsidR="0023449A" w:rsidRPr="00993DCB">
        <w:rPr>
          <w:rFonts w:cs="Times New Roman"/>
          <w:i/>
          <w:iCs/>
          <w:sz w:val="20"/>
          <w:u w:val="single"/>
        </w:rPr>
        <w:t xml:space="preserve"> sector,</w:t>
      </w:r>
      <w:r w:rsidRPr="00993DCB">
        <w:rPr>
          <w:rFonts w:cs="Times New Roman"/>
          <w:i/>
          <w:iCs/>
          <w:sz w:val="20"/>
          <w:u w:val="single"/>
        </w:rPr>
        <w:t xml:space="preserve"> </w:t>
      </w:r>
      <w:r w:rsidR="0037009A" w:rsidRPr="00993DCB">
        <w:rPr>
          <w:rFonts w:cs="Times New Roman"/>
          <w:i/>
          <w:iCs/>
          <w:sz w:val="20"/>
          <w:u w:val="single"/>
        </w:rPr>
        <w:t xml:space="preserve">see </w:t>
      </w:r>
      <w:r w:rsidR="0023449A"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w:t>
      </w:r>
      <w:r w:rsidR="000C5F6C" w:rsidRPr="00993DCB">
        <w:rPr>
          <w:rFonts w:cs="Times New Roman"/>
          <w:i/>
          <w:iCs/>
          <w:sz w:val="20"/>
          <w:u w:val="single"/>
        </w:rPr>
        <w:t>20</w:t>
      </w:r>
      <w:r w:rsidRPr="00993DCB">
        <w:rPr>
          <w:rFonts w:cs="Times New Roman"/>
          <w:i/>
          <w:iCs/>
          <w:sz w:val="20"/>
          <w:u w:val="single"/>
        </w:rPr>
        <w:t xml:space="preserve"> </w:t>
      </w:r>
      <w:r w:rsidR="0023449A"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23449A" w:rsidRPr="00993DCB">
        <w:rPr>
          <w:rFonts w:cs="Times New Roman"/>
          <w:i/>
          <w:iCs/>
          <w:sz w:val="20"/>
          <w:u w:val="single"/>
        </w:rPr>
        <w:t xml:space="preserve">section, </w:t>
      </w:r>
      <w:r w:rsidRPr="00993DCB">
        <w:rPr>
          <w:rFonts w:cs="Times New Roman"/>
          <w:i/>
          <w:iCs/>
          <w:sz w:val="20"/>
          <w:u w:val="single"/>
        </w:rPr>
        <w:t>page</w:t>
      </w:r>
      <w:r w:rsidR="0023449A" w:rsidRPr="00993DCB">
        <w:rPr>
          <w:rFonts w:cs="Times New Roman"/>
          <w:i/>
          <w:iCs/>
          <w:sz w:val="20"/>
          <w:u w:val="single"/>
        </w:rPr>
        <w:t>s</w:t>
      </w:r>
      <w:r w:rsidR="006C0C7B" w:rsidRPr="00993DCB">
        <w:rPr>
          <w:rFonts w:cs="Times New Roman"/>
          <w:i/>
          <w:iCs/>
          <w:sz w:val="20"/>
          <w:u w:val="single"/>
        </w:rPr>
        <w:t xml:space="preserve"> </w:t>
      </w:r>
      <w:r w:rsidR="003E06A1">
        <w:rPr>
          <w:rFonts w:cs="Times New Roman"/>
          <w:i/>
          <w:iCs/>
          <w:sz w:val="20"/>
          <w:u w:val="single"/>
        </w:rPr>
        <w:t>197</w:t>
      </w:r>
      <w:r w:rsidR="006C0C7B" w:rsidRPr="00993DCB">
        <w:rPr>
          <w:rFonts w:cs="Times New Roman"/>
          <w:i/>
          <w:iCs/>
          <w:sz w:val="20"/>
          <w:u w:val="single"/>
        </w:rPr>
        <w:t>-</w:t>
      </w:r>
      <w:r w:rsidR="003E06A1">
        <w:rPr>
          <w:rFonts w:cs="Times New Roman"/>
          <w:i/>
          <w:iCs/>
          <w:sz w:val="20"/>
          <w:u w:val="single"/>
        </w:rPr>
        <w:t>200</w:t>
      </w:r>
      <w:r w:rsidR="0023449A" w:rsidRPr="00993DCB">
        <w:rPr>
          <w:rFonts w:cs="Times New Roman"/>
          <w:i/>
          <w:iCs/>
          <w:sz w:val="20"/>
          <w:u w:val="single"/>
        </w:rPr>
        <w:t>.</w:t>
      </w:r>
    </w:p>
    <w:p w:rsidR="00404CEC" w:rsidRPr="00993DCB" w:rsidRDefault="00404CEC">
      <w:pPr>
        <w:overflowPunct/>
        <w:autoSpaceDE/>
        <w:autoSpaceDN/>
        <w:adjustRightInd/>
        <w:textAlignment w:val="auto"/>
        <w:rPr>
          <w:rFonts w:cs="Traditional Arabic"/>
          <w:b/>
          <w:bCs/>
          <w:noProof/>
          <w:sz w:val="16"/>
          <w:szCs w:val="16"/>
        </w:rPr>
      </w:pPr>
    </w:p>
    <w:p w:rsidR="00DE3043" w:rsidRPr="00993DCB" w:rsidRDefault="00DE3043">
      <w:pPr>
        <w:overflowPunct/>
        <w:autoSpaceDE/>
        <w:autoSpaceDN/>
        <w:adjustRightInd/>
        <w:textAlignment w:val="auto"/>
        <w:rPr>
          <w:rFonts w:cs="Traditional Arabic"/>
          <w:b/>
          <w:bCs/>
          <w:noProof/>
        </w:rPr>
      </w:pPr>
    </w:p>
    <w:p w:rsidR="001F2744" w:rsidRPr="00993DCB" w:rsidRDefault="001F2744" w:rsidP="006478C9">
      <w:pPr>
        <w:pStyle w:val="Title"/>
        <w:numPr>
          <w:ilvl w:val="0"/>
          <w:numId w:val="2"/>
        </w:numPr>
        <w:bidi w:val="0"/>
        <w:ind w:left="98" w:hanging="308"/>
        <w:jc w:val="left"/>
        <w:rPr>
          <w:rFonts w:cs="Traditional Arabic"/>
          <w:sz w:val="20"/>
          <w:szCs w:val="20"/>
        </w:rPr>
      </w:pPr>
      <w:r w:rsidRPr="00993DCB">
        <w:rPr>
          <w:rFonts w:cs="Traditional Arabic"/>
          <w:sz w:val="20"/>
          <w:szCs w:val="20"/>
        </w:rPr>
        <w:t>Internal  Trade</w:t>
      </w:r>
    </w:p>
    <w:p w:rsidR="002B5BBC" w:rsidRPr="00993DCB" w:rsidRDefault="002B5BBC" w:rsidP="002B5BBC">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There were </w:t>
      </w:r>
      <w:r w:rsidRPr="00993DCB">
        <w:rPr>
          <w:rFonts w:hint="cs"/>
          <w:rtl/>
        </w:rPr>
        <w:t>70</w:t>
      </w:r>
      <w:r w:rsidRPr="00993DCB">
        <w:t>,</w:t>
      </w:r>
      <w:r w:rsidRPr="00993DCB">
        <w:rPr>
          <w:rFonts w:hint="cs"/>
          <w:rtl/>
        </w:rPr>
        <w:t>068</w:t>
      </w:r>
      <w:r w:rsidRPr="00993DCB">
        <w:t xml:space="preserve"> enterprises engaged in this sector in Palestine.</w:t>
      </w:r>
    </w:p>
    <w:p w:rsidR="002B5BBC" w:rsidRPr="00993DCB" w:rsidRDefault="002B5BBC" w:rsidP="002B5BBC">
      <w:pPr>
        <w:pStyle w:val="BodyText"/>
        <w:overflowPunct/>
        <w:autoSpaceDE/>
        <w:autoSpaceDN/>
        <w:adjustRightInd/>
        <w:jc w:val="lowKashida"/>
        <w:textAlignment w:val="auto"/>
      </w:pPr>
    </w:p>
    <w:p w:rsidR="002B5BBC" w:rsidRDefault="002B5BBC" w:rsidP="003E06A1">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 There were 152,</w:t>
      </w:r>
      <w:r w:rsidRPr="00993DCB">
        <w:rPr>
          <w:rFonts w:hint="cs"/>
          <w:rtl/>
        </w:rPr>
        <w:t>765</w:t>
      </w:r>
      <w:r w:rsidRPr="00993DCB">
        <w:t xml:space="preserve"> employed</w:t>
      </w:r>
      <w:r w:rsidR="003E06A1">
        <w:t xml:space="preserve"> persons</w:t>
      </w:r>
      <w:r w:rsidRPr="00993DCB">
        <w:t xml:space="preserve"> in this sector.</w:t>
      </w:r>
    </w:p>
    <w:p w:rsidR="00136C35" w:rsidRDefault="00136C35">
      <w:pPr>
        <w:pStyle w:val="ListParagraph"/>
      </w:pPr>
    </w:p>
    <w:p w:rsidR="002B5BBC" w:rsidRPr="00993DCB" w:rsidRDefault="002B5BBC" w:rsidP="002B5BBC">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of enterprises in internal trade activities was USD 2,928.3</w:t>
      </w:r>
      <w:r w:rsidRPr="00993DCB">
        <w:rPr>
          <w:rtl/>
        </w:rPr>
        <w:t xml:space="preserve"> </w:t>
      </w:r>
      <w:r w:rsidRPr="00993DCB">
        <w:t>million; intermediate consumption totaled USD 620.7 million; and the value added was USD 2,307.6 million.</w:t>
      </w:r>
    </w:p>
    <w:p w:rsidR="004224DA" w:rsidRPr="00993DCB" w:rsidRDefault="004224DA" w:rsidP="004224DA">
      <w:pPr>
        <w:ind w:left="-218"/>
        <w:jc w:val="both"/>
        <w:rPr>
          <w:noProof/>
          <w:sz w:val="10"/>
          <w:szCs w:val="10"/>
        </w:rPr>
      </w:pPr>
    </w:p>
    <w:p w:rsidR="008874A9" w:rsidRPr="00993DCB" w:rsidRDefault="008874A9" w:rsidP="00971A94">
      <w:pPr>
        <w:pStyle w:val="ListParagraph"/>
        <w:bidi w:val="0"/>
        <w:ind w:left="0"/>
        <w:jc w:val="lowKashida"/>
        <w:rPr>
          <w:rFonts w:cs="Times New Roman"/>
          <w:i/>
          <w:iCs/>
          <w:sz w:val="20"/>
          <w:u w:val="single"/>
        </w:rPr>
      </w:pPr>
      <w:r w:rsidRPr="00993DCB">
        <w:rPr>
          <w:rFonts w:cs="Times New Roman"/>
          <w:i/>
          <w:iCs/>
          <w:sz w:val="20"/>
          <w:u w:val="single"/>
        </w:rPr>
        <w:t>For more detail</w:t>
      </w:r>
      <w:r w:rsidR="00B21173" w:rsidRPr="00993DCB">
        <w:rPr>
          <w:rFonts w:cs="Times New Roman"/>
          <w:i/>
          <w:iCs/>
          <w:sz w:val="20"/>
          <w:u w:val="single"/>
        </w:rPr>
        <w:t>s on</w:t>
      </w:r>
      <w:r w:rsidRPr="00993DCB">
        <w:rPr>
          <w:rFonts w:cs="Times New Roman"/>
          <w:i/>
          <w:iCs/>
          <w:sz w:val="20"/>
          <w:u w:val="single"/>
        </w:rPr>
        <w:t xml:space="preserve"> </w:t>
      </w:r>
      <w:r w:rsidR="00B21173" w:rsidRPr="00993DCB">
        <w:rPr>
          <w:rFonts w:cs="Times New Roman"/>
          <w:i/>
          <w:iCs/>
          <w:sz w:val="20"/>
          <w:u w:val="single"/>
        </w:rPr>
        <w:t>trade,</w:t>
      </w:r>
      <w:r w:rsidRPr="00993DCB">
        <w:rPr>
          <w:rFonts w:cs="Times New Roman"/>
          <w:i/>
          <w:iCs/>
          <w:sz w:val="20"/>
          <w:u w:val="single"/>
        </w:rPr>
        <w:t xml:space="preserve"> </w:t>
      </w:r>
      <w:r w:rsidR="0037009A" w:rsidRPr="00993DCB">
        <w:rPr>
          <w:rFonts w:cs="Times New Roman"/>
          <w:i/>
          <w:iCs/>
          <w:sz w:val="20"/>
          <w:u w:val="single"/>
        </w:rPr>
        <w:t xml:space="preserve">see </w:t>
      </w:r>
      <w:r w:rsidR="00B21173"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in chapter 1.</w:t>
      </w:r>
      <w:r w:rsidR="006C0C7B" w:rsidRPr="00993DCB">
        <w:rPr>
          <w:rFonts w:cs="Times New Roman"/>
          <w:i/>
          <w:iCs/>
          <w:sz w:val="20"/>
          <w:u w:val="single"/>
        </w:rPr>
        <w:t>2</w:t>
      </w:r>
      <w:r w:rsidR="000C5F6C" w:rsidRPr="00993DCB">
        <w:rPr>
          <w:rFonts w:cs="Times New Roman"/>
          <w:i/>
          <w:iCs/>
          <w:sz w:val="20"/>
          <w:u w:val="single"/>
        </w:rPr>
        <w:t>1</w:t>
      </w:r>
      <w:r w:rsidRPr="00993DCB">
        <w:rPr>
          <w:rFonts w:cs="Times New Roman"/>
          <w:i/>
          <w:iCs/>
          <w:sz w:val="20"/>
          <w:u w:val="single"/>
        </w:rPr>
        <w:t xml:space="preserve"> </w:t>
      </w:r>
      <w:r w:rsidR="00B21173"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B21173" w:rsidRPr="00993DCB">
        <w:rPr>
          <w:rFonts w:cs="Times New Roman"/>
          <w:i/>
          <w:iCs/>
          <w:sz w:val="20"/>
          <w:u w:val="single"/>
        </w:rPr>
        <w:t xml:space="preserve">section, </w:t>
      </w:r>
      <w:r w:rsidRPr="00993DCB">
        <w:rPr>
          <w:rFonts w:cs="Times New Roman"/>
          <w:i/>
          <w:iCs/>
          <w:sz w:val="20"/>
          <w:u w:val="single"/>
        </w:rPr>
        <w:t>page</w:t>
      </w:r>
      <w:r w:rsidR="00B21173" w:rsidRPr="00993DCB">
        <w:rPr>
          <w:rFonts w:cs="Times New Roman"/>
          <w:i/>
          <w:iCs/>
          <w:sz w:val="20"/>
          <w:u w:val="single"/>
        </w:rPr>
        <w:t>s</w:t>
      </w:r>
      <w:r w:rsidR="006C0C7B" w:rsidRPr="00993DCB">
        <w:rPr>
          <w:rFonts w:cs="Times New Roman"/>
          <w:i/>
          <w:iCs/>
          <w:sz w:val="20"/>
          <w:u w:val="single"/>
        </w:rPr>
        <w:t xml:space="preserve"> </w:t>
      </w:r>
      <w:r w:rsidR="00971A94">
        <w:rPr>
          <w:rFonts w:cs="Times New Roman"/>
          <w:i/>
          <w:iCs/>
          <w:sz w:val="20"/>
          <w:u w:val="single"/>
        </w:rPr>
        <w:t>201</w:t>
      </w:r>
      <w:r w:rsidR="006C0C7B" w:rsidRPr="00993DCB">
        <w:rPr>
          <w:rFonts w:cs="Times New Roman"/>
          <w:i/>
          <w:iCs/>
          <w:sz w:val="20"/>
          <w:u w:val="single"/>
        </w:rPr>
        <w:t>-</w:t>
      </w:r>
      <w:r w:rsidR="00971A94">
        <w:rPr>
          <w:rFonts w:cs="Times New Roman"/>
          <w:i/>
          <w:iCs/>
          <w:sz w:val="20"/>
          <w:u w:val="single"/>
        </w:rPr>
        <w:t>204</w:t>
      </w:r>
      <w:r w:rsidR="00B21173" w:rsidRPr="00993DCB">
        <w:rPr>
          <w:rFonts w:cs="Times New Roman"/>
          <w:i/>
          <w:iCs/>
          <w:sz w:val="20"/>
          <w:u w:val="single"/>
        </w:rPr>
        <w:t>.</w:t>
      </w:r>
    </w:p>
    <w:p w:rsidR="00D53073" w:rsidRPr="00993DCB" w:rsidRDefault="00D53073" w:rsidP="00D53073">
      <w:pPr>
        <w:pStyle w:val="ListParagraph"/>
        <w:bidi w:val="0"/>
        <w:ind w:left="0"/>
        <w:jc w:val="lowKashida"/>
        <w:rPr>
          <w:rFonts w:cs="Times New Roman"/>
          <w:i/>
          <w:iCs/>
          <w:sz w:val="14"/>
          <w:szCs w:val="14"/>
          <w:u w:val="single"/>
        </w:rPr>
      </w:pPr>
    </w:p>
    <w:p w:rsidR="00F11EE2" w:rsidRPr="00993DCB" w:rsidRDefault="00F11EE2"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Registered Foreign Trade</w:t>
      </w:r>
    </w:p>
    <w:p w:rsidR="00A52B7A" w:rsidRPr="00993DCB" w:rsidRDefault="00A52B7A" w:rsidP="00A52B7A">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value of imports of commodities increased in 2013 by 9.9% compared </w:t>
      </w:r>
      <w:r w:rsidR="006A16F2">
        <w:t>with</w:t>
      </w:r>
      <w:r w:rsidRPr="00993DCB">
        <w:t xml:space="preserve"> 2012</w:t>
      </w:r>
      <w:r w:rsidR="0033655E">
        <w:t>; it</w:t>
      </w:r>
      <w:r w:rsidRPr="00993DCB">
        <w:t xml:space="preserve"> totaled USD 5,163.9 million compared </w:t>
      </w:r>
      <w:r w:rsidR="006A16F2">
        <w:t>with</w:t>
      </w:r>
      <w:r w:rsidRPr="00993DCB">
        <w:t xml:space="preserve"> USD 4,697.4 million in 2012</w:t>
      </w:r>
      <w:r w:rsidR="0078224A">
        <w:t>.</w:t>
      </w:r>
    </w:p>
    <w:p w:rsidR="003E4CA5" w:rsidRDefault="003E4CA5" w:rsidP="00A54FED">
      <w:pPr>
        <w:pStyle w:val="Header"/>
        <w:tabs>
          <w:tab w:val="clear" w:pos="4153"/>
          <w:tab w:val="clear" w:pos="8306"/>
        </w:tabs>
        <w:jc w:val="center"/>
        <w:rPr>
          <w:rFonts w:ascii="Arial" w:hAnsi="Arial" w:cs="Arial"/>
          <w:b/>
          <w:bCs/>
          <w:sz w:val="15"/>
          <w:szCs w:val="15"/>
          <w:rtl/>
        </w:rPr>
      </w:pPr>
    </w:p>
    <w:p w:rsidR="003E4CA5" w:rsidRDefault="003E4CA5" w:rsidP="00A54FED">
      <w:pPr>
        <w:pStyle w:val="Header"/>
        <w:tabs>
          <w:tab w:val="clear" w:pos="4153"/>
          <w:tab w:val="clear" w:pos="8306"/>
        </w:tabs>
        <w:jc w:val="center"/>
        <w:rPr>
          <w:rFonts w:ascii="Arial" w:hAnsi="Arial" w:cs="Arial"/>
          <w:b/>
          <w:bCs/>
          <w:sz w:val="15"/>
          <w:szCs w:val="15"/>
          <w:rtl/>
        </w:rPr>
      </w:pPr>
    </w:p>
    <w:p w:rsidR="003E4CA5" w:rsidRDefault="003E4CA5" w:rsidP="00A54FED">
      <w:pPr>
        <w:pStyle w:val="Header"/>
        <w:tabs>
          <w:tab w:val="clear" w:pos="4153"/>
          <w:tab w:val="clear" w:pos="8306"/>
        </w:tabs>
        <w:jc w:val="center"/>
        <w:rPr>
          <w:rFonts w:ascii="Arial" w:hAnsi="Arial" w:cs="Arial"/>
          <w:b/>
          <w:bCs/>
          <w:sz w:val="15"/>
          <w:szCs w:val="15"/>
          <w:rtl/>
        </w:rPr>
      </w:pPr>
    </w:p>
    <w:p w:rsidR="00A54FED" w:rsidRPr="003E4CA5" w:rsidRDefault="00A54FED" w:rsidP="00A54FED">
      <w:pPr>
        <w:pStyle w:val="Header"/>
        <w:tabs>
          <w:tab w:val="clear" w:pos="4153"/>
          <w:tab w:val="clear" w:pos="8306"/>
        </w:tabs>
        <w:jc w:val="center"/>
        <w:rPr>
          <w:rFonts w:ascii="Arial" w:hAnsi="Arial" w:cs="Arial"/>
          <w:b/>
          <w:bCs/>
          <w:sz w:val="18"/>
          <w:szCs w:val="18"/>
        </w:rPr>
      </w:pPr>
      <w:r w:rsidRPr="003E4CA5">
        <w:rPr>
          <w:rFonts w:ascii="Arial" w:hAnsi="Arial" w:cs="Arial"/>
          <w:b/>
          <w:bCs/>
          <w:sz w:val="18"/>
          <w:szCs w:val="18"/>
        </w:rPr>
        <w:t>Distribution of Imports, Exports in Goods and Net Trade Balance in Palestine, 1995 – 2013</w:t>
      </w:r>
    </w:p>
    <w:p w:rsidR="00A54FED" w:rsidRPr="00993DCB" w:rsidRDefault="00A54FED" w:rsidP="00A54FED">
      <w:pPr>
        <w:jc w:val="center"/>
      </w:pPr>
      <w:r w:rsidRPr="0078224A">
        <w:rPr>
          <w:noProof/>
          <w:bdr w:val="single" w:sz="4" w:space="0" w:color="auto"/>
        </w:rPr>
        <w:drawing>
          <wp:inline distT="0" distB="0" distL="0" distR="0">
            <wp:extent cx="4419600" cy="1647825"/>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22E2E" w:rsidRPr="00993DCB" w:rsidRDefault="00E22E2E" w:rsidP="00E22E2E">
      <w:pPr>
        <w:jc w:val="lowKashida"/>
        <w:rPr>
          <w:b/>
          <w:bCs/>
        </w:rPr>
      </w:pPr>
      <w:r w:rsidRPr="00993DCB">
        <w:rPr>
          <w:rFonts w:ascii="Arial" w:hAnsi="Arial"/>
          <w:sz w:val="14"/>
          <w:szCs w:val="14"/>
        </w:rPr>
        <w:t>*:Data do not include the parts of Jerusalem annexed by Israel in 1967.</w:t>
      </w:r>
    </w:p>
    <w:p w:rsidR="00B96B95" w:rsidRDefault="00B96B95" w:rsidP="00B96B95">
      <w:pPr>
        <w:pStyle w:val="BodyText"/>
        <w:overflowPunct/>
        <w:autoSpaceDE/>
        <w:autoSpaceDN/>
        <w:adjustRightInd/>
        <w:jc w:val="lowKashida"/>
        <w:textAlignment w:val="auto"/>
      </w:pPr>
    </w:p>
    <w:p w:rsidR="00A54FED" w:rsidRPr="00993DCB" w:rsidRDefault="00A54FED" w:rsidP="00A54FED">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value of exports in 2013 was USD 900.6 million, an increase of 15.1% compared </w:t>
      </w:r>
      <w:r w:rsidR="006A16F2">
        <w:t>with</w:t>
      </w:r>
      <w:r w:rsidRPr="00993DCB">
        <w:t xml:space="preserve"> 2012.  The total value of exports in 2012 was USD 782.4 million. </w:t>
      </w:r>
    </w:p>
    <w:p w:rsidR="00F11EE2" w:rsidRPr="00B96B95" w:rsidRDefault="00F11EE2" w:rsidP="00F11EE2">
      <w:pPr>
        <w:jc w:val="lowKashida"/>
        <w:rPr>
          <w:sz w:val="10"/>
          <w:szCs w:val="10"/>
          <w:rtl/>
        </w:rPr>
      </w:pPr>
    </w:p>
    <w:p w:rsidR="00A54FED" w:rsidRDefault="00A54FED" w:rsidP="00A54FED">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trade balance deficit totaled USD 4,263.3 million in goods in 2013, an increase of 8.9% compared </w:t>
      </w:r>
      <w:r w:rsidR="006A16F2">
        <w:t>with</w:t>
      </w:r>
      <w:r w:rsidRPr="00993DCB">
        <w:t xml:space="preserve"> 2012.</w:t>
      </w:r>
    </w:p>
    <w:p w:rsidR="00B96B95" w:rsidRPr="00993DCB" w:rsidRDefault="00B96B95" w:rsidP="00B96B95">
      <w:pPr>
        <w:pStyle w:val="BodyText"/>
        <w:overflowPunct/>
        <w:autoSpaceDE/>
        <w:autoSpaceDN/>
        <w:adjustRightInd/>
        <w:jc w:val="lowKashida"/>
        <w:textAlignment w:val="auto"/>
      </w:pPr>
    </w:p>
    <w:p w:rsidR="002475BA" w:rsidRPr="00993DCB" w:rsidRDefault="002475BA" w:rsidP="0062122C">
      <w:pPr>
        <w:pStyle w:val="ListParagraph"/>
        <w:bidi w:val="0"/>
        <w:ind w:left="0"/>
        <w:jc w:val="lowKashida"/>
        <w:rPr>
          <w:rFonts w:cs="Times New Roman"/>
          <w:i/>
          <w:iCs/>
          <w:sz w:val="20"/>
          <w:u w:val="single"/>
        </w:rPr>
      </w:pPr>
      <w:r w:rsidRPr="00993DCB">
        <w:rPr>
          <w:rFonts w:cs="Times New Roman"/>
          <w:i/>
          <w:iCs/>
          <w:sz w:val="20"/>
          <w:u w:val="single"/>
        </w:rPr>
        <w:t>For more details on trade, see the tables in chapter 1.2</w:t>
      </w:r>
      <w:r w:rsidR="009B41E9">
        <w:rPr>
          <w:rFonts w:cs="Times New Roman"/>
          <w:i/>
          <w:iCs/>
          <w:sz w:val="20"/>
          <w:u w:val="single"/>
        </w:rPr>
        <w:t>2</w:t>
      </w:r>
      <w:r w:rsidRPr="00993DCB">
        <w:rPr>
          <w:rFonts w:cs="Times New Roman"/>
          <w:i/>
          <w:iCs/>
          <w:sz w:val="20"/>
          <w:u w:val="single"/>
        </w:rPr>
        <w:t xml:space="preserve"> of the Arabic section, pages </w:t>
      </w:r>
      <w:r w:rsidR="009B41E9">
        <w:rPr>
          <w:rFonts w:cs="Times New Roman"/>
          <w:i/>
          <w:iCs/>
          <w:sz w:val="20"/>
          <w:u w:val="single"/>
        </w:rPr>
        <w:t>205</w:t>
      </w:r>
      <w:r w:rsidRPr="00993DCB">
        <w:rPr>
          <w:rFonts w:cs="Times New Roman"/>
          <w:i/>
          <w:iCs/>
          <w:sz w:val="20"/>
          <w:u w:val="single"/>
        </w:rPr>
        <w:t>-</w:t>
      </w:r>
      <w:r w:rsidR="009B41E9">
        <w:rPr>
          <w:rFonts w:cs="Times New Roman"/>
          <w:i/>
          <w:iCs/>
          <w:sz w:val="20"/>
          <w:u w:val="single"/>
        </w:rPr>
        <w:t>212</w:t>
      </w:r>
      <w:r w:rsidRPr="00993DCB">
        <w:rPr>
          <w:rFonts w:cs="Times New Roman"/>
          <w:i/>
          <w:iCs/>
          <w:sz w:val="20"/>
          <w:u w:val="single"/>
        </w:rPr>
        <w:t>.</w:t>
      </w:r>
    </w:p>
    <w:p w:rsidR="00F11EE2" w:rsidRPr="00993DCB" w:rsidRDefault="00F11EE2" w:rsidP="00F11EE2">
      <w:pPr>
        <w:pStyle w:val="ListParagraph"/>
        <w:bidi w:val="0"/>
        <w:ind w:left="0"/>
        <w:jc w:val="lowKashida"/>
        <w:rPr>
          <w:rFonts w:cs="Times New Roman"/>
          <w:i/>
          <w:iCs/>
          <w:sz w:val="14"/>
          <w:szCs w:val="14"/>
          <w:u w:val="single"/>
        </w:rPr>
      </w:pPr>
    </w:p>
    <w:p w:rsidR="00DB1F8B" w:rsidRPr="00993DCB" w:rsidRDefault="00DB1F8B" w:rsidP="00331B49">
      <w:pPr>
        <w:pStyle w:val="Title"/>
        <w:numPr>
          <w:ilvl w:val="0"/>
          <w:numId w:val="2"/>
        </w:numPr>
        <w:bidi w:val="0"/>
        <w:ind w:left="98" w:hanging="308"/>
        <w:jc w:val="left"/>
        <w:rPr>
          <w:rFonts w:cs="Traditional Arabic"/>
          <w:noProof w:val="0"/>
          <w:sz w:val="20"/>
          <w:szCs w:val="20"/>
          <w:rtl/>
        </w:rPr>
      </w:pPr>
      <w:r w:rsidRPr="00993DCB">
        <w:rPr>
          <w:rFonts w:cs="Traditional Arabic"/>
          <w:sz w:val="20"/>
          <w:szCs w:val="20"/>
        </w:rPr>
        <w:t xml:space="preserve">Balance of Payments </w:t>
      </w:r>
    </w:p>
    <w:p w:rsidR="00DB1F8B" w:rsidRPr="00993DCB" w:rsidRDefault="007738FE" w:rsidP="00653C1C">
      <w:pPr>
        <w:ind w:hanging="210"/>
        <w:jc w:val="lowKashida"/>
        <w:rPr>
          <w:b/>
          <w:bCs/>
        </w:rPr>
      </w:pPr>
      <w:r w:rsidRPr="00993DCB">
        <w:rPr>
          <w:b/>
          <w:bCs/>
        </w:rPr>
        <w:t>2</w:t>
      </w:r>
      <w:r w:rsidR="00653C1C" w:rsidRPr="00993DCB">
        <w:rPr>
          <w:b/>
          <w:bCs/>
        </w:rPr>
        <w:t>3</w:t>
      </w:r>
      <w:r w:rsidR="009442E8" w:rsidRPr="00993DCB">
        <w:rPr>
          <w:b/>
          <w:bCs/>
        </w:rPr>
        <w:t xml:space="preserve">.1 </w:t>
      </w:r>
      <w:r w:rsidR="00DB1F8B" w:rsidRPr="00993DCB">
        <w:rPr>
          <w:b/>
          <w:bCs/>
        </w:rPr>
        <w:t>Current Account</w:t>
      </w:r>
    </w:p>
    <w:p w:rsidR="009F67F1" w:rsidRPr="00993DCB" w:rsidRDefault="00FE2B74" w:rsidP="004D46F8">
      <w:pPr>
        <w:pStyle w:val="BodyText"/>
        <w:numPr>
          <w:ilvl w:val="0"/>
          <w:numId w:val="3"/>
        </w:numPr>
        <w:tabs>
          <w:tab w:val="num" w:pos="360"/>
        </w:tabs>
        <w:overflowPunct/>
        <w:autoSpaceDE/>
        <w:autoSpaceDN/>
        <w:adjustRightInd/>
        <w:ind w:left="142" w:hanging="142"/>
        <w:jc w:val="lowKashida"/>
        <w:textAlignment w:val="auto"/>
      </w:pPr>
      <w:r w:rsidRPr="00993DCB">
        <w:t>The Palestinian balance of payments</w:t>
      </w:r>
      <w:r w:rsidR="004D46F8">
        <w:t xml:space="preserve"> in 2011 </w:t>
      </w:r>
      <w:r w:rsidRPr="00993DCB">
        <w:t xml:space="preserve">recorded a deficit of USD 2,192.6 million in </w:t>
      </w:r>
      <w:r w:rsidR="00B51998" w:rsidRPr="00993DCB">
        <w:t xml:space="preserve">the </w:t>
      </w:r>
      <w:r w:rsidRPr="00993DCB">
        <w:t>current account (goods, services, income, current transfers). This contributes 21.5% of the GDP in current prices and compares with a deficit of USD 690.9 million in 2010.</w:t>
      </w:r>
    </w:p>
    <w:p w:rsidR="00FE2B74" w:rsidRPr="00993DCB" w:rsidRDefault="00FE2B74" w:rsidP="009F67F1">
      <w:pPr>
        <w:ind w:left="-14"/>
        <w:jc w:val="both"/>
        <w:rPr>
          <w:noProof/>
        </w:rPr>
      </w:pPr>
      <w:r w:rsidRPr="00993DCB">
        <w:rPr>
          <w:noProof/>
        </w:rPr>
        <w:t xml:space="preserve"> </w:t>
      </w:r>
    </w:p>
    <w:p w:rsidR="00FE2B74" w:rsidRPr="00993DCB" w:rsidRDefault="00FE2B74" w:rsidP="00331B49">
      <w:pPr>
        <w:pStyle w:val="BodyText"/>
        <w:numPr>
          <w:ilvl w:val="0"/>
          <w:numId w:val="3"/>
        </w:numPr>
        <w:tabs>
          <w:tab w:val="num" w:pos="360"/>
        </w:tabs>
        <w:overflowPunct/>
        <w:autoSpaceDE/>
        <w:autoSpaceDN/>
        <w:adjustRightInd/>
        <w:ind w:left="142" w:hanging="142"/>
        <w:jc w:val="lowKashida"/>
        <w:textAlignment w:val="auto"/>
      </w:pPr>
      <w:r w:rsidRPr="00993DCB">
        <w:t xml:space="preserve">The </w:t>
      </w:r>
      <w:r w:rsidR="00B51998" w:rsidRPr="00993DCB">
        <w:t>t</w:t>
      </w:r>
      <w:r w:rsidRPr="00993DCB">
        <w:t xml:space="preserve">rade </w:t>
      </w:r>
      <w:r w:rsidR="00B51998" w:rsidRPr="00993DCB">
        <w:t>b</w:t>
      </w:r>
      <w:r w:rsidRPr="00993DCB">
        <w:t xml:space="preserve">alance of </w:t>
      </w:r>
      <w:r w:rsidR="00B51998" w:rsidRPr="00993DCB">
        <w:t>g</w:t>
      </w:r>
      <w:r w:rsidRPr="00993DCB">
        <w:t>oods recorded</w:t>
      </w:r>
      <w:r w:rsidRPr="00993DCB">
        <w:rPr>
          <w:rtl/>
        </w:rPr>
        <w:t xml:space="preserve"> </w:t>
      </w:r>
      <w:r w:rsidRPr="00993DCB">
        <w:t xml:space="preserve">a deficit </w:t>
      </w:r>
      <w:r w:rsidR="00B51998" w:rsidRPr="00993DCB">
        <w:t xml:space="preserve">of </w:t>
      </w:r>
      <w:r w:rsidRPr="00993DCB">
        <w:t>USD 4,626.0</w:t>
      </w:r>
      <w:r w:rsidRPr="00993DCB">
        <w:rPr>
          <w:rtl/>
        </w:rPr>
        <w:t xml:space="preserve"> </w:t>
      </w:r>
      <w:r w:rsidRPr="00993DCB">
        <w:t>million, compris</w:t>
      </w:r>
      <w:r w:rsidR="00B51998" w:rsidRPr="00993DCB">
        <w:t>ing</w:t>
      </w:r>
      <w:r w:rsidRPr="00993DCB">
        <w:t xml:space="preserve"> about 45.5% of the GDP in current prices in 2011.  This reflects an increase of 26.6% compared with the 2010 deficit.  The trade balance deficit with Israel was the main cause of the overall trade balance deficit.</w:t>
      </w:r>
    </w:p>
    <w:p w:rsidR="00FE2B74" w:rsidRPr="00993DCB" w:rsidRDefault="00FE2B74" w:rsidP="00FE2B74">
      <w:pPr>
        <w:ind w:left="-14"/>
        <w:jc w:val="both"/>
        <w:rPr>
          <w:noProof/>
        </w:rPr>
      </w:pPr>
    </w:p>
    <w:p w:rsidR="00FE2B74" w:rsidRPr="00993DCB" w:rsidRDefault="00FE2B74" w:rsidP="00331B49">
      <w:pPr>
        <w:pStyle w:val="BodyText"/>
        <w:numPr>
          <w:ilvl w:val="0"/>
          <w:numId w:val="3"/>
        </w:numPr>
        <w:tabs>
          <w:tab w:val="num" w:pos="360"/>
        </w:tabs>
        <w:overflowPunct/>
        <w:autoSpaceDE/>
        <w:autoSpaceDN/>
        <w:adjustRightInd/>
        <w:ind w:left="142" w:hanging="142"/>
        <w:jc w:val="lowKashida"/>
        <w:textAlignment w:val="auto"/>
      </w:pPr>
      <w:r w:rsidRPr="00993DCB">
        <w:t>The services balance recorded a deficit of USD 103.6 million, representing a decrease of 66.8% compared with 2010.  The decline in the services balance deficit was caused by increased exports in travel services and a decrease in communication services imports</w:t>
      </w:r>
      <w:r w:rsidR="00F61F7D" w:rsidRPr="00993DCB">
        <w:t>.</w:t>
      </w:r>
    </w:p>
    <w:p w:rsidR="00EE60A5" w:rsidRPr="00993DCB" w:rsidRDefault="00EE60A5" w:rsidP="00DB1F8B">
      <w:pPr>
        <w:pStyle w:val="BodyText"/>
        <w:rPr>
          <w:sz w:val="16"/>
          <w:szCs w:val="16"/>
        </w:rPr>
      </w:pPr>
    </w:p>
    <w:p w:rsidR="00DB1F8B" w:rsidRPr="00993DCB" w:rsidRDefault="007738FE" w:rsidP="00653C1C">
      <w:pPr>
        <w:ind w:hanging="210"/>
        <w:jc w:val="lowKashida"/>
        <w:rPr>
          <w:b/>
          <w:bCs/>
        </w:rPr>
      </w:pPr>
      <w:r w:rsidRPr="00993DCB">
        <w:rPr>
          <w:b/>
          <w:bCs/>
        </w:rPr>
        <w:t>2</w:t>
      </w:r>
      <w:r w:rsidR="00653C1C" w:rsidRPr="00993DCB">
        <w:rPr>
          <w:b/>
          <w:bCs/>
        </w:rPr>
        <w:t>3</w:t>
      </w:r>
      <w:r w:rsidR="009442E8" w:rsidRPr="00993DCB">
        <w:rPr>
          <w:b/>
          <w:bCs/>
        </w:rPr>
        <w:t xml:space="preserve">.2 </w:t>
      </w:r>
      <w:r w:rsidR="00DB1F8B" w:rsidRPr="00993DCB">
        <w:rPr>
          <w:b/>
          <w:bCs/>
        </w:rPr>
        <w:t>Income Balance</w:t>
      </w:r>
    </w:p>
    <w:p w:rsidR="00223297" w:rsidRPr="00993DCB" w:rsidRDefault="00223297" w:rsidP="00331B49">
      <w:pPr>
        <w:pStyle w:val="BodyText"/>
        <w:numPr>
          <w:ilvl w:val="0"/>
          <w:numId w:val="3"/>
        </w:numPr>
        <w:tabs>
          <w:tab w:val="num" w:pos="360"/>
        </w:tabs>
        <w:overflowPunct/>
        <w:autoSpaceDE/>
        <w:autoSpaceDN/>
        <w:adjustRightInd/>
        <w:ind w:left="142" w:hanging="142"/>
        <w:jc w:val="lowKashida"/>
        <w:textAlignment w:val="auto"/>
      </w:pPr>
      <w:r w:rsidRPr="00993DCB">
        <w:t>A surplus of USD 1,217.2 million was recorded in this account, representing an increase of 10.8% compared with 2010.  The surplus was caused mainly by the surplus in compensations of employees working in Israel, which totaled USD 1,152.7 million</w:t>
      </w:r>
      <w:r w:rsidR="00B51998" w:rsidRPr="00993DCB">
        <w:t xml:space="preserve"> and</w:t>
      </w:r>
      <w:r w:rsidRPr="00993DCB">
        <w:t xml:space="preserve"> reflect</w:t>
      </w:r>
      <w:r w:rsidR="00B51998" w:rsidRPr="00993DCB">
        <w:t>s</w:t>
      </w:r>
      <w:r w:rsidRPr="00993DCB">
        <w:t xml:space="preserve"> an increase of </w:t>
      </w:r>
      <w:r w:rsidRPr="00993DCB">
        <w:rPr>
          <w:rtl/>
        </w:rPr>
        <w:t>16</w:t>
      </w:r>
      <w:r w:rsidRPr="00993DCB">
        <w:t>.</w:t>
      </w:r>
      <w:r w:rsidRPr="00993DCB">
        <w:rPr>
          <w:rtl/>
        </w:rPr>
        <w:t>3</w:t>
      </w:r>
      <w:r w:rsidRPr="00993DCB">
        <w:t xml:space="preserve">% compared with 2010. Investment income received from abroad totaled USD </w:t>
      </w:r>
      <w:r w:rsidRPr="00993DCB">
        <w:rPr>
          <w:rtl/>
        </w:rPr>
        <w:t>99</w:t>
      </w:r>
      <w:r w:rsidRPr="00993DCB">
        <w:t>.</w:t>
      </w:r>
      <w:r w:rsidRPr="00993DCB">
        <w:rPr>
          <w:rtl/>
        </w:rPr>
        <w:t>3</w:t>
      </w:r>
      <w:r w:rsidRPr="00993DCB">
        <w:t xml:space="preserve"> million, reflecting a decrease of </w:t>
      </w:r>
      <w:r w:rsidRPr="00993DCB">
        <w:rPr>
          <w:rtl/>
        </w:rPr>
        <w:t>26.9</w:t>
      </w:r>
      <w:r w:rsidRPr="00993DCB">
        <w:t>% compared with 2010. This was caused mainly by a decrease in the earnings received on Palestinian foreign direct investment (FDI) and portfolio investments invested abroad.</w:t>
      </w:r>
    </w:p>
    <w:p w:rsidR="009A6B93" w:rsidRPr="00993DCB" w:rsidRDefault="009A6B93" w:rsidP="009A6B93">
      <w:pPr>
        <w:ind w:left="-14"/>
        <w:jc w:val="both"/>
        <w:rPr>
          <w:noProof/>
          <w:rtl/>
        </w:rPr>
      </w:pPr>
    </w:p>
    <w:p w:rsidR="00750558" w:rsidRPr="00993DCB" w:rsidRDefault="007738FE" w:rsidP="005B326E">
      <w:pPr>
        <w:ind w:hanging="210"/>
        <w:jc w:val="lowKashida"/>
        <w:rPr>
          <w:b/>
          <w:bCs/>
        </w:rPr>
      </w:pPr>
      <w:r w:rsidRPr="00993DCB">
        <w:rPr>
          <w:b/>
          <w:bCs/>
        </w:rPr>
        <w:t>2</w:t>
      </w:r>
      <w:r w:rsidR="00653C1C" w:rsidRPr="00993DCB">
        <w:rPr>
          <w:b/>
          <w:bCs/>
        </w:rPr>
        <w:t>3</w:t>
      </w:r>
      <w:r w:rsidR="009442E8" w:rsidRPr="00993DCB">
        <w:rPr>
          <w:b/>
          <w:bCs/>
        </w:rPr>
        <w:t xml:space="preserve">.3 </w:t>
      </w:r>
      <w:r w:rsidR="00750558" w:rsidRPr="00993DCB">
        <w:rPr>
          <w:b/>
          <w:bCs/>
        </w:rPr>
        <w:t>Current Transfers</w:t>
      </w:r>
    </w:p>
    <w:p w:rsidR="00750558" w:rsidRPr="00993DCB" w:rsidRDefault="00750558" w:rsidP="0078224A">
      <w:pPr>
        <w:pStyle w:val="BodyText"/>
        <w:numPr>
          <w:ilvl w:val="0"/>
          <w:numId w:val="3"/>
        </w:numPr>
        <w:tabs>
          <w:tab w:val="num" w:pos="360"/>
        </w:tabs>
        <w:overflowPunct/>
        <w:autoSpaceDE/>
        <w:autoSpaceDN/>
        <w:adjustRightInd/>
        <w:ind w:left="142" w:hanging="142"/>
        <w:jc w:val="lowKashida"/>
        <w:textAlignment w:val="auto"/>
      </w:pPr>
      <w:r w:rsidRPr="00993DCB">
        <w:t xml:space="preserve">The balance of current transfers (voluntary or compulsory, not a result of an economic transaction) </w:t>
      </w:r>
      <w:r w:rsidR="0078224A">
        <w:t xml:space="preserve"> </w:t>
      </w:r>
      <w:r w:rsidRPr="00993DCB">
        <w:t>recorded a surplus of USD 1,319.8</w:t>
      </w:r>
      <w:r w:rsidRPr="00993DCB">
        <w:rPr>
          <w:rtl/>
        </w:rPr>
        <w:t xml:space="preserve"> </w:t>
      </w:r>
      <w:r w:rsidRPr="00993DCB">
        <w:t>million</w:t>
      </w:r>
      <w:r w:rsidR="0078224A" w:rsidRPr="0078224A">
        <w:t xml:space="preserve"> </w:t>
      </w:r>
      <w:r w:rsidR="0078224A">
        <w:t>in 2011</w:t>
      </w:r>
      <w:r w:rsidRPr="00993DCB">
        <w:t>, a decrease of 39.3% compared with 2010.  Current transfers by donors represented 43.4% of the total value of receipts from abroad, while current transfers received from abroad other than donors made up 56.6%.  The total value of receipts from abroad was distributed as 38.0% for the government sector and 62.0% for other sectors (private, household and non-government organizations).</w:t>
      </w:r>
    </w:p>
    <w:p w:rsidR="000C5F6C" w:rsidRDefault="000C5F6C" w:rsidP="00653C1C">
      <w:pPr>
        <w:ind w:hanging="196"/>
        <w:jc w:val="lowKashida"/>
        <w:rPr>
          <w:noProof/>
          <w:sz w:val="18"/>
          <w:szCs w:val="18"/>
        </w:rPr>
      </w:pPr>
    </w:p>
    <w:p w:rsidR="00DB1F8B" w:rsidRPr="00993DCB" w:rsidRDefault="007738FE" w:rsidP="00653C1C">
      <w:pPr>
        <w:ind w:hanging="196"/>
        <w:jc w:val="lowKashida"/>
        <w:rPr>
          <w:b/>
          <w:bCs/>
        </w:rPr>
      </w:pPr>
      <w:r w:rsidRPr="00993DCB">
        <w:rPr>
          <w:b/>
          <w:bCs/>
        </w:rPr>
        <w:t>2</w:t>
      </w:r>
      <w:r w:rsidR="00653C1C" w:rsidRPr="00993DCB">
        <w:rPr>
          <w:b/>
          <w:bCs/>
        </w:rPr>
        <w:t>3</w:t>
      </w:r>
      <w:r w:rsidR="009442E8" w:rsidRPr="00993DCB">
        <w:rPr>
          <w:b/>
          <w:bCs/>
        </w:rPr>
        <w:t xml:space="preserve">.4 </w:t>
      </w:r>
      <w:r w:rsidR="00DB1F8B" w:rsidRPr="00993DCB">
        <w:rPr>
          <w:b/>
          <w:bCs/>
        </w:rPr>
        <w:t>Capital and Financial Account</w:t>
      </w:r>
    </w:p>
    <w:p w:rsidR="00750558" w:rsidRDefault="00750558" w:rsidP="00750558">
      <w:pPr>
        <w:pStyle w:val="BodyText"/>
        <w:numPr>
          <w:ilvl w:val="0"/>
          <w:numId w:val="3"/>
        </w:numPr>
        <w:tabs>
          <w:tab w:val="num" w:pos="360"/>
        </w:tabs>
        <w:overflowPunct/>
        <w:autoSpaceDE/>
        <w:autoSpaceDN/>
        <w:adjustRightInd/>
        <w:ind w:left="-14" w:hanging="142"/>
        <w:textAlignment w:val="auto"/>
        <w:rPr>
          <w:noProof/>
        </w:rPr>
      </w:pPr>
      <w:r w:rsidRPr="00993DCB">
        <w:t>This account recorded a surplus of USD 2,155.7 million</w:t>
      </w:r>
      <w:r w:rsidR="0078224A">
        <w:t xml:space="preserve"> in 2011</w:t>
      </w:r>
      <w:r w:rsidRPr="00993DCB">
        <w:t>, mainly due to the surplus in the financial account (direct investments, portfolio investments, other investments and reserve assets)</w:t>
      </w:r>
      <w:r w:rsidR="00D660B5">
        <w:t>, and</w:t>
      </w:r>
      <w:r w:rsidRPr="00993DCB">
        <w:t xml:space="preserve"> total</w:t>
      </w:r>
      <w:r w:rsidR="00D660B5">
        <w:t>ed</w:t>
      </w:r>
      <w:r w:rsidRPr="00993DCB">
        <w:t xml:space="preserve"> USD 1,619.5 million as a result of the surplus in currency and deposits in other investments. </w:t>
      </w:r>
    </w:p>
    <w:p w:rsidR="005B326E" w:rsidRPr="00993DCB" w:rsidRDefault="005B326E" w:rsidP="005B326E">
      <w:pPr>
        <w:pStyle w:val="BodyText"/>
        <w:overflowPunct/>
        <w:autoSpaceDE/>
        <w:autoSpaceDN/>
        <w:adjustRightInd/>
        <w:ind w:left="-156"/>
        <w:textAlignment w:val="auto"/>
        <w:rPr>
          <w:noProof/>
        </w:rPr>
      </w:pPr>
    </w:p>
    <w:p w:rsidR="00750558" w:rsidRPr="00993DCB" w:rsidRDefault="00750558" w:rsidP="005B326E">
      <w:pPr>
        <w:pStyle w:val="BodyText"/>
        <w:numPr>
          <w:ilvl w:val="0"/>
          <w:numId w:val="3"/>
        </w:numPr>
        <w:tabs>
          <w:tab w:val="num" w:pos="360"/>
        </w:tabs>
        <w:overflowPunct/>
        <w:autoSpaceDE/>
        <w:autoSpaceDN/>
        <w:adjustRightInd/>
        <w:ind w:left="-14" w:hanging="142"/>
        <w:textAlignment w:val="auto"/>
      </w:pPr>
      <w:r w:rsidRPr="00993DCB">
        <w:t>The capital account recorded a surplus of USD 536.2 million</w:t>
      </w:r>
      <w:r w:rsidR="0078224A">
        <w:t xml:space="preserve"> in 2011</w:t>
      </w:r>
      <w:r w:rsidRPr="00993DCB">
        <w:t>, a decrease of 36.6% compared with 2010</w:t>
      </w:r>
      <w:r w:rsidR="00B07395" w:rsidRPr="00993DCB">
        <w:t>,</w:t>
      </w:r>
      <w:r w:rsidRPr="00993DCB">
        <w:t xml:space="preserve"> mainly due to government capital transfers (transfers from donors) that constituted 68.9% of the capital account.  Household transfers received from abroad to finance house construction for households accounted for 25.7% of this account.</w:t>
      </w:r>
    </w:p>
    <w:p w:rsidR="00750558" w:rsidRPr="00993DCB" w:rsidRDefault="00750558" w:rsidP="005B326E">
      <w:pPr>
        <w:pStyle w:val="BodyText"/>
        <w:overflowPunct/>
        <w:autoSpaceDE/>
        <w:autoSpaceDN/>
        <w:adjustRightInd/>
        <w:ind w:left="-156"/>
        <w:textAlignment w:val="auto"/>
      </w:pPr>
    </w:p>
    <w:p w:rsidR="00750558" w:rsidRDefault="00750558" w:rsidP="00022560">
      <w:pPr>
        <w:pStyle w:val="BodyText"/>
        <w:numPr>
          <w:ilvl w:val="0"/>
          <w:numId w:val="3"/>
        </w:numPr>
        <w:tabs>
          <w:tab w:val="num" w:pos="360"/>
        </w:tabs>
        <w:overflowPunct/>
        <w:autoSpaceDE/>
        <w:autoSpaceDN/>
        <w:adjustRightInd/>
        <w:ind w:left="-14" w:hanging="142"/>
        <w:textAlignment w:val="auto"/>
      </w:pPr>
      <w:r w:rsidRPr="00993DCB">
        <w:t xml:space="preserve">The financial account recorded a </w:t>
      </w:r>
      <w:r w:rsidR="00022560" w:rsidRPr="00993DCB">
        <w:t xml:space="preserve">surplus </w:t>
      </w:r>
      <w:r w:rsidRPr="00993DCB">
        <w:t>of USD 1,619.5 million</w:t>
      </w:r>
      <w:r w:rsidR="0078224A">
        <w:t xml:space="preserve"> in 2011</w:t>
      </w:r>
      <w:r w:rsidR="00D660B5">
        <w:t>,</w:t>
      </w:r>
      <w:r w:rsidRPr="00993DCB">
        <w:t xml:space="preserve"> caused mainly by the surplus in currency and deposits in other investments.  </w:t>
      </w:r>
    </w:p>
    <w:p w:rsidR="0078224A" w:rsidRPr="00993DCB" w:rsidRDefault="0078224A" w:rsidP="005B326E">
      <w:pPr>
        <w:pStyle w:val="BodyText"/>
        <w:overflowPunct/>
        <w:autoSpaceDE/>
        <w:autoSpaceDN/>
        <w:adjustRightInd/>
        <w:ind w:left="-156"/>
        <w:textAlignment w:val="auto"/>
      </w:pPr>
    </w:p>
    <w:p w:rsidR="00750558" w:rsidRPr="00993DCB" w:rsidRDefault="00750558" w:rsidP="005B326E">
      <w:pPr>
        <w:pStyle w:val="BodyText"/>
        <w:numPr>
          <w:ilvl w:val="0"/>
          <w:numId w:val="3"/>
        </w:numPr>
        <w:tabs>
          <w:tab w:val="num" w:pos="360"/>
        </w:tabs>
        <w:overflowPunct/>
        <w:autoSpaceDE/>
        <w:autoSpaceDN/>
        <w:adjustRightInd/>
        <w:ind w:left="-14" w:hanging="142"/>
        <w:textAlignment w:val="auto"/>
      </w:pPr>
      <w:r w:rsidRPr="00993DCB">
        <w:t>The total change (decrease) in reserve assets of the Palestinian Monetary Authority totaled USD 33.7 million</w:t>
      </w:r>
      <w:r w:rsidR="0078224A">
        <w:t xml:space="preserve"> in 2011</w:t>
      </w:r>
      <w:r w:rsidRPr="00993DCB">
        <w:t>, reflecting the final liquidity position of the balance of payments. These are reflected in the overall balance surplus in Palestin</w:t>
      </w:r>
      <w:r w:rsidR="006A16F2">
        <w:t>e</w:t>
      </w:r>
      <w:r w:rsidRPr="00993DCB">
        <w:t xml:space="preserve"> due to the absence of other financing resources.</w:t>
      </w:r>
    </w:p>
    <w:p w:rsidR="00DB1F8B" w:rsidRPr="00993DCB" w:rsidRDefault="00DB1F8B" w:rsidP="003667BF">
      <w:pPr>
        <w:jc w:val="lowKashida"/>
        <w:rPr>
          <w:u w:val="single"/>
        </w:rPr>
      </w:pPr>
    </w:p>
    <w:p w:rsidR="008874A9" w:rsidRPr="00993DCB" w:rsidRDefault="008874A9" w:rsidP="00022560">
      <w:pPr>
        <w:pStyle w:val="ListParagraph"/>
        <w:bidi w:val="0"/>
        <w:ind w:left="0"/>
        <w:jc w:val="lowKashida"/>
        <w:rPr>
          <w:rFonts w:cs="Times New Roman"/>
          <w:i/>
          <w:iCs/>
          <w:sz w:val="20"/>
          <w:u w:val="single"/>
        </w:rPr>
      </w:pPr>
      <w:r w:rsidRPr="00993DCB">
        <w:rPr>
          <w:rFonts w:cs="Times New Roman"/>
          <w:i/>
          <w:iCs/>
          <w:sz w:val="20"/>
          <w:u w:val="single"/>
        </w:rPr>
        <w:t>For more detail</w:t>
      </w:r>
      <w:r w:rsidR="002E1695" w:rsidRPr="00993DCB">
        <w:rPr>
          <w:rFonts w:cs="Times New Roman"/>
          <w:i/>
          <w:iCs/>
          <w:sz w:val="20"/>
          <w:u w:val="single"/>
        </w:rPr>
        <w:t>s</w:t>
      </w:r>
      <w:r w:rsidRPr="00993DCB">
        <w:rPr>
          <w:rFonts w:cs="Times New Roman"/>
          <w:i/>
          <w:iCs/>
          <w:sz w:val="20"/>
          <w:u w:val="single"/>
        </w:rPr>
        <w:t xml:space="preserve"> </w:t>
      </w:r>
      <w:r w:rsidR="002E1695" w:rsidRPr="00993DCB">
        <w:rPr>
          <w:rFonts w:cs="Times New Roman"/>
          <w:i/>
          <w:iCs/>
          <w:sz w:val="20"/>
          <w:u w:val="single"/>
        </w:rPr>
        <w:t>on the b</w:t>
      </w:r>
      <w:r w:rsidR="0099392C" w:rsidRPr="00993DCB">
        <w:rPr>
          <w:rFonts w:cs="Times New Roman"/>
          <w:i/>
          <w:iCs/>
          <w:sz w:val="20"/>
          <w:u w:val="single"/>
        </w:rPr>
        <w:t xml:space="preserve">alance of </w:t>
      </w:r>
      <w:r w:rsidR="002E1695" w:rsidRPr="00993DCB">
        <w:rPr>
          <w:rFonts w:cs="Times New Roman"/>
          <w:i/>
          <w:iCs/>
          <w:sz w:val="20"/>
          <w:u w:val="single"/>
        </w:rPr>
        <w:t>p</w:t>
      </w:r>
      <w:r w:rsidR="0099392C" w:rsidRPr="00993DCB">
        <w:rPr>
          <w:rFonts w:cs="Times New Roman"/>
          <w:i/>
          <w:iCs/>
          <w:sz w:val="20"/>
          <w:u w:val="single"/>
        </w:rPr>
        <w:t>ayments</w:t>
      </w:r>
      <w:r w:rsidR="002E1695" w:rsidRPr="00993DCB">
        <w:rPr>
          <w:rFonts w:cs="Times New Roman"/>
          <w:i/>
          <w:iCs/>
          <w:sz w:val="20"/>
          <w:u w:val="single"/>
        </w:rPr>
        <w:t>,</w:t>
      </w:r>
      <w:r w:rsidR="0099392C" w:rsidRPr="00993DCB">
        <w:rPr>
          <w:rFonts w:cs="Times New Roman"/>
          <w:i/>
          <w:iCs/>
          <w:sz w:val="20"/>
          <w:u w:val="single"/>
        </w:rPr>
        <w:t xml:space="preserve"> </w:t>
      </w:r>
      <w:r w:rsidR="0037009A" w:rsidRPr="00993DCB">
        <w:rPr>
          <w:rFonts w:cs="Times New Roman"/>
          <w:i/>
          <w:iCs/>
          <w:sz w:val="20"/>
          <w:u w:val="single"/>
        </w:rPr>
        <w:t>see</w:t>
      </w:r>
      <w:r w:rsidR="002E1695" w:rsidRPr="00993DCB">
        <w:rPr>
          <w:rFonts w:cs="Times New Roman"/>
          <w:i/>
          <w:iCs/>
          <w:sz w:val="20"/>
          <w:u w:val="single"/>
        </w:rPr>
        <w:t xml:space="preserve"> the</w:t>
      </w:r>
      <w:r w:rsidR="0037009A" w:rsidRPr="00993DCB">
        <w:rPr>
          <w:rFonts w:cs="Times New Roman"/>
          <w:i/>
          <w:iCs/>
          <w:sz w:val="20"/>
          <w:u w:val="single"/>
        </w:rPr>
        <w:t xml:space="preserve"> tables </w:t>
      </w:r>
      <w:r w:rsidRPr="00993DCB">
        <w:rPr>
          <w:rFonts w:cs="Times New Roman"/>
          <w:i/>
          <w:iCs/>
          <w:sz w:val="20"/>
          <w:u w:val="single"/>
        </w:rPr>
        <w:t>in chapter 1.</w:t>
      </w:r>
      <w:r w:rsidR="0099392C" w:rsidRPr="00993DCB">
        <w:rPr>
          <w:rFonts w:cs="Times New Roman"/>
          <w:i/>
          <w:iCs/>
          <w:sz w:val="20"/>
          <w:u w:val="single"/>
        </w:rPr>
        <w:t>2</w:t>
      </w:r>
      <w:r w:rsidR="000C5F6C" w:rsidRPr="00993DCB">
        <w:rPr>
          <w:rFonts w:cs="Times New Roman"/>
          <w:i/>
          <w:iCs/>
          <w:sz w:val="20"/>
          <w:u w:val="single"/>
        </w:rPr>
        <w:t>3</w:t>
      </w:r>
      <w:r w:rsidRPr="00993DCB">
        <w:rPr>
          <w:rFonts w:cs="Times New Roman"/>
          <w:i/>
          <w:iCs/>
          <w:sz w:val="20"/>
          <w:u w:val="single"/>
        </w:rPr>
        <w:t xml:space="preserve"> </w:t>
      </w:r>
      <w:r w:rsidR="002E1695" w:rsidRPr="00993DCB">
        <w:rPr>
          <w:rFonts w:cs="Times New Roman"/>
          <w:i/>
          <w:iCs/>
          <w:sz w:val="20"/>
          <w:u w:val="single"/>
        </w:rPr>
        <w:t xml:space="preserve">of the </w:t>
      </w:r>
      <w:r w:rsidR="00654A09" w:rsidRPr="00993DCB">
        <w:rPr>
          <w:rFonts w:cs="Times New Roman"/>
          <w:i/>
          <w:iCs/>
          <w:sz w:val="20"/>
          <w:u w:val="single"/>
        </w:rPr>
        <w:t>Arabic</w:t>
      </w:r>
      <w:r w:rsidRPr="00993DCB">
        <w:rPr>
          <w:rFonts w:cs="Times New Roman"/>
          <w:i/>
          <w:iCs/>
          <w:sz w:val="20"/>
          <w:u w:val="single"/>
        </w:rPr>
        <w:t xml:space="preserve"> </w:t>
      </w:r>
      <w:r w:rsidR="002E1695" w:rsidRPr="00993DCB">
        <w:rPr>
          <w:rFonts w:cs="Times New Roman"/>
          <w:i/>
          <w:iCs/>
          <w:sz w:val="20"/>
          <w:u w:val="single"/>
        </w:rPr>
        <w:t xml:space="preserve">section, </w:t>
      </w:r>
      <w:r w:rsidRPr="00993DCB">
        <w:rPr>
          <w:rFonts w:cs="Times New Roman"/>
          <w:i/>
          <w:iCs/>
          <w:sz w:val="20"/>
          <w:u w:val="single"/>
        </w:rPr>
        <w:t>page</w:t>
      </w:r>
      <w:r w:rsidR="002E1695" w:rsidRPr="00993DCB">
        <w:rPr>
          <w:rFonts w:cs="Times New Roman"/>
          <w:i/>
          <w:iCs/>
          <w:sz w:val="20"/>
          <w:u w:val="single"/>
        </w:rPr>
        <w:t>s</w:t>
      </w:r>
      <w:r w:rsidR="0099392C" w:rsidRPr="00993DCB">
        <w:rPr>
          <w:rFonts w:cs="Times New Roman"/>
          <w:i/>
          <w:iCs/>
          <w:sz w:val="20"/>
          <w:u w:val="single"/>
        </w:rPr>
        <w:t xml:space="preserve"> </w:t>
      </w:r>
      <w:r w:rsidR="00022560">
        <w:rPr>
          <w:rFonts w:cs="Times New Roman"/>
          <w:i/>
          <w:iCs/>
          <w:sz w:val="20"/>
          <w:u w:val="single"/>
        </w:rPr>
        <w:t>213</w:t>
      </w:r>
      <w:r w:rsidR="0099392C" w:rsidRPr="00993DCB">
        <w:rPr>
          <w:rFonts w:cs="Times New Roman"/>
          <w:i/>
          <w:iCs/>
          <w:sz w:val="20"/>
          <w:u w:val="single"/>
        </w:rPr>
        <w:t>-</w:t>
      </w:r>
      <w:r w:rsidR="00022560">
        <w:rPr>
          <w:rFonts w:cs="Times New Roman"/>
          <w:i/>
          <w:iCs/>
          <w:sz w:val="20"/>
          <w:u w:val="single"/>
        </w:rPr>
        <w:t>216</w:t>
      </w:r>
      <w:r w:rsidR="002E1695" w:rsidRPr="00993DCB">
        <w:rPr>
          <w:rFonts w:cs="Times New Roman"/>
          <w:i/>
          <w:iCs/>
          <w:sz w:val="20"/>
          <w:u w:val="single"/>
        </w:rPr>
        <w:t>.</w:t>
      </w:r>
    </w:p>
    <w:p w:rsidR="00D34B31" w:rsidRPr="00993DCB" w:rsidRDefault="00D34B31" w:rsidP="00D34B31">
      <w:pPr>
        <w:pStyle w:val="ListParagraph"/>
        <w:bidi w:val="0"/>
        <w:ind w:left="0"/>
        <w:jc w:val="lowKashida"/>
        <w:rPr>
          <w:rFonts w:cs="Times New Roman"/>
          <w:i/>
          <w:iCs/>
          <w:sz w:val="20"/>
          <w:u w:val="single"/>
        </w:rPr>
      </w:pPr>
    </w:p>
    <w:p w:rsidR="001F2744" w:rsidRPr="00993DCB" w:rsidRDefault="001F2744"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Finance and Insurance</w:t>
      </w:r>
    </w:p>
    <w:p w:rsidR="00F27C10" w:rsidRDefault="00F27C10" w:rsidP="0078224A">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596 enterprises operating in financial intermediation activities in 2013.</w:t>
      </w:r>
      <w:r w:rsidRPr="00993DCB" w:rsidDel="00F11EE2">
        <w:t xml:space="preserve"> </w:t>
      </w:r>
    </w:p>
    <w:p w:rsidR="0078224A" w:rsidRDefault="0078224A" w:rsidP="0078224A">
      <w:pPr>
        <w:pStyle w:val="BodyText"/>
        <w:overflowPunct/>
        <w:autoSpaceDE/>
        <w:autoSpaceDN/>
        <w:adjustRightInd/>
        <w:ind w:left="142"/>
        <w:jc w:val="lowKashida"/>
        <w:textAlignment w:val="auto"/>
      </w:pPr>
    </w:p>
    <w:p w:rsidR="00F27C10" w:rsidRPr="00993DCB" w:rsidRDefault="00F27C10" w:rsidP="000D1B92">
      <w:pPr>
        <w:pStyle w:val="BodyText"/>
        <w:numPr>
          <w:ilvl w:val="0"/>
          <w:numId w:val="3"/>
        </w:numPr>
        <w:tabs>
          <w:tab w:val="clear" w:pos="1920"/>
          <w:tab w:val="num" w:pos="360"/>
        </w:tabs>
        <w:overflowPunct/>
        <w:autoSpaceDE/>
        <w:autoSpaceDN/>
        <w:adjustRightInd/>
        <w:ind w:left="142" w:hanging="142"/>
        <w:jc w:val="lowKashida"/>
        <w:textAlignment w:val="auto"/>
      </w:pPr>
      <w:r w:rsidRPr="00993DCB">
        <w:t>There were 8,343 employ</w:t>
      </w:r>
      <w:r w:rsidR="000D1B92">
        <w:t>ed persons</w:t>
      </w:r>
      <w:r w:rsidRPr="00993DCB">
        <w:t xml:space="preserve"> in financial intermediation enterprises</w:t>
      </w:r>
      <w:r w:rsidR="0078224A">
        <w:t xml:space="preserve"> in 2013</w:t>
      </w:r>
      <w:r w:rsidRPr="00993DCB">
        <w:t>.</w:t>
      </w:r>
    </w:p>
    <w:p w:rsidR="00F27C10" w:rsidRPr="00993DCB" w:rsidRDefault="00F27C10" w:rsidP="00F27C10">
      <w:pPr>
        <w:pStyle w:val="BodyText"/>
        <w:overflowPunct/>
        <w:autoSpaceDE/>
        <w:autoSpaceDN/>
        <w:adjustRightInd/>
        <w:ind w:left="-218"/>
        <w:jc w:val="lowKashida"/>
        <w:textAlignment w:val="auto"/>
      </w:pPr>
    </w:p>
    <w:p w:rsidR="00F27C10" w:rsidRPr="00993DCB" w:rsidRDefault="00F27C10" w:rsidP="00F27C10">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output in financial intermediation enterprises was USD 460.7 million</w:t>
      </w:r>
      <w:r w:rsidR="0078224A">
        <w:t xml:space="preserve"> in 2013</w:t>
      </w:r>
      <w:r w:rsidRPr="00993DCB">
        <w:t>.</w:t>
      </w:r>
    </w:p>
    <w:p w:rsidR="00F27C10" w:rsidRPr="00993DCB" w:rsidRDefault="00F27C10" w:rsidP="00F27C10">
      <w:pPr>
        <w:pStyle w:val="BodyText"/>
        <w:overflowPunct/>
        <w:autoSpaceDE/>
        <w:autoSpaceDN/>
        <w:adjustRightInd/>
        <w:ind w:left="-218"/>
        <w:jc w:val="lowKashida"/>
        <w:textAlignment w:val="auto"/>
      </w:pPr>
    </w:p>
    <w:p w:rsidR="00F27C10" w:rsidRPr="00993DCB" w:rsidRDefault="00F27C10" w:rsidP="00F27C10">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value of intermediate consumption in financial intermediation enterprises was USD 106.8 million</w:t>
      </w:r>
      <w:r w:rsidR="0078224A">
        <w:t xml:space="preserve"> in 2013</w:t>
      </w:r>
      <w:r w:rsidRPr="00993DCB">
        <w:t xml:space="preserve">.  </w:t>
      </w:r>
    </w:p>
    <w:p w:rsidR="00F27C10" w:rsidRPr="00993DCB" w:rsidRDefault="00F27C10" w:rsidP="00F27C10">
      <w:pPr>
        <w:pStyle w:val="BodyText"/>
        <w:overflowPunct/>
        <w:autoSpaceDE/>
        <w:autoSpaceDN/>
        <w:adjustRightInd/>
        <w:ind w:left="-218"/>
        <w:jc w:val="lowKashida"/>
        <w:textAlignment w:val="auto"/>
      </w:pPr>
    </w:p>
    <w:p w:rsidR="00F27C10" w:rsidRPr="00993DCB" w:rsidRDefault="00F27C10" w:rsidP="00F27C10">
      <w:pPr>
        <w:pStyle w:val="BodyText"/>
        <w:numPr>
          <w:ilvl w:val="0"/>
          <w:numId w:val="3"/>
        </w:numPr>
        <w:tabs>
          <w:tab w:val="clear" w:pos="1920"/>
          <w:tab w:val="num" w:pos="360"/>
        </w:tabs>
        <w:overflowPunct/>
        <w:autoSpaceDE/>
        <w:autoSpaceDN/>
        <w:adjustRightInd/>
        <w:ind w:left="142" w:hanging="142"/>
        <w:jc w:val="lowKashida"/>
        <w:textAlignment w:val="auto"/>
      </w:pPr>
      <w:r w:rsidRPr="00993DCB">
        <w:t>The gross value added in financial intermediation enterprises was USD 353.9 million</w:t>
      </w:r>
      <w:r w:rsidR="0078224A">
        <w:t xml:space="preserve"> in 2013</w:t>
      </w:r>
      <w:r w:rsidRPr="00993DCB">
        <w:t xml:space="preserve">.  </w:t>
      </w:r>
    </w:p>
    <w:p w:rsidR="00F27C10" w:rsidRPr="00993DCB" w:rsidRDefault="00F27C10" w:rsidP="00F27C10">
      <w:pPr>
        <w:jc w:val="both"/>
        <w:rPr>
          <w:noProof/>
        </w:rPr>
      </w:pPr>
    </w:p>
    <w:p w:rsidR="008874A9" w:rsidRPr="00993DCB" w:rsidRDefault="003667BF" w:rsidP="00880942">
      <w:pPr>
        <w:pStyle w:val="ListParagraph"/>
        <w:bidi w:val="0"/>
        <w:ind w:left="0"/>
        <w:jc w:val="lowKashida"/>
        <w:rPr>
          <w:rFonts w:cs="Times New Roman"/>
          <w:i/>
          <w:iCs/>
          <w:sz w:val="20"/>
          <w:u w:val="single"/>
        </w:rPr>
      </w:pPr>
      <w:r w:rsidRPr="00993DCB">
        <w:rPr>
          <w:rFonts w:cs="Times New Roman"/>
          <w:i/>
          <w:iCs/>
          <w:sz w:val="20"/>
          <w:u w:val="single"/>
        </w:rPr>
        <w:t xml:space="preserve"> </w:t>
      </w:r>
      <w:r w:rsidR="008874A9" w:rsidRPr="00993DCB">
        <w:rPr>
          <w:rFonts w:cs="Times New Roman"/>
          <w:i/>
          <w:iCs/>
          <w:sz w:val="20"/>
          <w:u w:val="single"/>
        </w:rPr>
        <w:t>For more detail</w:t>
      </w:r>
      <w:r w:rsidR="00992842" w:rsidRPr="00993DCB">
        <w:rPr>
          <w:rFonts w:cs="Times New Roman"/>
          <w:i/>
          <w:iCs/>
          <w:sz w:val="20"/>
          <w:u w:val="single"/>
        </w:rPr>
        <w:t>s</w:t>
      </w:r>
      <w:r w:rsidR="008874A9" w:rsidRPr="00993DCB">
        <w:rPr>
          <w:rFonts w:cs="Times New Roman"/>
          <w:i/>
          <w:iCs/>
          <w:sz w:val="20"/>
          <w:u w:val="single"/>
        </w:rPr>
        <w:t xml:space="preserve"> </w:t>
      </w:r>
      <w:r w:rsidR="00992842" w:rsidRPr="00993DCB">
        <w:rPr>
          <w:rFonts w:cs="Times New Roman"/>
          <w:i/>
          <w:iCs/>
          <w:sz w:val="20"/>
          <w:u w:val="single"/>
        </w:rPr>
        <w:t>on f</w:t>
      </w:r>
      <w:r w:rsidR="00C65AB2" w:rsidRPr="00993DCB">
        <w:rPr>
          <w:rFonts w:cs="Times New Roman"/>
          <w:i/>
          <w:iCs/>
          <w:sz w:val="20"/>
          <w:u w:val="single"/>
        </w:rPr>
        <w:t xml:space="preserve">inance and </w:t>
      </w:r>
      <w:r w:rsidR="00992842" w:rsidRPr="00993DCB">
        <w:rPr>
          <w:rFonts w:cs="Times New Roman"/>
          <w:i/>
          <w:iCs/>
          <w:sz w:val="20"/>
          <w:u w:val="single"/>
        </w:rPr>
        <w:t>i</w:t>
      </w:r>
      <w:r w:rsidR="00C65AB2" w:rsidRPr="00993DCB">
        <w:rPr>
          <w:rFonts w:cs="Times New Roman"/>
          <w:i/>
          <w:iCs/>
          <w:sz w:val="20"/>
          <w:u w:val="single"/>
        </w:rPr>
        <w:t>nsurance</w:t>
      </w:r>
      <w:r w:rsidR="00992842" w:rsidRPr="00993DCB">
        <w:rPr>
          <w:rFonts w:cs="Times New Roman"/>
          <w:i/>
          <w:iCs/>
          <w:sz w:val="20"/>
          <w:u w:val="single"/>
        </w:rPr>
        <w:t>,</w:t>
      </w:r>
      <w:r w:rsidR="00C65AB2" w:rsidRPr="00993DCB">
        <w:rPr>
          <w:rFonts w:cs="Times New Roman"/>
          <w:i/>
          <w:iCs/>
          <w:sz w:val="20"/>
          <w:u w:val="single"/>
        </w:rPr>
        <w:t xml:space="preserve"> </w:t>
      </w:r>
      <w:r w:rsidR="0037009A" w:rsidRPr="00993DCB">
        <w:rPr>
          <w:rFonts w:cs="Times New Roman"/>
          <w:i/>
          <w:iCs/>
          <w:sz w:val="20"/>
          <w:u w:val="single"/>
        </w:rPr>
        <w:t xml:space="preserve">see </w:t>
      </w:r>
      <w:r w:rsidR="00992842" w:rsidRPr="00993DCB">
        <w:rPr>
          <w:rFonts w:cs="Times New Roman"/>
          <w:i/>
          <w:iCs/>
          <w:sz w:val="20"/>
          <w:u w:val="single"/>
        </w:rPr>
        <w:t xml:space="preserve">the </w:t>
      </w:r>
      <w:r w:rsidR="0037009A" w:rsidRPr="00993DCB">
        <w:rPr>
          <w:rFonts w:cs="Times New Roman"/>
          <w:i/>
          <w:iCs/>
          <w:sz w:val="20"/>
          <w:u w:val="single"/>
        </w:rPr>
        <w:t xml:space="preserve">tables </w:t>
      </w:r>
      <w:r w:rsidR="008874A9" w:rsidRPr="00993DCB">
        <w:rPr>
          <w:rFonts w:cs="Times New Roman"/>
          <w:i/>
          <w:iCs/>
          <w:sz w:val="20"/>
          <w:u w:val="single"/>
        </w:rPr>
        <w:t>in chapter 1.</w:t>
      </w:r>
      <w:r w:rsidR="00C65AB2" w:rsidRPr="00993DCB">
        <w:rPr>
          <w:rFonts w:cs="Times New Roman"/>
          <w:i/>
          <w:iCs/>
          <w:sz w:val="20"/>
          <w:u w:val="single"/>
        </w:rPr>
        <w:t>2</w:t>
      </w:r>
      <w:r w:rsidR="000C5F6C" w:rsidRPr="00993DCB">
        <w:rPr>
          <w:rFonts w:cs="Times New Roman"/>
          <w:i/>
          <w:iCs/>
          <w:sz w:val="20"/>
          <w:u w:val="single"/>
        </w:rPr>
        <w:t>4</w:t>
      </w:r>
      <w:r w:rsidR="00992842" w:rsidRPr="00993DCB">
        <w:rPr>
          <w:rFonts w:cs="Times New Roman"/>
          <w:i/>
          <w:iCs/>
          <w:sz w:val="20"/>
          <w:u w:val="single"/>
        </w:rPr>
        <w:t xml:space="preserve"> of the</w:t>
      </w:r>
      <w:r w:rsidR="008874A9" w:rsidRPr="00993DCB">
        <w:rPr>
          <w:rFonts w:cs="Times New Roman"/>
          <w:i/>
          <w:iCs/>
          <w:sz w:val="20"/>
          <w:u w:val="single"/>
        </w:rPr>
        <w:t xml:space="preserve"> </w:t>
      </w:r>
      <w:r w:rsidR="00654A09" w:rsidRPr="00993DCB">
        <w:rPr>
          <w:rFonts w:cs="Times New Roman"/>
          <w:i/>
          <w:iCs/>
          <w:sz w:val="20"/>
          <w:u w:val="single"/>
        </w:rPr>
        <w:t>Arabic</w:t>
      </w:r>
      <w:r w:rsidR="00992842" w:rsidRPr="00993DCB">
        <w:rPr>
          <w:rFonts w:cs="Times New Roman"/>
          <w:i/>
          <w:iCs/>
          <w:sz w:val="20"/>
          <w:u w:val="single"/>
        </w:rPr>
        <w:t xml:space="preserve"> section, </w:t>
      </w:r>
      <w:r w:rsidR="008874A9" w:rsidRPr="00993DCB">
        <w:rPr>
          <w:rFonts w:cs="Times New Roman"/>
          <w:i/>
          <w:iCs/>
          <w:sz w:val="20"/>
          <w:u w:val="single"/>
        </w:rPr>
        <w:t>page</w:t>
      </w:r>
      <w:r w:rsidR="00992842" w:rsidRPr="00993DCB">
        <w:rPr>
          <w:rFonts w:cs="Times New Roman"/>
          <w:i/>
          <w:iCs/>
          <w:sz w:val="20"/>
          <w:u w:val="single"/>
        </w:rPr>
        <w:t>s</w:t>
      </w:r>
      <w:r w:rsidR="00C65AB2" w:rsidRPr="00993DCB">
        <w:rPr>
          <w:rFonts w:cs="Times New Roman"/>
          <w:i/>
          <w:iCs/>
          <w:noProof w:val="0"/>
          <w:sz w:val="20"/>
          <w:u w:val="single"/>
          <w:rtl/>
        </w:rPr>
        <w:t xml:space="preserve"> </w:t>
      </w:r>
      <w:r w:rsidR="00345ADA">
        <w:rPr>
          <w:rFonts w:cs="Times New Roman"/>
          <w:i/>
          <w:iCs/>
          <w:sz w:val="20"/>
          <w:u w:val="single"/>
        </w:rPr>
        <w:t>217</w:t>
      </w:r>
      <w:r w:rsidR="00C65AB2" w:rsidRPr="00993DCB">
        <w:rPr>
          <w:rFonts w:cs="Times New Roman"/>
          <w:i/>
          <w:iCs/>
          <w:sz w:val="20"/>
          <w:u w:val="single"/>
        </w:rPr>
        <w:t>-</w:t>
      </w:r>
      <w:r w:rsidR="00345ADA">
        <w:rPr>
          <w:rFonts w:cs="Times New Roman"/>
          <w:i/>
          <w:iCs/>
          <w:sz w:val="20"/>
          <w:u w:val="single"/>
        </w:rPr>
        <w:t>22</w:t>
      </w:r>
      <w:r w:rsidR="00880942">
        <w:rPr>
          <w:rFonts w:cs="Times New Roman"/>
          <w:i/>
          <w:iCs/>
          <w:sz w:val="20"/>
          <w:u w:val="single"/>
        </w:rPr>
        <w:t>0</w:t>
      </w:r>
      <w:r w:rsidR="00992842" w:rsidRPr="00993DCB">
        <w:rPr>
          <w:rFonts w:cs="Times New Roman"/>
          <w:i/>
          <w:iCs/>
          <w:sz w:val="20"/>
          <w:u w:val="single"/>
        </w:rPr>
        <w:t>.</w:t>
      </w:r>
    </w:p>
    <w:p w:rsidR="002977AC" w:rsidRPr="00993DCB" w:rsidRDefault="002977AC" w:rsidP="00F74106">
      <w:pPr>
        <w:jc w:val="center"/>
        <w:rPr>
          <w:b/>
          <w:bCs/>
          <w:noProof/>
          <w:sz w:val="24"/>
          <w:szCs w:val="24"/>
        </w:rPr>
      </w:pPr>
    </w:p>
    <w:p w:rsidR="002977AC" w:rsidRPr="00993DCB" w:rsidRDefault="002977AC" w:rsidP="00331B49">
      <w:pPr>
        <w:pStyle w:val="Title"/>
        <w:numPr>
          <w:ilvl w:val="0"/>
          <w:numId w:val="2"/>
        </w:numPr>
        <w:bidi w:val="0"/>
        <w:ind w:left="98" w:hanging="308"/>
        <w:jc w:val="left"/>
        <w:rPr>
          <w:rFonts w:cs="Traditional Arabic"/>
          <w:sz w:val="20"/>
          <w:szCs w:val="20"/>
        </w:rPr>
      </w:pPr>
      <w:r w:rsidRPr="00993DCB">
        <w:rPr>
          <w:rFonts w:cs="Traditional Arabic"/>
          <w:sz w:val="20"/>
          <w:szCs w:val="20"/>
        </w:rPr>
        <w:t>International Investment Position</w:t>
      </w:r>
    </w:p>
    <w:p w:rsidR="002F05C0" w:rsidRPr="00993DCB" w:rsidRDefault="002F05C0" w:rsidP="0078224A">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primary results of the IIP (external assets – foreign liabilities) for Palestine </w:t>
      </w:r>
      <w:r w:rsidR="0078224A">
        <w:t>in</w:t>
      </w:r>
      <w:r w:rsidRPr="00993DCB">
        <w:t xml:space="preserve"> </w:t>
      </w:r>
      <w:r w:rsidR="00294CFB" w:rsidRPr="00993DCB">
        <w:t>2013</w:t>
      </w:r>
      <w:r w:rsidRPr="00993DCB">
        <w:t xml:space="preserve"> revealed that the net IIP totaled about USD 880 million. This means that the various sectors of the Palestinian economy </w:t>
      </w:r>
      <w:r w:rsidR="00D660B5">
        <w:t xml:space="preserve">made </w:t>
      </w:r>
      <w:r w:rsidRPr="00993DCB">
        <w:t>invest</w:t>
      </w:r>
      <w:r w:rsidR="00D660B5">
        <w:t>ments</w:t>
      </w:r>
      <w:r w:rsidRPr="00993DCB">
        <w:t xml:space="preserve"> outside Palestine </w:t>
      </w:r>
      <w:r w:rsidR="00D660B5">
        <w:t xml:space="preserve">to a greater extent </w:t>
      </w:r>
      <w:r w:rsidRPr="00993DCB">
        <w:t xml:space="preserve">than investment in Palestine from abroad. Cash deposits of local banks in foreign banks and foreign exchange in </w:t>
      </w:r>
      <w:r w:rsidR="00D660B5">
        <w:t xml:space="preserve">the </w:t>
      </w:r>
      <w:r w:rsidRPr="00993DCB">
        <w:t xml:space="preserve">Palestinian economy contributed a major value </w:t>
      </w:r>
      <w:r w:rsidR="006A16F2">
        <w:t>to</w:t>
      </w:r>
      <w:r w:rsidRPr="00993DCB">
        <w:t xml:space="preserve"> external assets, which represented 67.3% of their total value. </w:t>
      </w:r>
    </w:p>
    <w:p w:rsidR="003E4CA5" w:rsidRDefault="003E4CA5" w:rsidP="003E4CA5">
      <w:pPr>
        <w:pStyle w:val="BodyText"/>
        <w:overflowPunct/>
        <w:autoSpaceDE/>
        <w:autoSpaceDN/>
        <w:adjustRightInd/>
        <w:ind w:left="142"/>
        <w:jc w:val="lowKashida"/>
        <w:textAlignment w:val="auto"/>
      </w:pPr>
    </w:p>
    <w:p w:rsidR="002F05C0" w:rsidRPr="00993DCB" w:rsidRDefault="002F05C0" w:rsidP="00BA7A05">
      <w:pPr>
        <w:pStyle w:val="BodyText"/>
        <w:numPr>
          <w:ilvl w:val="0"/>
          <w:numId w:val="3"/>
        </w:numPr>
        <w:tabs>
          <w:tab w:val="clear" w:pos="1920"/>
          <w:tab w:val="num" w:pos="360"/>
        </w:tabs>
        <w:overflowPunct/>
        <w:autoSpaceDE/>
        <w:autoSpaceDN/>
        <w:adjustRightInd/>
        <w:ind w:left="142" w:hanging="142"/>
        <w:jc w:val="lowKashida"/>
        <w:textAlignment w:val="auto"/>
        <w:rPr>
          <w:rtl/>
        </w:rPr>
      </w:pPr>
      <w:r w:rsidRPr="00993DCB">
        <w:t xml:space="preserve">Total stocks of external assets for Palestine (stocks of residents in Palestine invested abroad) totaled USD 5,828 million. Foreign direct investment abroad contributed 2.9%, portfolio investments abroad totaled 17.2%, other foreign investments abroad totaled 68.1%, and reserve assets amounted to 11.8%.  At </w:t>
      </w:r>
      <w:proofErr w:type="spellStart"/>
      <w:r w:rsidRPr="00993DCB">
        <w:t>sectoral</w:t>
      </w:r>
      <w:proofErr w:type="spellEnd"/>
      <w:r w:rsidRPr="00993DCB">
        <w:t xml:space="preserve"> level, the external investments of the banking sector contributed </w:t>
      </w:r>
      <w:r w:rsidR="006A16F2">
        <w:t xml:space="preserve">a </w:t>
      </w:r>
      <w:r w:rsidRPr="00993DCB">
        <w:t>major value to external asset</w:t>
      </w:r>
      <w:r w:rsidR="006A16F2">
        <w:t>s</w:t>
      </w:r>
      <w:r w:rsidRPr="00993DCB">
        <w:t xml:space="preserve"> </w:t>
      </w:r>
      <w:r w:rsidR="006A16F2">
        <w:t>of</w:t>
      </w:r>
      <w:r w:rsidRPr="00993DCB">
        <w:t xml:space="preserve"> 76.7%</w:t>
      </w:r>
      <w:r w:rsidRPr="00993DCB">
        <w:rPr>
          <w:rtl/>
        </w:rPr>
        <w:t>.</w:t>
      </w:r>
    </w:p>
    <w:p w:rsidR="002F05C0" w:rsidRPr="00993DCB" w:rsidRDefault="002F05C0" w:rsidP="002F05C0">
      <w:pPr>
        <w:pStyle w:val="BodyText"/>
        <w:overflowPunct/>
        <w:autoSpaceDE/>
        <w:autoSpaceDN/>
        <w:adjustRightInd/>
        <w:ind w:left="-218"/>
        <w:jc w:val="lowKashida"/>
        <w:textAlignment w:val="auto"/>
        <w:rPr>
          <w:highlight w:val="lightGray"/>
        </w:rPr>
      </w:pPr>
    </w:p>
    <w:p w:rsidR="002F05C0" w:rsidRPr="00993DCB" w:rsidRDefault="002F05C0" w:rsidP="000E674F">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stocks of foreign liabilities in Palestine (stocks of non-residents invested in Palestine) totaled USD 4,948 million. Foreign direct investment in Palestine contributed 49.7%, portfolio investments in Palestine were </w:t>
      </w:r>
      <w:r w:rsidR="000E674F" w:rsidRPr="00993DCB">
        <w:t>15.5</w:t>
      </w:r>
      <w:r w:rsidRPr="00993DCB">
        <w:t xml:space="preserve">%, and other investments totaled </w:t>
      </w:r>
      <w:r w:rsidR="000E674F" w:rsidRPr="00993DCB">
        <w:t>34.8</w:t>
      </w:r>
      <w:r w:rsidRPr="00993DCB">
        <w:t xml:space="preserve">%.  </w:t>
      </w:r>
    </w:p>
    <w:p w:rsidR="002F05C0" w:rsidRPr="00993DCB" w:rsidRDefault="002F05C0" w:rsidP="002F05C0">
      <w:pPr>
        <w:pStyle w:val="BodyText"/>
        <w:overflowPunct/>
        <w:autoSpaceDE/>
        <w:autoSpaceDN/>
        <w:adjustRightInd/>
        <w:jc w:val="lowKashida"/>
        <w:textAlignment w:val="auto"/>
      </w:pPr>
    </w:p>
    <w:p w:rsidR="002F05C0" w:rsidRPr="00993DCB" w:rsidRDefault="002F05C0" w:rsidP="002F05C0">
      <w:pPr>
        <w:pStyle w:val="BodyText"/>
        <w:numPr>
          <w:ilvl w:val="0"/>
          <w:numId w:val="3"/>
        </w:numPr>
        <w:tabs>
          <w:tab w:val="clear" w:pos="1920"/>
          <w:tab w:val="num" w:pos="360"/>
        </w:tabs>
        <w:overflowPunct/>
        <w:autoSpaceDE/>
        <w:autoSpaceDN/>
        <w:adjustRightInd/>
        <w:ind w:left="142" w:hanging="142"/>
        <w:jc w:val="lowKashida"/>
        <w:textAlignment w:val="auto"/>
      </w:pPr>
      <w:r w:rsidRPr="00993DCB">
        <w:t xml:space="preserve">The total stocks of external debt on Palestinian economic sectors totaled USD 1,725 million. The debt on the general government sector contributed 64.3%, debt </w:t>
      </w:r>
      <w:r w:rsidRPr="006A16F2">
        <w:t xml:space="preserve">on the banking sector comprised 32.0%, </w:t>
      </w:r>
      <w:r w:rsidR="00307709" w:rsidRPr="00307709">
        <w:t xml:space="preserve">debt on other sectors (non-financial, </w:t>
      </w:r>
      <w:r w:rsidRPr="00993DCB">
        <w:t xml:space="preserve">insurance enterprises, NGOs and household sectors) </w:t>
      </w:r>
      <w:r w:rsidR="00D660B5">
        <w:t>totaled</w:t>
      </w:r>
      <w:r w:rsidRPr="00993DCB">
        <w:t xml:space="preserve"> 3.4%, while lending between affiliated companies contributed 0.3%.</w:t>
      </w:r>
    </w:p>
    <w:p w:rsidR="00A27764" w:rsidRPr="00993DCB" w:rsidRDefault="00A27764" w:rsidP="00A27764">
      <w:pPr>
        <w:pStyle w:val="Title"/>
        <w:bidi w:val="0"/>
        <w:ind w:left="98"/>
        <w:jc w:val="left"/>
        <w:rPr>
          <w:rFonts w:cs="Times New Roman"/>
          <w:i/>
          <w:iCs/>
          <w:sz w:val="20"/>
          <w:u w:val="single"/>
        </w:rPr>
      </w:pPr>
    </w:p>
    <w:p w:rsidR="002977AC" w:rsidRPr="00993DCB" w:rsidRDefault="002977AC" w:rsidP="00880942">
      <w:pPr>
        <w:pStyle w:val="ListParagraph"/>
        <w:bidi w:val="0"/>
        <w:ind w:left="0"/>
        <w:jc w:val="lowKashida"/>
        <w:rPr>
          <w:rFonts w:cs="Times New Roman"/>
          <w:i/>
          <w:iCs/>
          <w:sz w:val="20"/>
          <w:u w:val="single"/>
        </w:rPr>
      </w:pPr>
      <w:r w:rsidRPr="00993DCB">
        <w:rPr>
          <w:rFonts w:cs="Times New Roman"/>
          <w:i/>
          <w:iCs/>
          <w:sz w:val="20"/>
          <w:u w:val="single"/>
        </w:rPr>
        <w:t xml:space="preserve">For more details </w:t>
      </w:r>
      <w:r w:rsidR="00EF03E1" w:rsidRPr="00993DCB">
        <w:rPr>
          <w:rFonts w:cs="Times New Roman"/>
          <w:i/>
          <w:iCs/>
          <w:sz w:val="20"/>
          <w:u w:val="single"/>
        </w:rPr>
        <w:t xml:space="preserve">on the </w:t>
      </w:r>
      <w:r w:rsidRPr="00993DCB">
        <w:rPr>
          <w:rFonts w:cs="Times New Roman"/>
          <w:i/>
          <w:iCs/>
          <w:sz w:val="20"/>
          <w:u w:val="single"/>
        </w:rPr>
        <w:t xml:space="preserve"> international investment position, see the table in chapter 1.2</w:t>
      </w:r>
      <w:r w:rsidR="000C5F6C" w:rsidRPr="00993DCB">
        <w:rPr>
          <w:rFonts w:cs="Times New Roman"/>
          <w:i/>
          <w:iCs/>
          <w:sz w:val="20"/>
          <w:u w:val="single"/>
        </w:rPr>
        <w:t>5</w:t>
      </w:r>
      <w:r w:rsidRPr="00993DCB">
        <w:rPr>
          <w:rFonts w:cs="Times New Roman"/>
          <w:i/>
          <w:iCs/>
          <w:sz w:val="20"/>
          <w:u w:val="single"/>
        </w:rPr>
        <w:t xml:space="preserve"> of the Arabic section, pages</w:t>
      </w:r>
      <w:r w:rsidRPr="00993DCB">
        <w:rPr>
          <w:rFonts w:cs="Times New Roman"/>
          <w:i/>
          <w:iCs/>
          <w:noProof w:val="0"/>
          <w:sz w:val="20"/>
          <w:u w:val="single"/>
          <w:rtl/>
        </w:rPr>
        <w:t xml:space="preserve"> </w:t>
      </w:r>
      <w:r w:rsidR="008B6887">
        <w:rPr>
          <w:rFonts w:cs="Times New Roman"/>
          <w:i/>
          <w:iCs/>
          <w:sz w:val="20"/>
          <w:u w:val="single"/>
        </w:rPr>
        <w:t>22</w:t>
      </w:r>
      <w:r w:rsidR="00880942">
        <w:rPr>
          <w:rFonts w:cs="Times New Roman"/>
          <w:i/>
          <w:iCs/>
          <w:sz w:val="20"/>
          <w:u w:val="single"/>
        </w:rPr>
        <w:t>1</w:t>
      </w:r>
      <w:r w:rsidR="00546837" w:rsidRPr="00993DCB">
        <w:rPr>
          <w:rFonts w:cs="Times New Roman"/>
          <w:i/>
          <w:iCs/>
          <w:sz w:val="20"/>
          <w:u w:val="single"/>
        </w:rPr>
        <w:t>-</w:t>
      </w:r>
      <w:r w:rsidR="008B6887">
        <w:rPr>
          <w:rFonts w:cs="Times New Roman"/>
          <w:i/>
          <w:iCs/>
          <w:sz w:val="20"/>
          <w:u w:val="single"/>
        </w:rPr>
        <w:t>22</w:t>
      </w:r>
      <w:r w:rsidR="00880942">
        <w:rPr>
          <w:rFonts w:cs="Times New Roman"/>
          <w:i/>
          <w:iCs/>
          <w:sz w:val="20"/>
          <w:u w:val="single"/>
        </w:rPr>
        <w:t>4</w:t>
      </w:r>
    </w:p>
    <w:p w:rsidR="002977AC" w:rsidRPr="00993DCB" w:rsidRDefault="002977AC" w:rsidP="002977AC">
      <w:pPr>
        <w:pStyle w:val="Title"/>
        <w:bidi w:val="0"/>
        <w:ind w:left="98"/>
        <w:jc w:val="left"/>
        <w:rPr>
          <w:rFonts w:cs="Times New Roman"/>
          <w:i/>
          <w:iCs/>
          <w:sz w:val="20"/>
          <w:u w:val="single"/>
        </w:rPr>
      </w:pPr>
    </w:p>
    <w:p w:rsidR="00DE3043" w:rsidRPr="00993DCB" w:rsidRDefault="00B20D22">
      <w:pPr>
        <w:overflowPunct/>
        <w:autoSpaceDE/>
        <w:autoSpaceDN/>
        <w:adjustRightInd/>
        <w:textAlignment w:val="auto"/>
        <w:rPr>
          <w:rFonts w:cs="Simplified Arabic"/>
          <w:noProof/>
          <w:sz w:val="24"/>
          <w:szCs w:val="24"/>
        </w:rPr>
      </w:pPr>
      <w:r w:rsidRPr="00993DCB">
        <w:rPr>
          <w:szCs w:val="24"/>
        </w:rPr>
        <w:br w:type="page"/>
      </w:r>
      <w:r w:rsidR="00DE3043" w:rsidRPr="00993DCB">
        <w:rPr>
          <w:b/>
          <w:bCs/>
          <w:szCs w:val="24"/>
        </w:rPr>
        <w:br w:type="page"/>
      </w:r>
    </w:p>
    <w:p w:rsidR="003A59C1" w:rsidRDefault="007B6827" w:rsidP="003A59C1">
      <w:pPr>
        <w:pStyle w:val="Title"/>
        <w:bidi w:val="0"/>
        <w:rPr>
          <w:sz w:val="28"/>
        </w:rPr>
      </w:pPr>
      <w:r w:rsidRPr="007B6827">
        <w:pict>
          <v:rect id="_x0000_s1028" style="position:absolute;left:0;text-align:left;margin-left:325pt;margin-top:-4.65pt;width:42pt;height:24pt;z-index:251655168">
            <v:textbox style="mso-next-textbox:#_x0000_s1028">
              <w:txbxContent>
                <w:p w:rsidR="00F24436" w:rsidRDefault="00F24436" w:rsidP="003065D4">
                  <w:pPr>
                    <w:jc w:val="center"/>
                    <w:rPr>
                      <w:b/>
                      <w:bCs/>
                      <w:sz w:val="28"/>
                      <w:szCs w:val="28"/>
                    </w:rPr>
                  </w:pPr>
                  <w:r>
                    <w:rPr>
                      <w:sz w:val="28"/>
                    </w:rPr>
                    <w:t>1.2</w:t>
                  </w:r>
                </w:p>
              </w:txbxContent>
            </v:textbox>
          </v:rect>
        </w:pict>
      </w:r>
      <w:r w:rsidR="00310AD8" w:rsidRPr="00993DCB">
        <w:rPr>
          <w:sz w:val="28"/>
        </w:rPr>
        <w:t xml:space="preserve"> Palestinians in the </w:t>
      </w:r>
      <w:r w:rsidR="003A59C1" w:rsidRPr="003A59C1">
        <w:rPr>
          <w:sz w:val="28"/>
        </w:rPr>
        <w:t xml:space="preserve">Occupied Palestinian </w:t>
      </w:r>
    </w:p>
    <w:p w:rsidR="00DC67CE" w:rsidRPr="00993DCB" w:rsidRDefault="003A59C1" w:rsidP="003A59C1">
      <w:pPr>
        <w:pStyle w:val="Title"/>
        <w:bidi w:val="0"/>
        <w:rPr>
          <w:sz w:val="28"/>
        </w:rPr>
      </w:pPr>
      <w:r w:rsidRPr="003A59C1">
        <w:rPr>
          <w:sz w:val="28"/>
        </w:rPr>
        <w:t xml:space="preserve">Territory </w:t>
      </w:r>
      <w:r w:rsidR="00310AD8" w:rsidRPr="00993DCB">
        <w:rPr>
          <w:sz w:val="28"/>
        </w:rPr>
        <w:t>in 1948</w:t>
      </w:r>
    </w:p>
    <w:p w:rsidR="00CB5198" w:rsidRPr="00993DCB" w:rsidRDefault="00CB5198" w:rsidP="00310AD8">
      <w:pPr>
        <w:pStyle w:val="Title"/>
        <w:bidi w:val="0"/>
        <w:rPr>
          <w:sz w:val="28"/>
        </w:rPr>
      </w:pPr>
    </w:p>
    <w:p w:rsidR="004D74D5" w:rsidRPr="00993DCB" w:rsidRDefault="004D74D5" w:rsidP="0078224A">
      <w:pPr>
        <w:numPr>
          <w:ilvl w:val="0"/>
          <w:numId w:val="1"/>
        </w:numPr>
        <w:ind w:left="-14" w:hanging="204"/>
        <w:jc w:val="both"/>
        <w:rPr>
          <w:noProof/>
        </w:rPr>
      </w:pPr>
      <w:r w:rsidRPr="00993DCB">
        <w:rPr>
          <w:noProof/>
        </w:rPr>
        <w:t xml:space="preserve">The total population of </w:t>
      </w:r>
      <w:r w:rsidR="00AC4BF8" w:rsidRPr="00993DCB">
        <w:rPr>
          <w:noProof/>
        </w:rPr>
        <w:t xml:space="preserve">these areas </w:t>
      </w:r>
      <w:r w:rsidR="00D35AFF" w:rsidRPr="00993DCB">
        <w:rPr>
          <w:noProof/>
        </w:rPr>
        <w:t xml:space="preserve">at </w:t>
      </w:r>
      <w:r w:rsidR="00E65930" w:rsidRPr="00993DCB">
        <w:rPr>
          <w:noProof/>
        </w:rPr>
        <w:t xml:space="preserve">the end of </w:t>
      </w:r>
      <w:r w:rsidR="00E575E0">
        <w:rPr>
          <w:noProof/>
        </w:rPr>
        <w:t>2013</w:t>
      </w:r>
      <w:r w:rsidRPr="00993DCB">
        <w:rPr>
          <w:noProof/>
        </w:rPr>
        <w:t xml:space="preserve"> was </w:t>
      </w:r>
      <w:r w:rsidR="0078224A">
        <w:rPr>
          <w:noProof/>
        </w:rPr>
        <w:t>1.3 million</w:t>
      </w:r>
      <w:r w:rsidR="00E575E0" w:rsidRPr="00993DCB">
        <w:rPr>
          <w:noProof/>
        </w:rPr>
        <w:t xml:space="preserve"> </w:t>
      </w:r>
      <w:r w:rsidRPr="00993DCB">
        <w:rPr>
          <w:noProof/>
        </w:rPr>
        <w:t xml:space="preserve">(excluding the residents of </w:t>
      </w:r>
      <w:r w:rsidR="00AC4BF8" w:rsidRPr="00993DCB">
        <w:rPr>
          <w:noProof/>
        </w:rPr>
        <w:t>o</w:t>
      </w:r>
      <w:r w:rsidRPr="00993DCB">
        <w:rPr>
          <w:noProof/>
        </w:rPr>
        <w:t xml:space="preserve">ccupied East Jerusalem and the Golan Heights). </w:t>
      </w:r>
    </w:p>
    <w:p w:rsidR="002B0279" w:rsidRPr="00993DCB" w:rsidRDefault="002B0279" w:rsidP="002B0279">
      <w:pPr>
        <w:ind w:left="-14"/>
        <w:jc w:val="both"/>
        <w:rPr>
          <w:noProof/>
        </w:rPr>
      </w:pPr>
    </w:p>
    <w:p w:rsidR="004D74D5" w:rsidRPr="00993DCB" w:rsidRDefault="004D74D5" w:rsidP="0078224A">
      <w:pPr>
        <w:numPr>
          <w:ilvl w:val="0"/>
          <w:numId w:val="1"/>
        </w:numPr>
        <w:ind w:left="-14" w:hanging="204"/>
        <w:jc w:val="both"/>
        <w:rPr>
          <w:noProof/>
        </w:rPr>
      </w:pPr>
      <w:r w:rsidRPr="00993DCB">
        <w:rPr>
          <w:noProof/>
        </w:rPr>
        <w:t xml:space="preserve">The average size of a Palestinian household </w:t>
      </w:r>
      <w:r w:rsidR="00C50379" w:rsidRPr="00993DCB">
        <w:rPr>
          <w:noProof/>
        </w:rPr>
        <w:t>wa</w:t>
      </w:r>
      <w:r w:rsidRPr="00993DCB">
        <w:rPr>
          <w:noProof/>
        </w:rPr>
        <w:t xml:space="preserve">s </w:t>
      </w:r>
      <w:r w:rsidR="004C1FDF" w:rsidRPr="00993DCB">
        <w:rPr>
          <w:noProof/>
        </w:rPr>
        <w:t xml:space="preserve">5.0 </w:t>
      </w:r>
      <w:r w:rsidRPr="00993DCB">
        <w:rPr>
          <w:noProof/>
        </w:rPr>
        <w:t>persons</w:t>
      </w:r>
      <w:r w:rsidR="004C1FDF" w:rsidRPr="00993DCB">
        <w:rPr>
          <w:noProof/>
        </w:rPr>
        <w:t xml:space="preserve"> in </w:t>
      </w:r>
      <w:r w:rsidR="00374E23">
        <w:rPr>
          <w:noProof/>
        </w:rPr>
        <w:t>2013</w:t>
      </w:r>
      <w:r w:rsidRPr="00993DCB">
        <w:rPr>
          <w:noProof/>
        </w:rPr>
        <w:t>.</w:t>
      </w:r>
    </w:p>
    <w:p w:rsidR="004D74D5" w:rsidRPr="00993DCB" w:rsidRDefault="004D74D5" w:rsidP="008874A9">
      <w:pPr>
        <w:ind w:left="-14"/>
        <w:jc w:val="both"/>
        <w:rPr>
          <w:noProof/>
          <w:sz w:val="10"/>
          <w:szCs w:val="10"/>
        </w:rPr>
      </w:pPr>
    </w:p>
    <w:p w:rsidR="004D74D5" w:rsidRPr="00993DCB" w:rsidRDefault="004D74D5" w:rsidP="00374E23">
      <w:pPr>
        <w:numPr>
          <w:ilvl w:val="0"/>
          <w:numId w:val="1"/>
        </w:numPr>
        <w:ind w:left="-14" w:hanging="204"/>
        <w:jc w:val="both"/>
        <w:rPr>
          <w:noProof/>
        </w:rPr>
      </w:pPr>
      <w:r w:rsidRPr="00993DCB">
        <w:rPr>
          <w:noProof/>
        </w:rPr>
        <w:t>The total fertility rate for Palestinian</w:t>
      </w:r>
      <w:r w:rsidR="00DB7609" w:rsidRPr="00993DCB">
        <w:rPr>
          <w:noProof/>
        </w:rPr>
        <w:t xml:space="preserve"> women</w:t>
      </w:r>
      <w:r w:rsidRPr="00993DCB">
        <w:rPr>
          <w:noProof/>
        </w:rPr>
        <w:t xml:space="preserve"> during </w:t>
      </w:r>
      <w:r w:rsidR="00374E23">
        <w:rPr>
          <w:noProof/>
        </w:rPr>
        <w:t>2013</w:t>
      </w:r>
      <w:r w:rsidRPr="00993DCB">
        <w:rPr>
          <w:noProof/>
        </w:rPr>
        <w:t xml:space="preserve"> was 3.</w:t>
      </w:r>
      <w:r w:rsidR="00374E23">
        <w:rPr>
          <w:noProof/>
        </w:rPr>
        <w:t>15</w:t>
      </w:r>
      <w:r w:rsidRPr="00993DCB">
        <w:rPr>
          <w:noProof/>
        </w:rPr>
        <w:t xml:space="preserve"> births.</w:t>
      </w:r>
    </w:p>
    <w:p w:rsidR="004D74D5" w:rsidRPr="00993DCB" w:rsidRDefault="004D74D5" w:rsidP="008874A9">
      <w:pPr>
        <w:ind w:left="-14"/>
        <w:jc w:val="both"/>
        <w:rPr>
          <w:noProof/>
          <w:sz w:val="10"/>
          <w:szCs w:val="10"/>
        </w:rPr>
      </w:pPr>
    </w:p>
    <w:p w:rsidR="004D74D5" w:rsidRPr="00993DCB" w:rsidRDefault="00DB7609" w:rsidP="009B0D43">
      <w:pPr>
        <w:numPr>
          <w:ilvl w:val="0"/>
          <w:numId w:val="1"/>
        </w:numPr>
        <w:ind w:left="-14" w:hanging="204"/>
        <w:jc w:val="both"/>
        <w:rPr>
          <w:noProof/>
        </w:rPr>
      </w:pPr>
      <w:r w:rsidRPr="00993DCB">
        <w:rPr>
          <w:noProof/>
        </w:rPr>
        <w:t>90.4</w:t>
      </w:r>
      <w:r w:rsidR="004D74D5" w:rsidRPr="00993DCB">
        <w:rPr>
          <w:noProof/>
        </w:rPr>
        <w:t xml:space="preserve">% of Palestinian households </w:t>
      </w:r>
      <w:r w:rsidR="003A59C1">
        <w:rPr>
          <w:noProof/>
        </w:rPr>
        <w:t xml:space="preserve">In 2012 </w:t>
      </w:r>
      <w:r w:rsidR="004D74D5" w:rsidRPr="00993DCB">
        <w:rPr>
          <w:noProof/>
        </w:rPr>
        <w:t>own</w:t>
      </w:r>
      <w:r w:rsidR="003C1A4E">
        <w:rPr>
          <w:noProof/>
        </w:rPr>
        <w:t>ed</w:t>
      </w:r>
      <w:r w:rsidR="004D74D5" w:rsidRPr="00993DCB">
        <w:rPr>
          <w:noProof/>
        </w:rPr>
        <w:t xml:space="preserve"> the housing unit they live</w:t>
      </w:r>
      <w:r w:rsidR="003C1A4E">
        <w:rPr>
          <w:noProof/>
        </w:rPr>
        <w:t>d</w:t>
      </w:r>
      <w:r w:rsidR="004D74D5" w:rsidRPr="00993DCB">
        <w:rPr>
          <w:noProof/>
        </w:rPr>
        <w:t xml:space="preserve"> in.</w:t>
      </w:r>
    </w:p>
    <w:p w:rsidR="004D74D5" w:rsidRPr="00993DCB" w:rsidRDefault="004D74D5" w:rsidP="008874A9">
      <w:pPr>
        <w:ind w:left="-14"/>
        <w:jc w:val="both"/>
        <w:rPr>
          <w:noProof/>
          <w:sz w:val="10"/>
          <w:szCs w:val="10"/>
        </w:rPr>
      </w:pPr>
    </w:p>
    <w:p w:rsidR="004D74D5" w:rsidRPr="00993DCB" w:rsidRDefault="00BD329D" w:rsidP="00331B49">
      <w:pPr>
        <w:numPr>
          <w:ilvl w:val="0"/>
          <w:numId w:val="1"/>
        </w:numPr>
        <w:ind w:left="-14" w:hanging="204"/>
        <w:jc w:val="both"/>
        <w:rPr>
          <w:noProof/>
        </w:rPr>
      </w:pPr>
      <w:r w:rsidRPr="00993DCB">
        <w:rPr>
          <w:noProof/>
        </w:rPr>
        <w:t xml:space="preserve"> </w:t>
      </w:r>
      <w:r w:rsidR="003C1A4E">
        <w:rPr>
          <w:noProof/>
        </w:rPr>
        <w:t xml:space="preserve">9.5% of </w:t>
      </w:r>
      <w:r w:rsidR="00E656F0" w:rsidRPr="00993DCB">
        <w:rPr>
          <w:noProof/>
        </w:rPr>
        <w:t>Palestinian households liv</w:t>
      </w:r>
      <w:r w:rsidR="003C1A4E">
        <w:rPr>
          <w:noProof/>
        </w:rPr>
        <w:t>ed</w:t>
      </w:r>
      <w:r w:rsidR="00E656F0" w:rsidRPr="00993DCB">
        <w:rPr>
          <w:noProof/>
        </w:rPr>
        <w:t xml:space="preserve"> in housing units with a density of two or more persons in 2012</w:t>
      </w:r>
      <w:r w:rsidR="00507D5D" w:rsidRPr="00993DCB">
        <w:rPr>
          <w:noProof/>
        </w:rPr>
        <w:t>.</w:t>
      </w:r>
    </w:p>
    <w:p w:rsidR="004F26B2" w:rsidRPr="00993DCB" w:rsidRDefault="004F26B2" w:rsidP="004F26B2">
      <w:pPr>
        <w:jc w:val="both"/>
        <w:rPr>
          <w:noProof/>
        </w:rPr>
      </w:pPr>
    </w:p>
    <w:p w:rsidR="004D74D5" w:rsidRPr="00993DCB" w:rsidRDefault="004F26B2" w:rsidP="009B0D43">
      <w:pPr>
        <w:numPr>
          <w:ilvl w:val="0"/>
          <w:numId w:val="1"/>
        </w:numPr>
        <w:ind w:left="-14" w:hanging="204"/>
        <w:jc w:val="both"/>
        <w:rPr>
          <w:noProof/>
        </w:rPr>
      </w:pPr>
      <w:r w:rsidRPr="00993DCB">
        <w:rPr>
          <w:noProof/>
        </w:rPr>
        <w:t>The</w:t>
      </w:r>
      <w:r w:rsidR="00AC4BF8" w:rsidRPr="00993DCB">
        <w:rPr>
          <w:noProof/>
        </w:rPr>
        <w:t xml:space="preserve">re were </w:t>
      </w:r>
      <w:r w:rsidR="009B0D43">
        <w:rPr>
          <w:noProof/>
        </w:rPr>
        <w:t>596</w:t>
      </w:r>
      <w:r w:rsidR="00507D5D" w:rsidRPr="00993DCB">
        <w:rPr>
          <w:noProof/>
        </w:rPr>
        <w:t xml:space="preserve"> </w:t>
      </w:r>
      <w:r w:rsidRPr="00993DCB">
        <w:rPr>
          <w:noProof/>
        </w:rPr>
        <w:t xml:space="preserve">primary schools, including </w:t>
      </w:r>
      <w:r w:rsidR="009B0D43">
        <w:rPr>
          <w:noProof/>
        </w:rPr>
        <w:t>527</w:t>
      </w:r>
      <w:r w:rsidR="00507D5D" w:rsidRPr="00993DCB">
        <w:rPr>
          <w:noProof/>
        </w:rPr>
        <w:t xml:space="preserve"> primary </w:t>
      </w:r>
      <w:r w:rsidRPr="00993DCB">
        <w:rPr>
          <w:noProof/>
        </w:rPr>
        <w:t>schools</w:t>
      </w:r>
      <w:r w:rsidR="003C1A4E">
        <w:rPr>
          <w:noProof/>
        </w:rPr>
        <w:t>,</w:t>
      </w:r>
      <w:r w:rsidR="001D3D2C" w:rsidRPr="00993DCB">
        <w:rPr>
          <w:noProof/>
        </w:rPr>
        <w:t xml:space="preserve"> </w:t>
      </w:r>
      <w:r w:rsidR="009B0D43">
        <w:rPr>
          <w:noProof/>
        </w:rPr>
        <w:t>69</w:t>
      </w:r>
      <w:r w:rsidRPr="00993DCB">
        <w:rPr>
          <w:noProof/>
        </w:rPr>
        <w:t xml:space="preserve"> schools for children </w:t>
      </w:r>
      <w:r w:rsidR="00AC4BF8" w:rsidRPr="00993DCB">
        <w:rPr>
          <w:noProof/>
        </w:rPr>
        <w:t>with</w:t>
      </w:r>
      <w:r w:rsidRPr="00993DCB">
        <w:rPr>
          <w:noProof/>
        </w:rPr>
        <w:t xml:space="preserve"> special needs</w:t>
      </w:r>
      <w:r w:rsidR="003C1A4E">
        <w:rPr>
          <w:noProof/>
        </w:rPr>
        <w:t>,</w:t>
      </w:r>
      <w:r w:rsidRPr="00993DCB">
        <w:rPr>
          <w:noProof/>
        </w:rPr>
        <w:t xml:space="preserve"> </w:t>
      </w:r>
      <w:r w:rsidR="009B0D43">
        <w:rPr>
          <w:noProof/>
        </w:rPr>
        <w:t>174</w:t>
      </w:r>
      <w:r w:rsidR="001D3D2C" w:rsidRPr="00993DCB">
        <w:rPr>
          <w:i/>
          <w:iCs/>
        </w:rPr>
        <w:t xml:space="preserve"> </w:t>
      </w:r>
      <w:r w:rsidR="00AC4BF8" w:rsidRPr="00993DCB">
        <w:t>in</w:t>
      </w:r>
      <w:r w:rsidR="001D3D2C" w:rsidRPr="00993DCB">
        <w:t xml:space="preserve">termediate </w:t>
      </w:r>
      <w:r w:rsidR="00AC4BF8" w:rsidRPr="00993DCB">
        <w:t>s</w:t>
      </w:r>
      <w:r w:rsidR="001D3D2C" w:rsidRPr="00993DCB">
        <w:t>chools</w:t>
      </w:r>
      <w:r w:rsidR="001E01DF" w:rsidRPr="00993DCB">
        <w:t xml:space="preserve"> and </w:t>
      </w:r>
      <w:r w:rsidR="009B0D43">
        <w:rPr>
          <w:noProof/>
        </w:rPr>
        <w:t>326</w:t>
      </w:r>
      <w:r w:rsidR="001E01DF" w:rsidRPr="00993DCB">
        <w:rPr>
          <w:noProof/>
        </w:rPr>
        <w:t xml:space="preserve"> </w:t>
      </w:r>
      <w:r w:rsidRPr="00993DCB">
        <w:rPr>
          <w:noProof/>
        </w:rPr>
        <w:t>secondary</w:t>
      </w:r>
      <w:r w:rsidR="00AC4BF8" w:rsidRPr="00993DCB">
        <w:rPr>
          <w:noProof/>
        </w:rPr>
        <w:t xml:space="preserve"> schools</w:t>
      </w:r>
      <w:r w:rsidR="001E01DF" w:rsidRPr="00993DCB">
        <w:rPr>
          <w:noProof/>
        </w:rPr>
        <w:t>.</w:t>
      </w:r>
    </w:p>
    <w:p w:rsidR="006A3BB8" w:rsidRPr="00993DCB" w:rsidRDefault="006A3BB8" w:rsidP="006A3BB8">
      <w:pPr>
        <w:pStyle w:val="ListParagraph"/>
        <w:bidi w:val="0"/>
      </w:pPr>
    </w:p>
    <w:p w:rsidR="006A3BB8" w:rsidRPr="00993DCB" w:rsidRDefault="00AC4BF8" w:rsidP="008D789D">
      <w:pPr>
        <w:numPr>
          <w:ilvl w:val="0"/>
          <w:numId w:val="1"/>
        </w:numPr>
        <w:ind w:left="-14" w:hanging="204"/>
        <w:jc w:val="both"/>
        <w:rPr>
          <w:noProof/>
        </w:rPr>
      </w:pPr>
      <w:r w:rsidRPr="00993DCB">
        <w:rPr>
          <w:noProof/>
        </w:rPr>
        <w:t>The a</w:t>
      </w:r>
      <w:r w:rsidR="006A3BB8" w:rsidRPr="00993DCB">
        <w:rPr>
          <w:noProof/>
        </w:rPr>
        <w:t>verage number of students per class in primary school</w:t>
      </w:r>
      <w:r w:rsidRPr="00993DCB">
        <w:rPr>
          <w:noProof/>
        </w:rPr>
        <w:t>s was</w:t>
      </w:r>
      <w:r w:rsidR="006A3BB8" w:rsidRPr="00993DCB">
        <w:rPr>
          <w:noProof/>
        </w:rPr>
        <w:t xml:space="preserve"> 26 students, in  intermediate </w:t>
      </w:r>
      <w:r w:rsidRPr="00993DCB">
        <w:rPr>
          <w:noProof/>
        </w:rPr>
        <w:t>s</w:t>
      </w:r>
      <w:r w:rsidR="006A3BB8" w:rsidRPr="00993DCB">
        <w:rPr>
          <w:noProof/>
        </w:rPr>
        <w:t>chools i</w:t>
      </w:r>
      <w:r w:rsidRPr="00993DCB">
        <w:rPr>
          <w:noProof/>
        </w:rPr>
        <w:t>t wa</w:t>
      </w:r>
      <w:r w:rsidR="006A3BB8" w:rsidRPr="00993DCB">
        <w:rPr>
          <w:noProof/>
        </w:rPr>
        <w:t>s 28 students per class, and in high school</w:t>
      </w:r>
      <w:r w:rsidRPr="00993DCB">
        <w:rPr>
          <w:noProof/>
        </w:rPr>
        <w:t>s it was</w:t>
      </w:r>
      <w:r w:rsidR="006A3BB8" w:rsidRPr="00993DCB">
        <w:rPr>
          <w:noProof/>
        </w:rPr>
        <w:t xml:space="preserve"> </w:t>
      </w:r>
      <w:r w:rsidR="0075685C" w:rsidRPr="00993DCB">
        <w:rPr>
          <w:noProof/>
        </w:rPr>
        <w:t>26</w:t>
      </w:r>
      <w:r w:rsidR="006A3BB8" w:rsidRPr="00993DCB">
        <w:rPr>
          <w:noProof/>
        </w:rPr>
        <w:t xml:space="preserve"> students </w:t>
      </w:r>
      <w:r w:rsidR="00DC0D97" w:rsidRPr="00993DCB">
        <w:rPr>
          <w:noProof/>
        </w:rPr>
        <w:t xml:space="preserve">per class </w:t>
      </w:r>
      <w:r w:rsidR="006A3BB8" w:rsidRPr="00993DCB">
        <w:rPr>
          <w:noProof/>
        </w:rPr>
        <w:t xml:space="preserve">for the </w:t>
      </w:r>
      <w:r w:rsidR="008D789D">
        <w:rPr>
          <w:noProof/>
        </w:rPr>
        <w:t>2013</w:t>
      </w:r>
      <w:r w:rsidR="006A3BB8" w:rsidRPr="00993DCB">
        <w:rPr>
          <w:noProof/>
        </w:rPr>
        <w:t>/</w:t>
      </w:r>
      <w:r w:rsidR="008D789D">
        <w:rPr>
          <w:noProof/>
        </w:rPr>
        <w:t>2014</w:t>
      </w:r>
      <w:r w:rsidR="006A3BB8" w:rsidRPr="00993DCB">
        <w:rPr>
          <w:noProof/>
        </w:rPr>
        <w:t xml:space="preserve"> </w:t>
      </w:r>
      <w:r w:rsidRPr="00993DCB">
        <w:rPr>
          <w:noProof/>
        </w:rPr>
        <w:t>academic year</w:t>
      </w:r>
      <w:r w:rsidR="00DC0D97" w:rsidRPr="00993DCB">
        <w:rPr>
          <w:noProof/>
        </w:rPr>
        <w:t>.</w:t>
      </w:r>
    </w:p>
    <w:p w:rsidR="006A3BB8" w:rsidRPr="00993DCB" w:rsidRDefault="006A3BB8" w:rsidP="006A3BB8">
      <w:pPr>
        <w:jc w:val="both"/>
        <w:rPr>
          <w:noProof/>
        </w:rPr>
      </w:pPr>
    </w:p>
    <w:p w:rsidR="004A63C4" w:rsidRPr="00993DCB" w:rsidRDefault="004D74D5" w:rsidP="006B2FD7">
      <w:pPr>
        <w:numPr>
          <w:ilvl w:val="0"/>
          <w:numId w:val="1"/>
        </w:numPr>
        <w:ind w:left="-14" w:hanging="204"/>
        <w:jc w:val="both"/>
        <w:rPr>
          <w:noProof/>
        </w:rPr>
      </w:pPr>
      <w:r w:rsidRPr="00993DCB">
        <w:rPr>
          <w:noProof/>
        </w:rPr>
        <w:t xml:space="preserve">The labor force participation rate among Palestinians </w:t>
      </w:r>
      <w:r w:rsidR="006B2FD7">
        <w:rPr>
          <w:noProof/>
        </w:rPr>
        <w:t xml:space="preserve">(15-64) years </w:t>
      </w:r>
      <w:r w:rsidR="00E65930" w:rsidRPr="00993DCB">
        <w:rPr>
          <w:noProof/>
        </w:rPr>
        <w:t>wa</w:t>
      </w:r>
      <w:r w:rsidRPr="00993DCB">
        <w:rPr>
          <w:noProof/>
        </w:rPr>
        <w:t xml:space="preserve">s </w:t>
      </w:r>
      <w:r w:rsidR="0035783F" w:rsidRPr="00993DCB">
        <w:rPr>
          <w:noProof/>
        </w:rPr>
        <w:t>44.4</w:t>
      </w:r>
      <w:r w:rsidRPr="00993DCB">
        <w:rPr>
          <w:noProof/>
        </w:rPr>
        <w:t>%</w:t>
      </w:r>
      <w:r w:rsidR="00EF03E1" w:rsidRPr="00993DCB">
        <w:rPr>
          <w:noProof/>
        </w:rPr>
        <w:t>:</w:t>
      </w:r>
      <w:r w:rsidR="004A63C4" w:rsidRPr="00993DCB">
        <w:rPr>
          <w:noProof/>
        </w:rPr>
        <w:t xml:space="preserve"> 63.1% for males, </w:t>
      </w:r>
      <w:r w:rsidRPr="00993DCB">
        <w:rPr>
          <w:noProof/>
        </w:rPr>
        <w:t>and</w:t>
      </w:r>
      <w:r w:rsidR="004A63C4" w:rsidRPr="00993DCB">
        <w:rPr>
          <w:noProof/>
        </w:rPr>
        <w:t xml:space="preserve"> 25.2% </w:t>
      </w:r>
      <w:r w:rsidR="00EF03E1" w:rsidRPr="00993DCB">
        <w:rPr>
          <w:noProof/>
        </w:rPr>
        <w:t xml:space="preserve">for </w:t>
      </w:r>
      <w:r w:rsidR="004A63C4" w:rsidRPr="00993DCB">
        <w:rPr>
          <w:noProof/>
        </w:rPr>
        <w:t>femal</w:t>
      </w:r>
      <w:r w:rsidR="00AC4BF8" w:rsidRPr="00993DCB">
        <w:rPr>
          <w:noProof/>
        </w:rPr>
        <w:t>e</w:t>
      </w:r>
      <w:r w:rsidR="004A63C4" w:rsidRPr="00993DCB">
        <w:rPr>
          <w:noProof/>
        </w:rPr>
        <w:t>s.</w:t>
      </w:r>
    </w:p>
    <w:p w:rsidR="004A63C4" w:rsidRPr="00993DCB" w:rsidRDefault="004A63C4" w:rsidP="004A63C4">
      <w:pPr>
        <w:pStyle w:val="ListParagraph"/>
      </w:pPr>
    </w:p>
    <w:p w:rsidR="004D74D5" w:rsidRPr="00993DCB" w:rsidRDefault="004D74D5" w:rsidP="00331B49">
      <w:pPr>
        <w:numPr>
          <w:ilvl w:val="0"/>
          <w:numId w:val="1"/>
        </w:numPr>
        <w:ind w:left="-14" w:hanging="204"/>
        <w:jc w:val="both"/>
        <w:rPr>
          <w:noProof/>
        </w:rPr>
      </w:pPr>
      <w:r w:rsidRPr="00993DCB">
        <w:rPr>
          <w:noProof/>
        </w:rPr>
        <w:t xml:space="preserve"> </w:t>
      </w:r>
      <w:r w:rsidR="004A63C4" w:rsidRPr="00993DCB">
        <w:rPr>
          <w:noProof/>
        </w:rPr>
        <w:t>T</w:t>
      </w:r>
      <w:r w:rsidRPr="00993DCB">
        <w:rPr>
          <w:noProof/>
        </w:rPr>
        <w:t xml:space="preserve">he unemployment rate </w:t>
      </w:r>
      <w:r w:rsidR="00E65930" w:rsidRPr="00993DCB">
        <w:rPr>
          <w:noProof/>
        </w:rPr>
        <w:t>was</w:t>
      </w:r>
      <w:r w:rsidRPr="00993DCB">
        <w:rPr>
          <w:noProof/>
        </w:rPr>
        <w:t xml:space="preserve"> </w:t>
      </w:r>
      <w:r w:rsidR="0035783F" w:rsidRPr="00993DCB">
        <w:rPr>
          <w:noProof/>
        </w:rPr>
        <w:t>5.7</w:t>
      </w:r>
      <w:r w:rsidRPr="00993DCB">
        <w:rPr>
          <w:noProof/>
        </w:rPr>
        <w:t>%</w:t>
      </w:r>
      <w:r w:rsidR="00E65930" w:rsidRPr="00993DCB">
        <w:rPr>
          <w:noProof/>
        </w:rPr>
        <w:t>:</w:t>
      </w:r>
      <w:r w:rsidRPr="00993DCB">
        <w:rPr>
          <w:noProof/>
        </w:rPr>
        <w:t xml:space="preserve"> </w:t>
      </w:r>
      <w:r w:rsidR="0035783F" w:rsidRPr="00993DCB">
        <w:rPr>
          <w:noProof/>
        </w:rPr>
        <w:t>7.3</w:t>
      </w:r>
      <w:r w:rsidRPr="00993DCB">
        <w:rPr>
          <w:noProof/>
        </w:rPr>
        <w:t xml:space="preserve">% </w:t>
      </w:r>
      <w:r w:rsidR="00EF03E1" w:rsidRPr="00993DCB">
        <w:rPr>
          <w:noProof/>
        </w:rPr>
        <w:t>for</w:t>
      </w:r>
      <w:r w:rsidRPr="00993DCB">
        <w:rPr>
          <w:noProof/>
        </w:rPr>
        <w:t xml:space="preserve"> females and </w:t>
      </w:r>
      <w:r w:rsidR="0035783F" w:rsidRPr="00993DCB">
        <w:rPr>
          <w:noProof/>
        </w:rPr>
        <w:t>5.0</w:t>
      </w:r>
      <w:r w:rsidRPr="00993DCB">
        <w:rPr>
          <w:noProof/>
        </w:rPr>
        <w:t xml:space="preserve">% </w:t>
      </w:r>
      <w:r w:rsidR="00EF03E1" w:rsidRPr="00993DCB">
        <w:rPr>
          <w:noProof/>
        </w:rPr>
        <w:t>for</w:t>
      </w:r>
      <w:r w:rsidRPr="00993DCB">
        <w:rPr>
          <w:noProof/>
        </w:rPr>
        <w:t xml:space="preserve"> males</w:t>
      </w:r>
      <w:r w:rsidR="008D789D">
        <w:rPr>
          <w:noProof/>
        </w:rPr>
        <w:t xml:space="preserve"> in 2011</w:t>
      </w:r>
      <w:r w:rsidRPr="00993DCB">
        <w:rPr>
          <w:noProof/>
        </w:rPr>
        <w:t>.</w:t>
      </w:r>
    </w:p>
    <w:p w:rsidR="004D74D5" w:rsidRPr="00993DCB" w:rsidRDefault="004D74D5" w:rsidP="008874A9">
      <w:pPr>
        <w:ind w:left="-14"/>
        <w:jc w:val="both"/>
        <w:rPr>
          <w:noProof/>
          <w:sz w:val="10"/>
          <w:szCs w:val="10"/>
        </w:rPr>
      </w:pPr>
    </w:p>
    <w:p w:rsidR="004D74D5" w:rsidRPr="00993DCB" w:rsidRDefault="004D74D5" w:rsidP="008874A9">
      <w:pPr>
        <w:ind w:left="-14"/>
        <w:jc w:val="both"/>
        <w:rPr>
          <w:noProof/>
          <w:sz w:val="12"/>
          <w:szCs w:val="12"/>
        </w:rPr>
      </w:pPr>
    </w:p>
    <w:p w:rsidR="00A2259B" w:rsidRPr="00993DCB" w:rsidRDefault="00C65AB2" w:rsidP="00A2259B">
      <w:pPr>
        <w:pStyle w:val="ListParagraph"/>
        <w:bidi w:val="0"/>
        <w:ind w:left="0"/>
        <w:jc w:val="lowKashida"/>
        <w:rPr>
          <w:rFonts w:cs="Times New Roman"/>
          <w:i/>
          <w:iCs/>
          <w:sz w:val="20"/>
          <w:u w:val="single"/>
        </w:rPr>
      </w:pPr>
      <w:r w:rsidRPr="00993DCB">
        <w:rPr>
          <w:rFonts w:cs="Times New Roman"/>
          <w:i/>
          <w:iCs/>
          <w:sz w:val="20"/>
          <w:u w:val="single"/>
        </w:rPr>
        <w:t>For more detail</w:t>
      </w:r>
      <w:r w:rsidR="00131DBB" w:rsidRPr="00993DCB">
        <w:rPr>
          <w:rFonts w:cs="Times New Roman"/>
          <w:i/>
          <w:iCs/>
          <w:sz w:val="20"/>
          <w:u w:val="single"/>
        </w:rPr>
        <w:t>s</w:t>
      </w:r>
      <w:r w:rsidRPr="00993DCB">
        <w:rPr>
          <w:rFonts w:cs="Times New Roman"/>
          <w:i/>
          <w:iCs/>
          <w:sz w:val="20"/>
          <w:u w:val="single"/>
        </w:rPr>
        <w:t xml:space="preserve"> </w:t>
      </w:r>
      <w:r w:rsidR="00131DBB" w:rsidRPr="00993DCB">
        <w:rPr>
          <w:rFonts w:cs="Times New Roman"/>
          <w:i/>
          <w:iCs/>
          <w:sz w:val="20"/>
          <w:u w:val="single"/>
        </w:rPr>
        <w:t xml:space="preserve">on </w:t>
      </w:r>
      <w:r w:rsidR="00A2259B" w:rsidRPr="00993DCB">
        <w:rPr>
          <w:rFonts w:cs="Times New Roman"/>
          <w:i/>
          <w:iCs/>
          <w:sz w:val="20"/>
          <w:u w:val="single"/>
        </w:rPr>
        <w:t xml:space="preserve">Palestinians in the </w:t>
      </w:r>
      <w:r w:rsidR="003A59C1">
        <w:rPr>
          <w:rFonts w:cs="Times New Roman"/>
          <w:i/>
          <w:iCs/>
          <w:sz w:val="20"/>
          <w:u w:val="single"/>
        </w:rPr>
        <w:t>Occupied Palestinian Territory</w:t>
      </w:r>
      <w:r w:rsidR="00A2259B" w:rsidRPr="00993DCB">
        <w:rPr>
          <w:rFonts w:cs="Times New Roman"/>
          <w:i/>
          <w:iCs/>
          <w:sz w:val="20"/>
          <w:u w:val="single"/>
        </w:rPr>
        <w:t xml:space="preserve"> in 1948</w:t>
      </w:r>
      <w:r w:rsidR="000163BE" w:rsidRPr="00993DCB">
        <w:rPr>
          <w:rFonts w:cs="Times New Roman"/>
          <w:i/>
          <w:iCs/>
          <w:sz w:val="20"/>
          <w:u w:val="single"/>
        </w:rPr>
        <w:t>,</w:t>
      </w:r>
    </w:p>
    <w:p w:rsidR="00C65AB2" w:rsidRPr="00993DCB" w:rsidRDefault="0037009A" w:rsidP="001547A7">
      <w:pPr>
        <w:pStyle w:val="ListParagraph"/>
        <w:bidi w:val="0"/>
        <w:ind w:left="0"/>
        <w:jc w:val="lowKashida"/>
        <w:rPr>
          <w:rFonts w:cs="Times New Roman"/>
          <w:i/>
          <w:iCs/>
          <w:sz w:val="20"/>
          <w:u w:val="single"/>
        </w:rPr>
      </w:pPr>
      <w:r w:rsidRPr="00993DCB">
        <w:rPr>
          <w:rFonts w:cs="Times New Roman"/>
          <w:i/>
          <w:iCs/>
          <w:sz w:val="20"/>
          <w:u w:val="single"/>
        </w:rPr>
        <w:t>see</w:t>
      </w:r>
      <w:r w:rsidR="00131DBB" w:rsidRPr="00993DCB">
        <w:rPr>
          <w:rFonts w:cs="Times New Roman"/>
          <w:i/>
          <w:iCs/>
          <w:sz w:val="20"/>
          <w:u w:val="single"/>
        </w:rPr>
        <w:t xml:space="preserve"> the </w:t>
      </w:r>
      <w:r w:rsidRPr="00993DCB">
        <w:rPr>
          <w:rFonts w:cs="Times New Roman"/>
          <w:i/>
          <w:iCs/>
          <w:sz w:val="20"/>
          <w:u w:val="single"/>
        </w:rPr>
        <w:t xml:space="preserve"> tables </w:t>
      </w:r>
      <w:r w:rsidR="00C65AB2" w:rsidRPr="00993DCB">
        <w:rPr>
          <w:rFonts w:cs="Times New Roman"/>
          <w:i/>
          <w:iCs/>
          <w:sz w:val="20"/>
          <w:u w:val="single"/>
        </w:rPr>
        <w:t xml:space="preserve">in chapter </w:t>
      </w:r>
      <w:r w:rsidR="005910AE" w:rsidRPr="00993DCB">
        <w:rPr>
          <w:rFonts w:cs="Times New Roman"/>
          <w:i/>
          <w:iCs/>
          <w:sz w:val="20"/>
          <w:u w:val="single"/>
        </w:rPr>
        <w:t xml:space="preserve">2 </w:t>
      </w:r>
      <w:r w:rsidR="00131DBB" w:rsidRPr="00993DCB">
        <w:rPr>
          <w:rFonts w:cs="Times New Roman"/>
          <w:i/>
          <w:iCs/>
          <w:sz w:val="20"/>
          <w:u w:val="single"/>
        </w:rPr>
        <w:t>of the</w:t>
      </w:r>
      <w:r w:rsidR="00C65AB2" w:rsidRPr="00993DCB">
        <w:rPr>
          <w:rFonts w:cs="Times New Roman"/>
          <w:i/>
          <w:iCs/>
          <w:sz w:val="20"/>
          <w:u w:val="single"/>
        </w:rPr>
        <w:t xml:space="preserve"> </w:t>
      </w:r>
      <w:r w:rsidR="00654A09" w:rsidRPr="00993DCB">
        <w:rPr>
          <w:rFonts w:cs="Times New Roman"/>
          <w:i/>
          <w:iCs/>
          <w:sz w:val="20"/>
          <w:u w:val="single"/>
        </w:rPr>
        <w:t>Arabic</w:t>
      </w:r>
      <w:r w:rsidR="00C65AB2" w:rsidRPr="00993DCB">
        <w:rPr>
          <w:rFonts w:cs="Times New Roman"/>
          <w:i/>
          <w:iCs/>
          <w:sz w:val="20"/>
          <w:u w:val="single"/>
        </w:rPr>
        <w:t xml:space="preserve"> </w:t>
      </w:r>
      <w:r w:rsidR="00131DBB" w:rsidRPr="00993DCB">
        <w:rPr>
          <w:rFonts w:cs="Times New Roman"/>
          <w:i/>
          <w:iCs/>
          <w:sz w:val="20"/>
          <w:u w:val="single"/>
        </w:rPr>
        <w:t xml:space="preserve">section, </w:t>
      </w:r>
      <w:r w:rsidR="00C65AB2" w:rsidRPr="00993DCB">
        <w:rPr>
          <w:rFonts w:cs="Times New Roman"/>
          <w:i/>
          <w:iCs/>
          <w:sz w:val="20"/>
          <w:u w:val="single"/>
        </w:rPr>
        <w:t>page</w:t>
      </w:r>
      <w:r w:rsidR="00131DBB" w:rsidRPr="00993DCB">
        <w:rPr>
          <w:rFonts w:cs="Times New Roman"/>
          <w:i/>
          <w:iCs/>
          <w:sz w:val="20"/>
          <w:u w:val="single"/>
        </w:rPr>
        <w:t xml:space="preserve">s </w:t>
      </w:r>
      <w:r w:rsidR="001D2BFA">
        <w:rPr>
          <w:rFonts w:cs="Times New Roman"/>
          <w:i/>
          <w:iCs/>
          <w:sz w:val="20"/>
          <w:u w:val="single"/>
        </w:rPr>
        <w:t>2</w:t>
      </w:r>
      <w:r w:rsidR="001547A7">
        <w:rPr>
          <w:rFonts w:cs="Times New Roman"/>
          <w:i/>
          <w:iCs/>
          <w:sz w:val="20"/>
          <w:u w:val="single"/>
        </w:rPr>
        <w:t>25</w:t>
      </w:r>
      <w:r w:rsidR="00C65AB2" w:rsidRPr="00993DCB">
        <w:rPr>
          <w:rFonts w:cs="Times New Roman"/>
          <w:i/>
          <w:iCs/>
          <w:sz w:val="20"/>
          <w:u w:val="single"/>
        </w:rPr>
        <w:t>-</w:t>
      </w:r>
      <w:r w:rsidR="001D2BFA">
        <w:rPr>
          <w:rFonts w:cs="Times New Roman"/>
          <w:i/>
          <w:iCs/>
          <w:sz w:val="20"/>
          <w:u w:val="single"/>
        </w:rPr>
        <w:t>248</w:t>
      </w:r>
      <w:r w:rsidR="00131DBB" w:rsidRPr="00993DCB">
        <w:rPr>
          <w:rFonts w:cs="Times New Roman"/>
          <w:i/>
          <w:iCs/>
          <w:sz w:val="20"/>
          <w:u w:val="single"/>
        </w:rPr>
        <w:t>.</w:t>
      </w:r>
    </w:p>
    <w:p w:rsidR="00C65AB2" w:rsidRPr="00993DCB" w:rsidRDefault="00C65AB2" w:rsidP="00A2259B">
      <w:pPr>
        <w:pStyle w:val="ListParagraph"/>
        <w:bidi w:val="0"/>
        <w:ind w:left="0"/>
        <w:jc w:val="lowKashida"/>
        <w:rPr>
          <w:rFonts w:cs="Times New Roman"/>
          <w:i/>
          <w:iCs/>
          <w:sz w:val="20"/>
          <w:u w:val="single"/>
        </w:rPr>
      </w:pPr>
    </w:p>
    <w:p w:rsidR="00B5698C" w:rsidRPr="00993DCB" w:rsidRDefault="00B5698C" w:rsidP="00B5698C">
      <w:pPr>
        <w:pStyle w:val="Header"/>
        <w:tabs>
          <w:tab w:val="left" w:pos="720"/>
        </w:tabs>
        <w:jc w:val="center"/>
        <w:rPr>
          <w:b/>
          <w:bCs/>
          <w:sz w:val="26"/>
          <w:szCs w:val="26"/>
        </w:rPr>
      </w:pPr>
    </w:p>
    <w:p w:rsidR="00B5698C" w:rsidRPr="00993DCB" w:rsidRDefault="00B5698C" w:rsidP="00B5698C">
      <w:pPr>
        <w:pStyle w:val="Header"/>
        <w:tabs>
          <w:tab w:val="left" w:pos="720"/>
        </w:tabs>
        <w:jc w:val="center"/>
        <w:rPr>
          <w:b/>
          <w:bCs/>
          <w:sz w:val="26"/>
          <w:szCs w:val="26"/>
        </w:rPr>
      </w:pPr>
    </w:p>
    <w:p w:rsidR="00B5698C" w:rsidRPr="00993DCB" w:rsidRDefault="00B5698C" w:rsidP="00B5698C">
      <w:pPr>
        <w:pStyle w:val="Header"/>
        <w:tabs>
          <w:tab w:val="left" w:pos="720"/>
        </w:tabs>
        <w:jc w:val="center"/>
        <w:rPr>
          <w:b/>
          <w:bCs/>
          <w:sz w:val="26"/>
          <w:szCs w:val="26"/>
        </w:rPr>
      </w:pPr>
    </w:p>
    <w:p w:rsidR="003640B2" w:rsidRPr="00993DCB" w:rsidRDefault="003640B2">
      <w:pPr>
        <w:overflowPunct/>
        <w:autoSpaceDE/>
        <w:autoSpaceDN/>
        <w:adjustRightInd/>
        <w:textAlignment w:val="auto"/>
        <w:rPr>
          <w:b/>
          <w:bCs/>
          <w:sz w:val="24"/>
          <w:szCs w:val="24"/>
        </w:rPr>
      </w:pPr>
      <w:r w:rsidRPr="00993DCB">
        <w:rPr>
          <w:b/>
          <w:bCs/>
          <w:sz w:val="24"/>
          <w:szCs w:val="24"/>
        </w:rPr>
        <w:br w:type="page"/>
      </w:r>
    </w:p>
    <w:p w:rsidR="00DE3043" w:rsidRPr="00993DCB" w:rsidRDefault="00DE3043">
      <w:pPr>
        <w:overflowPunct/>
        <w:autoSpaceDE/>
        <w:autoSpaceDN/>
        <w:adjustRightInd/>
        <w:textAlignment w:val="auto"/>
        <w:rPr>
          <w:b/>
          <w:bCs/>
          <w:sz w:val="24"/>
          <w:szCs w:val="24"/>
        </w:rPr>
      </w:pPr>
      <w:r w:rsidRPr="00993DCB">
        <w:rPr>
          <w:b/>
          <w:bCs/>
          <w:sz w:val="24"/>
          <w:szCs w:val="24"/>
        </w:rPr>
        <w:br w:type="page"/>
      </w:r>
    </w:p>
    <w:p w:rsidR="00B5698C" w:rsidRPr="00993DCB" w:rsidRDefault="00C65AB2" w:rsidP="00C65AB2">
      <w:pPr>
        <w:pStyle w:val="Header"/>
        <w:tabs>
          <w:tab w:val="left" w:pos="720"/>
        </w:tabs>
        <w:jc w:val="center"/>
        <w:rPr>
          <w:b/>
          <w:bCs/>
          <w:sz w:val="24"/>
          <w:szCs w:val="24"/>
        </w:rPr>
      </w:pPr>
      <w:r w:rsidRPr="00993DCB">
        <w:rPr>
          <w:b/>
          <w:bCs/>
          <w:sz w:val="24"/>
          <w:szCs w:val="24"/>
        </w:rPr>
        <w:t>Palestinians in the Diaspora</w:t>
      </w:r>
    </w:p>
    <w:p w:rsidR="00B5698C" w:rsidRPr="00993DCB" w:rsidRDefault="007B6827" w:rsidP="00B5698C">
      <w:pPr>
        <w:jc w:val="both"/>
        <w:rPr>
          <w:sz w:val="10"/>
          <w:szCs w:val="10"/>
        </w:rPr>
      </w:pPr>
      <w:r w:rsidRPr="007B6827">
        <w:rPr>
          <w:noProof/>
        </w:rPr>
        <w:pict>
          <v:rect id="_x0000_s1027" style="position:absolute;left:0;text-align:left;margin-left:303.35pt;margin-top:-22.8pt;width:42pt;height:24pt;z-index:251654144">
            <v:textbox style="mso-next-textbox:#_x0000_s1027">
              <w:txbxContent>
                <w:p w:rsidR="00F24436" w:rsidRDefault="00F24436" w:rsidP="003065D4">
                  <w:pPr>
                    <w:jc w:val="center"/>
                    <w:rPr>
                      <w:b/>
                      <w:bCs/>
                      <w:sz w:val="28"/>
                      <w:szCs w:val="28"/>
                    </w:rPr>
                  </w:pPr>
                  <w:r>
                    <w:rPr>
                      <w:b/>
                      <w:bCs/>
                      <w:sz w:val="28"/>
                      <w:szCs w:val="28"/>
                    </w:rPr>
                    <w:t>1.3</w:t>
                  </w:r>
                </w:p>
              </w:txbxContent>
            </v:textbox>
          </v:rect>
        </w:pict>
      </w:r>
    </w:p>
    <w:p w:rsidR="00DC67CE" w:rsidRPr="00993DCB" w:rsidRDefault="00DC67CE" w:rsidP="00DC67CE">
      <w:pPr>
        <w:ind w:left="-14"/>
        <w:jc w:val="both"/>
        <w:rPr>
          <w:noProof/>
        </w:rPr>
      </w:pPr>
      <w:bookmarkStart w:id="1" w:name="OLE_LINK1"/>
    </w:p>
    <w:p w:rsidR="00513745" w:rsidRPr="00993DCB" w:rsidRDefault="00CE5C3E" w:rsidP="007F2FD5">
      <w:pPr>
        <w:numPr>
          <w:ilvl w:val="0"/>
          <w:numId w:val="1"/>
        </w:numPr>
        <w:ind w:left="-14" w:hanging="204"/>
        <w:jc w:val="both"/>
        <w:rPr>
          <w:noProof/>
        </w:rPr>
      </w:pPr>
      <w:r w:rsidRPr="00993DCB">
        <w:rPr>
          <w:noProof/>
        </w:rPr>
        <w:t xml:space="preserve">Palestinians in the world </w:t>
      </w:r>
      <w:r w:rsidR="00513745" w:rsidRPr="00993DCB">
        <w:rPr>
          <w:noProof/>
        </w:rPr>
        <w:t>were estimated to be 11.</w:t>
      </w:r>
      <w:r w:rsidR="00BE65DB">
        <w:rPr>
          <w:noProof/>
        </w:rPr>
        <w:t>8</w:t>
      </w:r>
      <w:r w:rsidR="00513745" w:rsidRPr="00993DCB">
        <w:rPr>
          <w:noProof/>
        </w:rPr>
        <w:t xml:space="preserve"> million at the end of </w:t>
      </w:r>
      <w:r w:rsidR="00BE65DB">
        <w:rPr>
          <w:noProof/>
        </w:rPr>
        <w:t>2013</w:t>
      </w:r>
      <w:r w:rsidR="00513745" w:rsidRPr="00993DCB">
        <w:rPr>
          <w:noProof/>
        </w:rPr>
        <w:t xml:space="preserve">, distributed </w:t>
      </w:r>
      <w:r w:rsidR="00FD62A0" w:rsidRPr="00993DCB">
        <w:rPr>
          <w:noProof/>
        </w:rPr>
        <w:t>by</w:t>
      </w:r>
      <w:r w:rsidR="00513745" w:rsidRPr="00993DCB">
        <w:rPr>
          <w:noProof/>
        </w:rPr>
        <w:t xml:space="preserve"> location as follows: </w:t>
      </w:r>
      <w:r w:rsidR="00BE65DB">
        <w:rPr>
          <w:noProof/>
        </w:rPr>
        <w:t>4.5</w:t>
      </w:r>
      <w:r w:rsidR="00513745" w:rsidRPr="00993DCB">
        <w:rPr>
          <w:noProof/>
        </w:rPr>
        <w:t xml:space="preserve"> million in Palestine, </w:t>
      </w:r>
      <w:r>
        <w:rPr>
          <w:noProof/>
        </w:rPr>
        <w:t>constituting</w:t>
      </w:r>
      <w:r w:rsidR="00513745" w:rsidRPr="00993DCB">
        <w:rPr>
          <w:noProof/>
        </w:rPr>
        <w:t xml:space="preserve"> is </w:t>
      </w:r>
      <w:r w:rsidR="00BE65DB">
        <w:rPr>
          <w:noProof/>
        </w:rPr>
        <w:t>38.0</w:t>
      </w:r>
      <w:r w:rsidR="00513745" w:rsidRPr="00993DCB">
        <w:rPr>
          <w:noProof/>
        </w:rPr>
        <w:t>% of the Palestinian world population; 1.4 million in Israel (12.1%); 5.</w:t>
      </w:r>
      <w:r w:rsidR="00BE65DB">
        <w:rPr>
          <w:noProof/>
        </w:rPr>
        <w:t>3</w:t>
      </w:r>
      <w:r w:rsidR="00513745" w:rsidRPr="00993DCB">
        <w:rPr>
          <w:noProof/>
        </w:rPr>
        <w:t xml:space="preserve"> million in Arab countries (44.</w:t>
      </w:r>
      <w:r w:rsidR="00BE65DB">
        <w:rPr>
          <w:noProof/>
        </w:rPr>
        <w:t>3</w:t>
      </w:r>
      <w:r w:rsidR="00513745" w:rsidRPr="00993DCB">
        <w:rPr>
          <w:noProof/>
        </w:rPr>
        <w:t>%); and 6</w:t>
      </w:r>
      <w:r w:rsidR="007F2FD5">
        <w:rPr>
          <w:noProof/>
        </w:rPr>
        <w:t>6</w:t>
      </w:r>
      <w:r w:rsidR="00513745" w:rsidRPr="00993DCB">
        <w:rPr>
          <w:noProof/>
        </w:rPr>
        <w:t>5 thousand in foreign countries (5.</w:t>
      </w:r>
      <w:r w:rsidR="00BE65DB">
        <w:rPr>
          <w:noProof/>
        </w:rPr>
        <w:t>6</w:t>
      </w:r>
      <w:r w:rsidR="00513745" w:rsidRPr="00993DCB">
        <w:rPr>
          <w:noProof/>
        </w:rPr>
        <w:t>%).</w:t>
      </w:r>
    </w:p>
    <w:p w:rsidR="00B5698C" w:rsidRPr="00993DCB" w:rsidRDefault="00B5698C" w:rsidP="00C65AB2">
      <w:pPr>
        <w:ind w:left="-14"/>
        <w:jc w:val="both"/>
        <w:rPr>
          <w:noProof/>
        </w:rPr>
      </w:pPr>
    </w:p>
    <w:p w:rsidR="00B5698C" w:rsidRPr="00993DCB" w:rsidRDefault="00B5698C" w:rsidP="006A6653">
      <w:pPr>
        <w:numPr>
          <w:ilvl w:val="0"/>
          <w:numId w:val="1"/>
        </w:numPr>
        <w:ind w:left="-14" w:hanging="204"/>
        <w:jc w:val="both"/>
        <w:rPr>
          <w:noProof/>
        </w:rPr>
      </w:pPr>
      <w:r w:rsidRPr="00993DCB">
        <w:rPr>
          <w:noProof/>
        </w:rPr>
        <w:t>The</w:t>
      </w:r>
      <w:r w:rsidR="0011493F" w:rsidRPr="00993DCB">
        <w:rPr>
          <w:noProof/>
        </w:rPr>
        <w:t xml:space="preserve">re were </w:t>
      </w:r>
      <w:r w:rsidR="00340044" w:rsidRPr="00993DCB">
        <w:rPr>
          <w:noProof/>
          <w:rtl/>
        </w:rPr>
        <w:t>5.</w:t>
      </w:r>
      <w:r w:rsidR="006A6653">
        <w:rPr>
          <w:noProof/>
        </w:rPr>
        <w:t>4</w:t>
      </w:r>
      <w:r w:rsidR="00507D5D" w:rsidRPr="00993DCB">
        <w:rPr>
          <w:noProof/>
        </w:rPr>
        <w:t xml:space="preserve"> </w:t>
      </w:r>
      <w:r w:rsidR="0011493F" w:rsidRPr="00993DCB">
        <w:rPr>
          <w:noProof/>
        </w:rPr>
        <w:t>million</w:t>
      </w:r>
      <w:r w:rsidRPr="00993DCB">
        <w:rPr>
          <w:noProof/>
        </w:rPr>
        <w:t xml:space="preserve"> Palestinian refugees </w:t>
      </w:r>
      <w:r w:rsidR="00FD62A0" w:rsidRPr="00993DCB">
        <w:rPr>
          <w:noProof/>
        </w:rPr>
        <w:t xml:space="preserve">registered </w:t>
      </w:r>
      <w:r w:rsidRPr="00993DCB">
        <w:rPr>
          <w:noProof/>
        </w:rPr>
        <w:t xml:space="preserve">in Jordan, Syria, Lebanon, and </w:t>
      </w:r>
      <w:r w:rsidR="0021776D" w:rsidRPr="00993DCB">
        <w:rPr>
          <w:noProof/>
        </w:rPr>
        <w:t>Palestine</w:t>
      </w:r>
      <w:r w:rsidR="006A6653">
        <w:rPr>
          <w:noProof/>
        </w:rPr>
        <w:t xml:space="preserve"> in 2014</w:t>
      </w:r>
      <w:r w:rsidRPr="00993DCB">
        <w:rPr>
          <w:noProof/>
        </w:rPr>
        <w:t>.</w:t>
      </w:r>
    </w:p>
    <w:bookmarkEnd w:id="1"/>
    <w:p w:rsidR="00B5698C" w:rsidRPr="00993DCB" w:rsidRDefault="00B5698C" w:rsidP="006E5A0C">
      <w:pPr>
        <w:jc w:val="both"/>
        <w:rPr>
          <w:noProof/>
        </w:rPr>
      </w:pPr>
    </w:p>
    <w:p w:rsidR="00E26649" w:rsidRDefault="00B5698C" w:rsidP="006A6653">
      <w:pPr>
        <w:numPr>
          <w:ilvl w:val="0"/>
          <w:numId w:val="1"/>
        </w:numPr>
        <w:ind w:left="-14" w:hanging="204"/>
        <w:jc w:val="both"/>
        <w:rPr>
          <w:noProof/>
        </w:rPr>
      </w:pPr>
      <w:r w:rsidRPr="00993DCB">
        <w:rPr>
          <w:noProof/>
        </w:rPr>
        <w:t>The</w:t>
      </w:r>
      <w:r w:rsidR="00FD62A0" w:rsidRPr="00993DCB">
        <w:rPr>
          <w:noProof/>
        </w:rPr>
        <w:t>re were 24</w:t>
      </w:r>
      <w:r w:rsidRPr="00993DCB">
        <w:rPr>
          <w:noProof/>
        </w:rPr>
        <w:t xml:space="preserve"> </w:t>
      </w:r>
      <w:r w:rsidR="00553F6F" w:rsidRPr="00993DCB">
        <w:rPr>
          <w:noProof/>
        </w:rPr>
        <w:t>p</w:t>
      </w:r>
      <w:r w:rsidRPr="00993DCB">
        <w:rPr>
          <w:noProof/>
        </w:rPr>
        <w:t xml:space="preserve">rimary </w:t>
      </w:r>
      <w:r w:rsidR="00553F6F" w:rsidRPr="00993DCB">
        <w:rPr>
          <w:noProof/>
        </w:rPr>
        <w:t>h</w:t>
      </w:r>
      <w:r w:rsidRPr="00993DCB">
        <w:rPr>
          <w:noProof/>
        </w:rPr>
        <w:t xml:space="preserve">ealth </w:t>
      </w:r>
      <w:r w:rsidR="00553F6F" w:rsidRPr="00993DCB">
        <w:rPr>
          <w:noProof/>
        </w:rPr>
        <w:t>c</w:t>
      </w:r>
      <w:r w:rsidRPr="00993DCB">
        <w:rPr>
          <w:noProof/>
        </w:rPr>
        <w:t xml:space="preserve">are </w:t>
      </w:r>
      <w:r w:rsidR="00553F6F" w:rsidRPr="00993DCB">
        <w:rPr>
          <w:noProof/>
        </w:rPr>
        <w:t xml:space="preserve">centers </w:t>
      </w:r>
      <w:r w:rsidRPr="00993DCB">
        <w:rPr>
          <w:noProof/>
        </w:rPr>
        <w:t>in Jordan</w:t>
      </w:r>
      <w:r w:rsidR="00FD62A0" w:rsidRPr="00993DCB">
        <w:rPr>
          <w:noProof/>
        </w:rPr>
        <w:t>, 23</w:t>
      </w:r>
      <w:r w:rsidRPr="00993DCB">
        <w:rPr>
          <w:noProof/>
        </w:rPr>
        <w:t xml:space="preserve"> </w:t>
      </w:r>
      <w:r w:rsidR="00FD62A0" w:rsidRPr="00993DCB">
        <w:rPr>
          <w:noProof/>
        </w:rPr>
        <w:t xml:space="preserve">in </w:t>
      </w:r>
      <w:r w:rsidRPr="00993DCB">
        <w:rPr>
          <w:noProof/>
        </w:rPr>
        <w:t xml:space="preserve">Syria, </w:t>
      </w:r>
      <w:r w:rsidR="00553F6F" w:rsidRPr="00993DCB">
        <w:rPr>
          <w:noProof/>
        </w:rPr>
        <w:t>and</w:t>
      </w:r>
      <w:r w:rsidR="00FD62A0" w:rsidRPr="00993DCB">
        <w:rPr>
          <w:noProof/>
        </w:rPr>
        <w:t xml:space="preserve"> 2</w:t>
      </w:r>
      <w:r w:rsidR="006A6653">
        <w:rPr>
          <w:noProof/>
        </w:rPr>
        <w:t>7</w:t>
      </w:r>
      <w:r w:rsidR="00FD62A0" w:rsidRPr="00993DCB">
        <w:rPr>
          <w:noProof/>
        </w:rPr>
        <w:t xml:space="preserve"> in</w:t>
      </w:r>
      <w:r w:rsidR="00553F6F" w:rsidRPr="00993DCB">
        <w:rPr>
          <w:noProof/>
        </w:rPr>
        <w:t xml:space="preserve"> L</w:t>
      </w:r>
      <w:r w:rsidRPr="00993DCB">
        <w:rPr>
          <w:noProof/>
        </w:rPr>
        <w:t xml:space="preserve">ebanon in </w:t>
      </w:r>
      <w:r w:rsidR="006A6653">
        <w:rPr>
          <w:noProof/>
        </w:rPr>
        <w:t>2014</w:t>
      </w:r>
      <w:r w:rsidRPr="00993DCB">
        <w:rPr>
          <w:noProof/>
        </w:rPr>
        <w:t>.</w:t>
      </w:r>
    </w:p>
    <w:p w:rsidR="00B5698C" w:rsidRPr="00993DCB" w:rsidRDefault="00B5698C" w:rsidP="00E26649">
      <w:pPr>
        <w:jc w:val="both"/>
        <w:rPr>
          <w:noProof/>
        </w:rPr>
      </w:pPr>
      <w:r w:rsidRPr="00993DCB">
        <w:rPr>
          <w:noProof/>
        </w:rPr>
        <w:t xml:space="preserve"> </w:t>
      </w:r>
    </w:p>
    <w:p w:rsidR="00E26649" w:rsidRDefault="00E26649" w:rsidP="00E26649">
      <w:pPr>
        <w:numPr>
          <w:ilvl w:val="0"/>
          <w:numId w:val="1"/>
        </w:numPr>
        <w:ind w:left="-14" w:hanging="204"/>
        <w:jc w:val="both"/>
        <w:rPr>
          <w:noProof/>
        </w:rPr>
      </w:pPr>
      <w:r w:rsidRPr="00993DCB">
        <w:rPr>
          <w:noProof/>
        </w:rPr>
        <w:t>The total number of UNRWA schools was 17</w:t>
      </w:r>
      <w:r>
        <w:rPr>
          <w:noProof/>
        </w:rPr>
        <w:t>3</w:t>
      </w:r>
      <w:r w:rsidRPr="00993DCB">
        <w:rPr>
          <w:noProof/>
        </w:rPr>
        <w:t xml:space="preserve"> schools in Jordan, </w:t>
      </w:r>
      <w:r>
        <w:rPr>
          <w:noProof/>
        </w:rPr>
        <w:t>82</w:t>
      </w:r>
      <w:r w:rsidRPr="00993DCB">
        <w:rPr>
          <w:noProof/>
        </w:rPr>
        <w:t xml:space="preserve"> schools in Syria, and 69 schools in Lebanon in 2012/2013.</w:t>
      </w:r>
    </w:p>
    <w:p w:rsidR="00E26649" w:rsidRPr="00993DCB" w:rsidRDefault="00E26649" w:rsidP="00E26649">
      <w:pPr>
        <w:jc w:val="both"/>
        <w:rPr>
          <w:noProof/>
        </w:rPr>
      </w:pPr>
    </w:p>
    <w:p w:rsidR="00B5698C" w:rsidRPr="00993DCB" w:rsidRDefault="00B5698C" w:rsidP="00486345">
      <w:pPr>
        <w:numPr>
          <w:ilvl w:val="0"/>
          <w:numId w:val="1"/>
        </w:numPr>
        <w:ind w:left="-14" w:hanging="204"/>
        <w:jc w:val="both"/>
        <w:rPr>
          <w:noProof/>
        </w:rPr>
      </w:pPr>
      <w:r w:rsidRPr="00993DCB">
        <w:rPr>
          <w:noProof/>
        </w:rPr>
        <w:t xml:space="preserve">The total number of refugee students in UNRWA </w:t>
      </w:r>
      <w:r w:rsidR="00553F6F" w:rsidRPr="00993DCB">
        <w:rPr>
          <w:noProof/>
        </w:rPr>
        <w:t>s</w:t>
      </w:r>
      <w:r w:rsidRPr="00993DCB">
        <w:rPr>
          <w:noProof/>
        </w:rPr>
        <w:t xml:space="preserve">chools was </w:t>
      </w:r>
      <w:r w:rsidR="008007E2" w:rsidRPr="00993DCB">
        <w:rPr>
          <w:noProof/>
        </w:rPr>
        <w:t>11</w:t>
      </w:r>
      <w:r w:rsidR="006A6653">
        <w:rPr>
          <w:noProof/>
        </w:rPr>
        <w:t>6</w:t>
      </w:r>
      <w:r w:rsidR="008007E2" w:rsidRPr="00993DCB">
        <w:rPr>
          <w:noProof/>
        </w:rPr>
        <w:t>,</w:t>
      </w:r>
      <w:r w:rsidR="006A6653">
        <w:rPr>
          <w:noProof/>
        </w:rPr>
        <w:t>953</w:t>
      </w:r>
      <w:r w:rsidRPr="00993DCB">
        <w:rPr>
          <w:noProof/>
        </w:rPr>
        <w:t xml:space="preserve"> in Jordan, </w:t>
      </w:r>
      <w:r w:rsidR="006A6653">
        <w:rPr>
          <w:noProof/>
        </w:rPr>
        <w:t>32,35</w:t>
      </w:r>
      <w:r w:rsidR="00486345">
        <w:rPr>
          <w:noProof/>
        </w:rPr>
        <w:t>1</w:t>
      </w:r>
      <w:r w:rsidRPr="00993DCB">
        <w:rPr>
          <w:noProof/>
        </w:rPr>
        <w:t xml:space="preserve"> in Lebanon, and </w:t>
      </w:r>
      <w:r w:rsidR="006A6653">
        <w:rPr>
          <w:noProof/>
        </w:rPr>
        <w:t>43,309</w:t>
      </w:r>
      <w:r w:rsidRPr="00993DCB">
        <w:rPr>
          <w:noProof/>
        </w:rPr>
        <w:t xml:space="preserve"> in Syria in </w:t>
      </w:r>
      <w:r w:rsidR="008007E2" w:rsidRPr="00993DCB">
        <w:rPr>
          <w:noProof/>
        </w:rPr>
        <w:t>2012</w:t>
      </w:r>
      <w:r w:rsidR="007C3781" w:rsidRPr="00993DCB">
        <w:rPr>
          <w:noProof/>
        </w:rPr>
        <w:t>/</w:t>
      </w:r>
      <w:r w:rsidR="008007E2" w:rsidRPr="00993DCB">
        <w:rPr>
          <w:noProof/>
        </w:rPr>
        <w:t>2013</w:t>
      </w:r>
      <w:r w:rsidRPr="00993DCB">
        <w:rPr>
          <w:noProof/>
        </w:rPr>
        <w:t xml:space="preserve">. </w:t>
      </w:r>
    </w:p>
    <w:p w:rsidR="00B5698C" w:rsidRPr="00993DCB" w:rsidRDefault="00B5698C" w:rsidP="005910AE">
      <w:pPr>
        <w:ind w:left="-14"/>
        <w:jc w:val="both"/>
        <w:rPr>
          <w:noProof/>
        </w:rPr>
      </w:pPr>
    </w:p>
    <w:p w:rsidR="00B5698C" w:rsidRPr="00993DCB" w:rsidRDefault="00B5698C" w:rsidP="005910AE">
      <w:pPr>
        <w:ind w:left="-14"/>
        <w:jc w:val="both"/>
        <w:rPr>
          <w:noProof/>
        </w:rPr>
      </w:pPr>
    </w:p>
    <w:p w:rsidR="00B5698C" w:rsidRPr="00993DCB" w:rsidRDefault="00B5698C" w:rsidP="008072A6">
      <w:pPr>
        <w:numPr>
          <w:ilvl w:val="0"/>
          <w:numId w:val="1"/>
        </w:numPr>
        <w:ind w:left="-14" w:hanging="204"/>
        <w:jc w:val="both"/>
        <w:rPr>
          <w:noProof/>
        </w:rPr>
      </w:pPr>
      <w:r w:rsidRPr="00993DCB">
        <w:rPr>
          <w:noProof/>
        </w:rPr>
        <w:t xml:space="preserve">The total number of  teaching </w:t>
      </w:r>
      <w:r w:rsidR="00F07E78" w:rsidRPr="00993DCB">
        <w:rPr>
          <w:noProof/>
        </w:rPr>
        <w:t>s</w:t>
      </w:r>
      <w:r w:rsidRPr="00993DCB">
        <w:rPr>
          <w:noProof/>
        </w:rPr>
        <w:t xml:space="preserve">taff in UNRWA schools was </w:t>
      </w:r>
      <w:r w:rsidR="007B3F7D" w:rsidRPr="00993DCB">
        <w:rPr>
          <w:noProof/>
        </w:rPr>
        <w:t>5,5</w:t>
      </w:r>
      <w:r w:rsidR="008072A6">
        <w:rPr>
          <w:noProof/>
        </w:rPr>
        <w:t>97</w:t>
      </w:r>
      <w:r w:rsidRPr="00993DCB">
        <w:rPr>
          <w:noProof/>
        </w:rPr>
        <w:t xml:space="preserve"> in Jordan, </w:t>
      </w:r>
      <w:r w:rsidR="007B3F7D" w:rsidRPr="00993DCB">
        <w:rPr>
          <w:noProof/>
        </w:rPr>
        <w:t>2,7</w:t>
      </w:r>
      <w:r w:rsidR="008072A6">
        <w:rPr>
          <w:noProof/>
        </w:rPr>
        <w:t xml:space="preserve">32 </w:t>
      </w:r>
      <w:r w:rsidRPr="00993DCB">
        <w:rPr>
          <w:noProof/>
        </w:rPr>
        <w:t xml:space="preserve">in Syria, and </w:t>
      </w:r>
      <w:r w:rsidR="008072A6">
        <w:rPr>
          <w:noProof/>
        </w:rPr>
        <w:t>2,043</w:t>
      </w:r>
      <w:r w:rsidRPr="00993DCB">
        <w:rPr>
          <w:noProof/>
        </w:rPr>
        <w:t xml:space="preserve"> in Lebanon in </w:t>
      </w:r>
      <w:r w:rsidR="00507D5D" w:rsidRPr="00993DCB">
        <w:rPr>
          <w:noProof/>
        </w:rPr>
        <w:t>2012/2013</w:t>
      </w:r>
      <w:r w:rsidRPr="00993DCB">
        <w:rPr>
          <w:noProof/>
        </w:rPr>
        <w:t xml:space="preserve">. </w:t>
      </w:r>
    </w:p>
    <w:p w:rsidR="004D74D5" w:rsidRPr="00993DCB" w:rsidRDefault="004D74D5" w:rsidP="00B5698C">
      <w:pPr>
        <w:jc w:val="lowKashida"/>
      </w:pPr>
    </w:p>
    <w:p w:rsidR="005910AE" w:rsidRPr="00993DCB" w:rsidRDefault="005910AE" w:rsidP="00D97775">
      <w:pPr>
        <w:pStyle w:val="ListParagraph"/>
        <w:bidi w:val="0"/>
        <w:ind w:left="0"/>
        <w:jc w:val="lowKashida"/>
        <w:rPr>
          <w:rFonts w:cs="Times New Roman"/>
          <w:i/>
          <w:iCs/>
          <w:sz w:val="20"/>
          <w:u w:val="single"/>
        </w:rPr>
      </w:pPr>
      <w:r w:rsidRPr="00993DCB">
        <w:rPr>
          <w:rFonts w:cs="Times New Roman"/>
          <w:i/>
          <w:iCs/>
          <w:sz w:val="20"/>
          <w:u w:val="single"/>
        </w:rPr>
        <w:t>For more detail</w:t>
      </w:r>
      <w:r w:rsidR="00F07E78" w:rsidRPr="00993DCB">
        <w:rPr>
          <w:rFonts w:cs="Times New Roman"/>
          <w:i/>
          <w:iCs/>
          <w:sz w:val="20"/>
          <w:u w:val="single"/>
        </w:rPr>
        <w:t xml:space="preserve">s on </w:t>
      </w:r>
      <w:r w:rsidRPr="00993DCB">
        <w:rPr>
          <w:rFonts w:cs="Times New Roman"/>
          <w:i/>
          <w:iCs/>
          <w:sz w:val="20"/>
          <w:u w:val="single"/>
        </w:rPr>
        <w:t>Palestinians in the Diaspora</w:t>
      </w:r>
      <w:r w:rsidR="00F07E78" w:rsidRPr="00993DCB">
        <w:rPr>
          <w:rFonts w:cs="Times New Roman"/>
          <w:i/>
          <w:iCs/>
          <w:sz w:val="20"/>
          <w:u w:val="single"/>
        </w:rPr>
        <w:t>,</w:t>
      </w:r>
      <w:r w:rsidRPr="00993DCB">
        <w:rPr>
          <w:rFonts w:cs="Times New Roman"/>
          <w:i/>
          <w:iCs/>
          <w:sz w:val="20"/>
          <w:u w:val="single"/>
        </w:rPr>
        <w:t xml:space="preserve"> </w:t>
      </w:r>
      <w:r w:rsidR="0037009A" w:rsidRPr="00993DCB">
        <w:rPr>
          <w:rFonts w:cs="Times New Roman"/>
          <w:i/>
          <w:iCs/>
          <w:sz w:val="20"/>
          <w:u w:val="single"/>
        </w:rPr>
        <w:t xml:space="preserve">see </w:t>
      </w:r>
      <w:r w:rsidR="00F07E78" w:rsidRPr="00993DCB">
        <w:rPr>
          <w:rFonts w:cs="Times New Roman"/>
          <w:i/>
          <w:iCs/>
          <w:sz w:val="20"/>
          <w:u w:val="single"/>
        </w:rPr>
        <w:t xml:space="preserve">the </w:t>
      </w:r>
      <w:r w:rsidR="0037009A" w:rsidRPr="00993DCB">
        <w:rPr>
          <w:rFonts w:cs="Times New Roman"/>
          <w:i/>
          <w:iCs/>
          <w:sz w:val="20"/>
          <w:u w:val="single"/>
        </w:rPr>
        <w:t xml:space="preserve">tables </w:t>
      </w:r>
      <w:r w:rsidRPr="00993DCB">
        <w:rPr>
          <w:rFonts w:cs="Times New Roman"/>
          <w:i/>
          <w:iCs/>
          <w:sz w:val="20"/>
          <w:u w:val="single"/>
        </w:rPr>
        <w:t xml:space="preserve">in chapter 3 </w:t>
      </w:r>
      <w:r w:rsidR="00F07E78" w:rsidRPr="00993DCB">
        <w:rPr>
          <w:rFonts w:cs="Times New Roman"/>
          <w:i/>
          <w:iCs/>
          <w:sz w:val="20"/>
          <w:u w:val="single"/>
        </w:rPr>
        <w:t>of the</w:t>
      </w:r>
      <w:r w:rsidRPr="00993DCB">
        <w:rPr>
          <w:rFonts w:cs="Times New Roman"/>
          <w:i/>
          <w:iCs/>
          <w:sz w:val="20"/>
          <w:u w:val="single"/>
        </w:rPr>
        <w:t xml:space="preserve"> </w:t>
      </w:r>
      <w:r w:rsidR="00654A09" w:rsidRPr="00993DCB">
        <w:rPr>
          <w:rFonts w:cs="Times New Roman"/>
          <w:i/>
          <w:iCs/>
          <w:sz w:val="20"/>
          <w:u w:val="single"/>
        </w:rPr>
        <w:t>Arabic</w:t>
      </w:r>
      <w:r w:rsidRPr="00993DCB">
        <w:rPr>
          <w:rFonts w:cs="Times New Roman"/>
          <w:i/>
          <w:iCs/>
          <w:sz w:val="20"/>
          <w:u w:val="single"/>
        </w:rPr>
        <w:t xml:space="preserve"> </w:t>
      </w:r>
      <w:r w:rsidR="00F07E78" w:rsidRPr="00993DCB">
        <w:rPr>
          <w:rFonts w:cs="Times New Roman"/>
          <w:i/>
          <w:iCs/>
          <w:sz w:val="20"/>
          <w:u w:val="single"/>
        </w:rPr>
        <w:t xml:space="preserve">section, </w:t>
      </w:r>
      <w:r w:rsidRPr="00993DCB">
        <w:rPr>
          <w:rFonts w:cs="Times New Roman"/>
          <w:i/>
          <w:iCs/>
          <w:sz w:val="20"/>
          <w:u w:val="single"/>
        </w:rPr>
        <w:t>page</w:t>
      </w:r>
      <w:r w:rsidR="00F07E78" w:rsidRPr="00993DCB">
        <w:rPr>
          <w:rFonts w:cs="Times New Roman"/>
          <w:i/>
          <w:iCs/>
          <w:sz w:val="20"/>
          <w:u w:val="single"/>
        </w:rPr>
        <w:t>s</w:t>
      </w:r>
      <w:r w:rsidRPr="00993DCB">
        <w:rPr>
          <w:rFonts w:cs="Times New Roman"/>
          <w:i/>
          <w:iCs/>
          <w:noProof w:val="0"/>
          <w:sz w:val="20"/>
          <w:u w:val="single"/>
          <w:rtl/>
        </w:rPr>
        <w:t xml:space="preserve"> </w:t>
      </w:r>
      <w:r w:rsidR="00874919">
        <w:rPr>
          <w:rFonts w:cs="Times New Roman"/>
          <w:i/>
          <w:iCs/>
          <w:sz w:val="20"/>
          <w:u w:val="single"/>
        </w:rPr>
        <w:t>249</w:t>
      </w:r>
      <w:r w:rsidRPr="00993DCB">
        <w:rPr>
          <w:rFonts w:cs="Times New Roman"/>
          <w:i/>
          <w:iCs/>
          <w:sz w:val="20"/>
          <w:u w:val="single"/>
        </w:rPr>
        <w:t>-</w:t>
      </w:r>
      <w:r w:rsidR="00874919">
        <w:rPr>
          <w:rFonts w:cs="Times New Roman"/>
          <w:i/>
          <w:iCs/>
          <w:sz w:val="20"/>
          <w:u w:val="single"/>
        </w:rPr>
        <w:t>2</w:t>
      </w:r>
      <w:r w:rsidR="00D97775">
        <w:rPr>
          <w:rFonts w:cs="Times New Roman"/>
          <w:i/>
          <w:iCs/>
          <w:sz w:val="20"/>
          <w:u w:val="single"/>
        </w:rPr>
        <w:t>58</w:t>
      </w:r>
      <w:r w:rsidR="00F07E78" w:rsidRPr="00993DCB">
        <w:rPr>
          <w:rFonts w:cs="Times New Roman"/>
          <w:i/>
          <w:iCs/>
          <w:sz w:val="20"/>
          <w:u w:val="single"/>
        </w:rPr>
        <w:t>.</w:t>
      </w: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2173CB" w:rsidRPr="00993DCB" w:rsidRDefault="002173CB" w:rsidP="002173CB">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p w:rsidR="0006733F" w:rsidRPr="00993DCB" w:rsidRDefault="0006733F" w:rsidP="0006733F">
      <w:pPr>
        <w:pStyle w:val="ListParagraph"/>
        <w:bidi w:val="0"/>
        <w:ind w:left="0"/>
        <w:jc w:val="lowKashida"/>
        <w:rPr>
          <w:rFonts w:cs="Times New Roman"/>
          <w:i/>
          <w:iCs/>
          <w:sz w:val="20"/>
          <w:u w:val="single"/>
        </w:rPr>
      </w:pPr>
    </w:p>
    <w:sectPr w:rsidR="0006733F" w:rsidRPr="00993DCB" w:rsidSect="004E4388">
      <w:headerReference w:type="default" r:id="rId22"/>
      <w:footerReference w:type="even" r:id="rId23"/>
      <w:footerReference w:type="default" r:id="rId24"/>
      <w:endnotePr>
        <w:numFmt w:val="lowerLetter"/>
      </w:endnotePr>
      <w:pgSz w:w="9639" w:h="13608" w:code="9"/>
      <w:pgMar w:top="1418" w:right="1418" w:bottom="1418" w:left="1418" w:header="680" w:footer="680" w:gutter="0"/>
      <w:pgNumType w:start="13"/>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24436" w:rsidRDefault="00F24436">
      <w:r>
        <w:separator/>
      </w:r>
    </w:p>
  </w:endnote>
  <w:endnote w:type="continuationSeparator" w:id="0">
    <w:p w:rsidR="00F24436" w:rsidRDefault="00F244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4436" w:rsidRDefault="007B6827">
    <w:pPr>
      <w:pStyle w:val="Footer"/>
      <w:framePr w:wrap="around" w:vAnchor="text" w:hAnchor="margin" w:xAlign="center" w:y="1"/>
      <w:rPr>
        <w:rStyle w:val="PageNumber"/>
      </w:rPr>
    </w:pPr>
    <w:r>
      <w:rPr>
        <w:rStyle w:val="PageNumber"/>
      </w:rPr>
      <w:fldChar w:fldCharType="begin"/>
    </w:r>
    <w:r w:rsidR="00F24436">
      <w:rPr>
        <w:rStyle w:val="PageNumber"/>
      </w:rPr>
      <w:instrText xml:space="preserve">PAGE  </w:instrText>
    </w:r>
    <w:r>
      <w:rPr>
        <w:rStyle w:val="PageNumber"/>
      </w:rPr>
      <w:fldChar w:fldCharType="end"/>
    </w:r>
  </w:p>
  <w:p w:rsidR="00F24436" w:rsidRDefault="00F2443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4436" w:rsidRDefault="00F24436">
    <w:pPr>
      <w:pStyle w:val="Footer"/>
      <w:framePr w:w="522" w:wrap="around" w:vAnchor="text" w:hAnchor="margin" w:xAlign="center" w:y="12"/>
      <w:rPr>
        <w:rStyle w:val="PageNumber"/>
      </w:rPr>
    </w:pPr>
    <w:r>
      <w:rPr>
        <w:rStyle w:val="PageNumber"/>
      </w:rPr>
      <w:t>[</w:t>
    </w:r>
    <w:r w:rsidR="007B6827">
      <w:rPr>
        <w:rStyle w:val="PageNumber"/>
        <w:rFonts w:ascii="Arial" w:hAnsi="Arial" w:cs="Arial"/>
        <w:sz w:val="18"/>
        <w:szCs w:val="18"/>
      </w:rPr>
      <w:fldChar w:fldCharType="begin"/>
    </w:r>
    <w:r>
      <w:rPr>
        <w:rStyle w:val="PageNumber"/>
        <w:rFonts w:ascii="Arial" w:hAnsi="Arial" w:cs="Arial"/>
        <w:sz w:val="18"/>
        <w:szCs w:val="18"/>
      </w:rPr>
      <w:instrText xml:space="preserve">PAGE  </w:instrText>
    </w:r>
    <w:r w:rsidR="007B6827">
      <w:rPr>
        <w:rStyle w:val="PageNumber"/>
        <w:rFonts w:ascii="Arial" w:hAnsi="Arial" w:cs="Arial"/>
        <w:sz w:val="18"/>
        <w:szCs w:val="18"/>
      </w:rPr>
      <w:fldChar w:fldCharType="separate"/>
    </w:r>
    <w:r w:rsidR="00D97775">
      <w:rPr>
        <w:rStyle w:val="PageNumber"/>
        <w:rFonts w:ascii="Arial" w:hAnsi="Arial" w:cs="Arial"/>
        <w:noProof/>
        <w:sz w:val="18"/>
        <w:szCs w:val="18"/>
      </w:rPr>
      <w:t>34</w:t>
    </w:r>
    <w:r w:rsidR="007B6827">
      <w:rPr>
        <w:rStyle w:val="PageNumber"/>
        <w:rFonts w:ascii="Arial" w:hAnsi="Arial" w:cs="Arial"/>
        <w:sz w:val="18"/>
        <w:szCs w:val="18"/>
      </w:rPr>
      <w:fldChar w:fldCharType="end"/>
    </w:r>
    <w:r>
      <w:rPr>
        <w:rStyle w:val="PageNumber"/>
      </w:rPr>
      <w:t>]</w:t>
    </w:r>
  </w:p>
  <w:p w:rsidR="00F24436" w:rsidRDefault="00F2443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24436" w:rsidRDefault="00F24436">
      <w:r>
        <w:separator/>
      </w:r>
    </w:p>
  </w:footnote>
  <w:footnote w:type="continuationSeparator" w:id="0">
    <w:p w:rsidR="00F24436" w:rsidRDefault="00F244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4436" w:rsidRPr="00940590" w:rsidRDefault="00F24436" w:rsidP="00AC252D">
    <w:pPr>
      <w:pStyle w:val="Footer"/>
      <w:rPr>
        <w:sz w:val="16"/>
        <w:szCs w:val="16"/>
      </w:rPr>
    </w:pPr>
    <w:r>
      <w:rPr>
        <w:sz w:val="16"/>
      </w:rPr>
      <w:t>PCBS: Statistical Yearbook of  Palestine 2014</w:t>
    </w:r>
    <w:r>
      <w:rPr>
        <w:sz w:val="16"/>
        <w:szCs w:val="16"/>
      </w:rPr>
      <w:t xml:space="preserve">                                                                             Summary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932F90"/>
    <w:multiLevelType w:val="hybridMultilevel"/>
    <w:tmpl w:val="BF161F64"/>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3D4B1CDF"/>
    <w:multiLevelType w:val="hybridMultilevel"/>
    <w:tmpl w:val="47DAC31C"/>
    <w:lvl w:ilvl="0" w:tplc="04010001">
      <w:start w:val="1"/>
      <w:numFmt w:val="bullet"/>
      <w:lvlText w:val=""/>
      <w:lvlJc w:val="left"/>
      <w:pPr>
        <w:tabs>
          <w:tab w:val="num" w:pos="1920"/>
        </w:tabs>
        <w:ind w:left="1920" w:hanging="360"/>
      </w:pPr>
      <w:rPr>
        <w:rFonts w:ascii="Symbol" w:hAnsi="Symbol" w:hint="default"/>
      </w:rPr>
    </w:lvl>
    <w:lvl w:ilvl="1" w:tplc="253E4536">
      <w:start w:val="3438"/>
      <w:numFmt w:val="bullet"/>
      <w:lvlText w:val="-"/>
      <w:lvlJc w:val="left"/>
      <w:pPr>
        <w:tabs>
          <w:tab w:val="num" w:pos="1440"/>
        </w:tabs>
        <w:ind w:left="1440" w:hanging="360"/>
      </w:pPr>
      <w:rPr>
        <w:rFonts w:ascii="Times New Roman" w:eastAsia="Times New Roman" w:hAnsi="Times New Roman"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3">
    <w:nsid w:val="4CC84C72"/>
    <w:multiLevelType w:val="hybridMultilevel"/>
    <w:tmpl w:val="F200ACF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
    <w:nsid w:val="5D473BC0"/>
    <w:multiLevelType w:val="hybridMultilevel"/>
    <w:tmpl w:val="69CE68DE"/>
    <w:lvl w:ilvl="0" w:tplc="0409000F">
      <w:start w:val="1"/>
      <w:numFmt w:val="decimal"/>
      <w:lvlText w:val="%1."/>
      <w:lvlJc w:val="left"/>
      <w:pPr>
        <w:ind w:left="928"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71104B87"/>
    <w:multiLevelType w:val="hybridMultilevel"/>
    <w:tmpl w:val="AB6CC03E"/>
    <w:lvl w:ilvl="0" w:tplc="04090001">
      <w:start w:val="1"/>
      <w:numFmt w:val="bullet"/>
      <w:lvlText w:val=""/>
      <w:lvlJc w:val="left"/>
      <w:pPr>
        <w:ind w:left="928"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
  </w:num>
  <w:num w:numId="2">
    <w:abstractNumId w:val="4"/>
  </w:num>
  <w:num w:numId="3">
    <w:abstractNumId w:val="2"/>
  </w:num>
  <w:num w:numId="4">
    <w:abstractNumId w:val="0"/>
  </w:num>
  <w:num w:numId="5">
    <w:abstractNumId w:val="5"/>
  </w:num>
  <w:num w:numId="6">
    <w:abstractNumId w:val="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1F2744"/>
    <w:rsid w:val="000015AB"/>
    <w:rsid w:val="0000259E"/>
    <w:rsid w:val="00003109"/>
    <w:rsid w:val="0000480C"/>
    <w:rsid w:val="0000488C"/>
    <w:rsid w:val="00005108"/>
    <w:rsid w:val="0000650F"/>
    <w:rsid w:val="000106C1"/>
    <w:rsid w:val="00011A35"/>
    <w:rsid w:val="00011E19"/>
    <w:rsid w:val="0001622B"/>
    <w:rsid w:val="000163BE"/>
    <w:rsid w:val="00017619"/>
    <w:rsid w:val="00017E1B"/>
    <w:rsid w:val="00020126"/>
    <w:rsid w:val="00021930"/>
    <w:rsid w:val="00022560"/>
    <w:rsid w:val="000249A2"/>
    <w:rsid w:val="00043B52"/>
    <w:rsid w:val="00044754"/>
    <w:rsid w:val="00045CF3"/>
    <w:rsid w:val="00047837"/>
    <w:rsid w:val="00047EAC"/>
    <w:rsid w:val="0005015E"/>
    <w:rsid w:val="00054038"/>
    <w:rsid w:val="0005542D"/>
    <w:rsid w:val="00061A8B"/>
    <w:rsid w:val="0006485A"/>
    <w:rsid w:val="000666B9"/>
    <w:rsid w:val="0006733F"/>
    <w:rsid w:val="00067375"/>
    <w:rsid w:val="00070810"/>
    <w:rsid w:val="00072214"/>
    <w:rsid w:val="0007478A"/>
    <w:rsid w:val="00075F09"/>
    <w:rsid w:val="00081EDB"/>
    <w:rsid w:val="00082D3C"/>
    <w:rsid w:val="00083337"/>
    <w:rsid w:val="0009119F"/>
    <w:rsid w:val="00091DCE"/>
    <w:rsid w:val="00091ED2"/>
    <w:rsid w:val="00091FE1"/>
    <w:rsid w:val="00093168"/>
    <w:rsid w:val="00093CDA"/>
    <w:rsid w:val="00094867"/>
    <w:rsid w:val="00095B20"/>
    <w:rsid w:val="0009637A"/>
    <w:rsid w:val="000A09DD"/>
    <w:rsid w:val="000A0A5F"/>
    <w:rsid w:val="000A4DED"/>
    <w:rsid w:val="000A54C4"/>
    <w:rsid w:val="000A66E8"/>
    <w:rsid w:val="000A6F09"/>
    <w:rsid w:val="000A7477"/>
    <w:rsid w:val="000B1056"/>
    <w:rsid w:val="000B3D9A"/>
    <w:rsid w:val="000B61E4"/>
    <w:rsid w:val="000B6AA1"/>
    <w:rsid w:val="000C06B4"/>
    <w:rsid w:val="000C0E16"/>
    <w:rsid w:val="000C5F6C"/>
    <w:rsid w:val="000C603D"/>
    <w:rsid w:val="000D1B92"/>
    <w:rsid w:val="000D23AB"/>
    <w:rsid w:val="000D29C8"/>
    <w:rsid w:val="000D67F7"/>
    <w:rsid w:val="000D6E1F"/>
    <w:rsid w:val="000E02DB"/>
    <w:rsid w:val="000E0593"/>
    <w:rsid w:val="000E54C9"/>
    <w:rsid w:val="000E5EC7"/>
    <w:rsid w:val="000E674F"/>
    <w:rsid w:val="000F0472"/>
    <w:rsid w:val="000F24DF"/>
    <w:rsid w:val="000F596E"/>
    <w:rsid w:val="000F7498"/>
    <w:rsid w:val="00100B2A"/>
    <w:rsid w:val="00100DEE"/>
    <w:rsid w:val="00103712"/>
    <w:rsid w:val="0010450F"/>
    <w:rsid w:val="00106734"/>
    <w:rsid w:val="001115AF"/>
    <w:rsid w:val="0011493F"/>
    <w:rsid w:val="00120A84"/>
    <w:rsid w:val="00122AF9"/>
    <w:rsid w:val="00124D0C"/>
    <w:rsid w:val="00131DBB"/>
    <w:rsid w:val="001323E7"/>
    <w:rsid w:val="0013290F"/>
    <w:rsid w:val="0013461D"/>
    <w:rsid w:val="00136C35"/>
    <w:rsid w:val="00136C7B"/>
    <w:rsid w:val="00136CB3"/>
    <w:rsid w:val="00140A7B"/>
    <w:rsid w:val="00144BA5"/>
    <w:rsid w:val="0014747E"/>
    <w:rsid w:val="00147B13"/>
    <w:rsid w:val="00151479"/>
    <w:rsid w:val="00151781"/>
    <w:rsid w:val="0015181E"/>
    <w:rsid w:val="001536CF"/>
    <w:rsid w:val="001547A7"/>
    <w:rsid w:val="00155A01"/>
    <w:rsid w:val="001562EF"/>
    <w:rsid w:val="0016525E"/>
    <w:rsid w:val="00165F15"/>
    <w:rsid w:val="00170FC8"/>
    <w:rsid w:val="00174786"/>
    <w:rsid w:val="0017498C"/>
    <w:rsid w:val="001800DC"/>
    <w:rsid w:val="001837A1"/>
    <w:rsid w:val="001933C6"/>
    <w:rsid w:val="00195ED8"/>
    <w:rsid w:val="00196D6C"/>
    <w:rsid w:val="0019762D"/>
    <w:rsid w:val="001A2CD9"/>
    <w:rsid w:val="001A36C7"/>
    <w:rsid w:val="001A3CD5"/>
    <w:rsid w:val="001A7CA1"/>
    <w:rsid w:val="001B1777"/>
    <w:rsid w:val="001B27A0"/>
    <w:rsid w:val="001B5EAF"/>
    <w:rsid w:val="001B7799"/>
    <w:rsid w:val="001B7E25"/>
    <w:rsid w:val="001C1E25"/>
    <w:rsid w:val="001C2022"/>
    <w:rsid w:val="001C677E"/>
    <w:rsid w:val="001C78D5"/>
    <w:rsid w:val="001D1072"/>
    <w:rsid w:val="001D2BFA"/>
    <w:rsid w:val="001D322D"/>
    <w:rsid w:val="001D3D2C"/>
    <w:rsid w:val="001D7B23"/>
    <w:rsid w:val="001E01DF"/>
    <w:rsid w:val="001E12D6"/>
    <w:rsid w:val="001E1456"/>
    <w:rsid w:val="001E51C5"/>
    <w:rsid w:val="001E7870"/>
    <w:rsid w:val="001F2744"/>
    <w:rsid w:val="001F4E37"/>
    <w:rsid w:val="001F74C6"/>
    <w:rsid w:val="002006D5"/>
    <w:rsid w:val="00202785"/>
    <w:rsid w:val="002076DF"/>
    <w:rsid w:val="00210CA8"/>
    <w:rsid w:val="002110DB"/>
    <w:rsid w:val="002115DE"/>
    <w:rsid w:val="002154FF"/>
    <w:rsid w:val="0021699B"/>
    <w:rsid w:val="00216CB6"/>
    <w:rsid w:val="002173CB"/>
    <w:rsid w:val="0021776D"/>
    <w:rsid w:val="00217ABF"/>
    <w:rsid w:val="00222F55"/>
    <w:rsid w:val="00223297"/>
    <w:rsid w:val="0022405C"/>
    <w:rsid w:val="00224C27"/>
    <w:rsid w:val="00225AC5"/>
    <w:rsid w:val="0022731B"/>
    <w:rsid w:val="0023449A"/>
    <w:rsid w:val="00235572"/>
    <w:rsid w:val="0024191B"/>
    <w:rsid w:val="00241BFB"/>
    <w:rsid w:val="00243D35"/>
    <w:rsid w:val="00244AEA"/>
    <w:rsid w:val="00244D09"/>
    <w:rsid w:val="0024588D"/>
    <w:rsid w:val="0024656E"/>
    <w:rsid w:val="002475BA"/>
    <w:rsid w:val="00247A14"/>
    <w:rsid w:val="00250031"/>
    <w:rsid w:val="00254951"/>
    <w:rsid w:val="00254BAB"/>
    <w:rsid w:val="00255560"/>
    <w:rsid w:val="00255750"/>
    <w:rsid w:val="002575BC"/>
    <w:rsid w:val="002626AB"/>
    <w:rsid w:val="002632FA"/>
    <w:rsid w:val="00263455"/>
    <w:rsid w:val="002667DE"/>
    <w:rsid w:val="002678CA"/>
    <w:rsid w:val="00267A35"/>
    <w:rsid w:val="00270BFD"/>
    <w:rsid w:val="0027211E"/>
    <w:rsid w:val="00275CE5"/>
    <w:rsid w:val="00277240"/>
    <w:rsid w:val="002806F7"/>
    <w:rsid w:val="00281833"/>
    <w:rsid w:val="00283DE2"/>
    <w:rsid w:val="00284E7A"/>
    <w:rsid w:val="00286F02"/>
    <w:rsid w:val="0029075F"/>
    <w:rsid w:val="00292787"/>
    <w:rsid w:val="00293AAC"/>
    <w:rsid w:val="00294CFB"/>
    <w:rsid w:val="00296098"/>
    <w:rsid w:val="002970BC"/>
    <w:rsid w:val="002977AC"/>
    <w:rsid w:val="002B0279"/>
    <w:rsid w:val="002B2E9C"/>
    <w:rsid w:val="002B408A"/>
    <w:rsid w:val="002B59C8"/>
    <w:rsid w:val="002B5BBC"/>
    <w:rsid w:val="002B6D87"/>
    <w:rsid w:val="002B6FBB"/>
    <w:rsid w:val="002B7837"/>
    <w:rsid w:val="002C0B20"/>
    <w:rsid w:val="002C1706"/>
    <w:rsid w:val="002C181A"/>
    <w:rsid w:val="002C1DC7"/>
    <w:rsid w:val="002C203F"/>
    <w:rsid w:val="002C3479"/>
    <w:rsid w:val="002C3589"/>
    <w:rsid w:val="002C3725"/>
    <w:rsid w:val="002C4BB1"/>
    <w:rsid w:val="002C6B04"/>
    <w:rsid w:val="002D0291"/>
    <w:rsid w:val="002D3119"/>
    <w:rsid w:val="002D4A3D"/>
    <w:rsid w:val="002D4B94"/>
    <w:rsid w:val="002E1695"/>
    <w:rsid w:val="002E767E"/>
    <w:rsid w:val="002E77CD"/>
    <w:rsid w:val="002F0183"/>
    <w:rsid w:val="002F05C0"/>
    <w:rsid w:val="002F09D0"/>
    <w:rsid w:val="002F2337"/>
    <w:rsid w:val="002F3F43"/>
    <w:rsid w:val="002F6423"/>
    <w:rsid w:val="003019B4"/>
    <w:rsid w:val="0030277E"/>
    <w:rsid w:val="00302C09"/>
    <w:rsid w:val="003065D4"/>
    <w:rsid w:val="003066A7"/>
    <w:rsid w:val="00307709"/>
    <w:rsid w:val="00310097"/>
    <w:rsid w:val="00310246"/>
    <w:rsid w:val="00310AD8"/>
    <w:rsid w:val="00313EC0"/>
    <w:rsid w:val="00315739"/>
    <w:rsid w:val="00316F33"/>
    <w:rsid w:val="003203D2"/>
    <w:rsid w:val="00320722"/>
    <w:rsid w:val="0032238A"/>
    <w:rsid w:val="00322601"/>
    <w:rsid w:val="003233AA"/>
    <w:rsid w:val="003234F3"/>
    <w:rsid w:val="00324085"/>
    <w:rsid w:val="003265C1"/>
    <w:rsid w:val="00327ACB"/>
    <w:rsid w:val="00331B49"/>
    <w:rsid w:val="0033655E"/>
    <w:rsid w:val="00337EA8"/>
    <w:rsid w:val="00340044"/>
    <w:rsid w:val="00345ADA"/>
    <w:rsid w:val="0035336D"/>
    <w:rsid w:val="00354F1F"/>
    <w:rsid w:val="0035714C"/>
    <w:rsid w:val="0035783F"/>
    <w:rsid w:val="00357C35"/>
    <w:rsid w:val="003632E1"/>
    <w:rsid w:val="00363918"/>
    <w:rsid w:val="003640B2"/>
    <w:rsid w:val="003667BF"/>
    <w:rsid w:val="0037009A"/>
    <w:rsid w:val="00371581"/>
    <w:rsid w:val="003715A5"/>
    <w:rsid w:val="00373FAB"/>
    <w:rsid w:val="00374E23"/>
    <w:rsid w:val="00375AB4"/>
    <w:rsid w:val="00375BB8"/>
    <w:rsid w:val="003764AD"/>
    <w:rsid w:val="003775B1"/>
    <w:rsid w:val="00380F9D"/>
    <w:rsid w:val="00382641"/>
    <w:rsid w:val="00382A28"/>
    <w:rsid w:val="00383330"/>
    <w:rsid w:val="003834A2"/>
    <w:rsid w:val="00383AFC"/>
    <w:rsid w:val="0038645D"/>
    <w:rsid w:val="00386641"/>
    <w:rsid w:val="00392B31"/>
    <w:rsid w:val="00392CBC"/>
    <w:rsid w:val="0039372B"/>
    <w:rsid w:val="00396BC1"/>
    <w:rsid w:val="003A0054"/>
    <w:rsid w:val="003A0CEF"/>
    <w:rsid w:val="003A186C"/>
    <w:rsid w:val="003A2BC6"/>
    <w:rsid w:val="003A3451"/>
    <w:rsid w:val="003A59C1"/>
    <w:rsid w:val="003A7749"/>
    <w:rsid w:val="003B05A9"/>
    <w:rsid w:val="003B59B1"/>
    <w:rsid w:val="003B7076"/>
    <w:rsid w:val="003C0114"/>
    <w:rsid w:val="003C1A4E"/>
    <w:rsid w:val="003C2A27"/>
    <w:rsid w:val="003C35FF"/>
    <w:rsid w:val="003C6808"/>
    <w:rsid w:val="003C6E13"/>
    <w:rsid w:val="003D5424"/>
    <w:rsid w:val="003D6A54"/>
    <w:rsid w:val="003D7780"/>
    <w:rsid w:val="003E06A1"/>
    <w:rsid w:val="003E4CA5"/>
    <w:rsid w:val="003E50BD"/>
    <w:rsid w:val="003E58F6"/>
    <w:rsid w:val="003E6F05"/>
    <w:rsid w:val="003E7079"/>
    <w:rsid w:val="003E7B2E"/>
    <w:rsid w:val="003F0986"/>
    <w:rsid w:val="003F278D"/>
    <w:rsid w:val="003F2B8D"/>
    <w:rsid w:val="003F6F59"/>
    <w:rsid w:val="00401B52"/>
    <w:rsid w:val="00402E9F"/>
    <w:rsid w:val="004032A8"/>
    <w:rsid w:val="004038F2"/>
    <w:rsid w:val="00404CEC"/>
    <w:rsid w:val="00405A6A"/>
    <w:rsid w:val="004144D6"/>
    <w:rsid w:val="004224DA"/>
    <w:rsid w:val="00423529"/>
    <w:rsid w:val="00424569"/>
    <w:rsid w:val="00427B05"/>
    <w:rsid w:val="004304CD"/>
    <w:rsid w:val="00431046"/>
    <w:rsid w:val="004320A6"/>
    <w:rsid w:val="00433353"/>
    <w:rsid w:val="0043358A"/>
    <w:rsid w:val="0043477E"/>
    <w:rsid w:val="00435E73"/>
    <w:rsid w:val="00440D1E"/>
    <w:rsid w:val="004433F1"/>
    <w:rsid w:val="0044376A"/>
    <w:rsid w:val="00443F3F"/>
    <w:rsid w:val="0044506A"/>
    <w:rsid w:val="004466EC"/>
    <w:rsid w:val="00451E35"/>
    <w:rsid w:val="004540C3"/>
    <w:rsid w:val="00454622"/>
    <w:rsid w:val="00454844"/>
    <w:rsid w:val="0045625E"/>
    <w:rsid w:val="00456F8D"/>
    <w:rsid w:val="00461A2E"/>
    <w:rsid w:val="004654EC"/>
    <w:rsid w:val="00465928"/>
    <w:rsid w:val="0046752A"/>
    <w:rsid w:val="00473F2D"/>
    <w:rsid w:val="004756FF"/>
    <w:rsid w:val="00486336"/>
    <w:rsid w:val="00486345"/>
    <w:rsid w:val="00490556"/>
    <w:rsid w:val="004911B5"/>
    <w:rsid w:val="00491633"/>
    <w:rsid w:val="00492F7A"/>
    <w:rsid w:val="00493418"/>
    <w:rsid w:val="00493CAB"/>
    <w:rsid w:val="004959C4"/>
    <w:rsid w:val="00496346"/>
    <w:rsid w:val="0049664F"/>
    <w:rsid w:val="00497C9A"/>
    <w:rsid w:val="004A0CDC"/>
    <w:rsid w:val="004A1DA4"/>
    <w:rsid w:val="004A2C49"/>
    <w:rsid w:val="004A4EF6"/>
    <w:rsid w:val="004A63C4"/>
    <w:rsid w:val="004A7881"/>
    <w:rsid w:val="004B0F81"/>
    <w:rsid w:val="004B10B0"/>
    <w:rsid w:val="004B147B"/>
    <w:rsid w:val="004B3DF8"/>
    <w:rsid w:val="004C1713"/>
    <w:rsid w:val="004C1793"/>
    <w:rsid w:val="004C1FDF"/>
    <w:rsid w:val="004C43C7"/>
    <w:rsid w:val="004C75AA"/>
    <w:rsid w:val="004D35F9"/>
    <w:rsid w:val="004D4069"/>
    <w:rsid w:val="004D46F8"/>
    <w:rsid w:val="004D5716"/>
    <w:rsid w:val="004D74D5"/>
    <w:rsid w:val="004D7F69"/>
    <w:rsid w:val="004E088A"/>
    <w:rsid w:val="004E1D7F"/>
    <w:rsid w:val="004E21FA"/>
    <w:rsid w:val="004E2C7F"/>
    <w:rsid w:val="004E37A9"/>
    <w:rsid w:val="004E4388"/>
    <w:rsid w:val="004E4E14"/>
    <w:rsid w:val="004E76FB"/>
    <w:rsid w:val="004F1987"/>
    <w:rsid w:val="004F26B2"/>
    <w:rsid w:val="004F3968"/>
    <w:rsid w:val="004F6AFD"/>
    <w:rsid w:val="004F78ED"/>
    <w:rsid w:val="005041AB"/>
    <w:rsid w:val="0050539C"/>
    <w:rsid w:val="00505688"/>
    <w:rsid w:val="00507D5D"/>
    <w:rsid w:val="00511744"/>
    <w:rsid w:val="00513252"/>
    <w:rsid w:val="00513745"/>
    <w:rsid w:val="00514489"/>
    <w:rsid w:val="005201A7"/>
    <w:rsid w:val="005223F2"/>
    <w:rsid w:val="00522C0E"/>
    <w:rsid w:val="00522CD0"/>
    <w:rsid w:val="00525669"/>
    <w:rsid w:val="00525D54"/>
    <w:rsid w:val="005267B8"/>
    <w:rsid w:val="005305C1"/>
    <w:rsid w:val="00534F58"/>
    <w:rsid w:val="00535C8E"/>
    <w:rsid w:val="00536F59"/>
    <w:rsid w:val="005379F4"/>
    <w:rsid w:val="00541634"/>
    <w:rsid w:val="0054211F"/>
    <w:rsid w:val="00542338"/>
    <w:rsid w:val="00543C36"/>
    <w:rsid w:val="00544396"/>
    <w:rsid w:val="00545861"/>
    <w:rsid w:val="00546837"/>
    <w:rsid w:val="00553F6F"/>
    <w:rsid w:val="005543C0"/>
    <w:rsid w:val="005546C6"/>
    <w:rsid w:val="00554881"/>
    <w:rsid w:val="00560460"/>
    <w:rsid w:val="00561192"/>
    <w:rsid w:val="00562033"/>
    <w:rsid w:val="0056479E"/>
    <w:rsid w:val="005650E2"/>
    <w:rsid w:val="00571A8D"/>
    <w:rsid w:val="00574101"/>
    <w:rsid w:val="0057496E"/>
    <w:rsid w:val="00575708"/>
    <w:rsid w:val="005763BE"/>
    <w:rsid w:val="00585CE9"/>
    <w:rsid w:val="00587632"/>
    <w:rsid w:val="00587A80"/>
    <w:rsid w:val="005903E2"/>
    <w:rsid w:val="005910AE"/>
    <w:rsid w:val="00592B2E"/>
    <w:rsid w:val="00593EEA"/>
    <w:rsid w:val="00593FDB"/>
    <w:rsid w:val="00594760"/>
    <w:rsid w:val="005A0462"/>
    <w:rsid w:val="005A0B49"/>
    <w:rsid w:val="005A0E60"/>
    <w:rsid w:val="005A1CA1"/>
    <w:rsid w:val="005A4A90"/>
    <w:rsid w:val="005B1240"/>
    <w:rsid w:val="005B13F7"/>
    <w:rsid w:val="005B2552"/>
    <w:rsid w:val="005B2DFF"/>
    <w:rsid w:val="005B326E"/>
    <w:rsid w:val="005B4E65"/>
    <w:rsid w:val="005B5FA2"/>
    <w:rsid w:val="005C0043"/>
    <w:rsid w:val="005C4373"/>
    <w:rsid w:val="005C6960"/>
    <w:rsid w:val="005C6F28"/>
    <w:rsid w:val="005D17B4"/>
    <w:rsid w:val="005D438D"/>
    <w:rsid w:val="005D59EF"/>
    <w:rsid w:val="005E059A"/>
    <w:rsid w:val="005E06E9"/>
    <w:rsid w:val="005E0A94"/>
    <w:rsid w:val="005E1639"/>
    <w:rsid w:val="005E547F"/>
    <w:rsid w:val="005E5669"/>
    <w:rsid w:val="005E602E"/>
    <w:rsid w:val="005F04D7"/>
    <w:rsid w:val="005F3DB3"/>
    <w:rsid w:val="005F6BD9"/>
    <w:rsid w:val="00600BEF"/>
    <w:rsid w:val="0060287C"/>
    <w:rsid w:val="00604554"/>
    <w:rsid w:val="0060517A"/>
    <w:rsid w:val="00607032"/>
    <w:rsid w:val="00607221"/>
    <w:rsid w:val="00610B44"/>
    <w:rsid w:val="006124BA"/>
    <w:rsid w:val="00612A14"/>
    <w:rsid w:val="00612BA7"/>
    <w:rsid w:val="00612C88"/>
    <w:rsid w:val="006131A9"/>
    <w:rsid w:val="00613D4B"/>
    <w:rsid w:val="00614845"/>
    <w:rsid w:val="00615A7D"/>
    <w:rsid w:val="006174CE"/>
    <w:rsid w:val="00617D2D"/>
    <w:rsid w:val="00620154"/>
    <w:rsid w:val="006205E3"/>
    <w:rsid w:val="00620D12"/>
    <w:rsid w:val="0062122C"/>
    <w:rsid w:val="00621EBA"/>
    <w:rsid w:val="0062241A"/>
    <w:rsid w:val="00631F7C"/>
    <w:rsid w:val="00633F58"/>
    <w:rsid w:val="00635987"/>
    <w:rsid w:val="006422EF"/>
    <w:rsid w:val="00643687"/>
    <w:rsid w:val="006478C9"/>
    <w:rsid w:val="00653C1C"/>
    <w:rsid w:val="00654A09"/>
    <w:rsid w:val="0065586C"/>
    <w:rsid w:val="00657DBE"/>
    <w:rsid w:val="00662BC1"/>
    <w:rsid w:val="0066334F"/>
    <w:rsid w:val="0066531E"/>
    <w:rsid w:val="00666B9E"/>
    <w:rsid w:val="00671E0F"/>
    <w:rsid w:val="00672F17"/>
    <w:rsid w:val="00672FDC"/>
    <w:rsid w:val="00674237"/>
    <w:rsid w:val="0067653E"/>
    <w:rsid w:val="00677EA8"/>
    <w:rsid w:val="00680941"/>
    <w:rsid w:val="006835F2"/>
    <w:rsid w:val="006838D4"/>
    <w:rsid w:val="0068756D"/>
    <w:rsid w:val="0069760D"/>
    <w:rsid w:val="006A16F2"/>
    <w:rsid w:val="006A3BB8"/>
    <w:rsid w:val="006A43F2"/>
    <w:rsid w:val="006A480D"/>
    <w:rsid w:val="006A56BF"/>
    <w:rsid w:val="006A6653"/>
    <w:rsid w:val="006B14B4"/>
    <w:rsid w:val="006B2FD7"/>
    <w:rsid w:val="006B688E"/>
    <w:rsid w:val="006C05EF"/>
    <w:rsid w:val="006C0C7B"/>
    <w:rsid w:val="006C389D"/>
    <w:rsid w:val="006C393D"/>
    <w:rsid w:val="006C456B"/>
    <w:rsid w:val="006C4981"/>
    <w:rsid w:val="006C655C"/>
    <w:rsid w:val="006D0475"/>
    <w:rsid w:val="006D1D65"/>
    <w:rsid w:val="006D47EA"/>
    <w:rsid w:val="006D488A"/>
    <w:rsid w:val="006D5CA8"/>
    <w:rsid w:val="006D63DB"/>
    <w:rsid w:val="006D7EB6"/>
    <w:rsid w:val="006E182A"/>
    <w:rsid w:val="006E4D15"/>
    <w:rsid w:val="006E5A0C"/>
    <w:rsid w:val="006E7AA6"/>
    <w:rsid w:val="006F548A"/>
    <w:rsid w:val="006F5872"/>
    <w:rsid w:val="007011F4"/>
    <w:rsid w:val="00705AB9"/>
    <w:rsid w:val="00705B88"/>
    <w:rsid w:val="00711258"/>
    <w:rsid w:val="00712314"/>
    <w:rsid w:val="00713F54"/>
    <w:rsid w:val="00725C87"/>
    <w:rsid w:val="0072762D"/>
    <w:rsid w:val="007315CD"/>
    <w:rsid w:val="00731B17"/>
    <w:rsid w:val="00737622"/>
    <w:rsid w:val="00742E69"/>
    <w:rsid w:val="00750558"/>
    <w:rsid w:val="00750D11"/>
    <w:rsid w:val="0075121A"/>
    <w:rsid w:val="007529DC"/>
    <w:rsid w:val="00755AF2"/>
    <w:rsid w:val="0075685C"/>
    <w:rsid w:val="00764D02"/>
    <w:rsid w:val="0077140D"/>
    <w:rsid w:val="007738FE"/>
    <w:rsid w:val="0077398D"/>
    <w:rsid w:val="00774090"/>
    <w:rsid w:val="00774D64"/>
    <w:rsid w:val="00776F83"/>
    <w:rsid w:val="00780D81"/>
    <w:rsid w:val="00781801"/>
    <w:rsid w:val="0078224A"/>
    <w:rsid w:val="00782BD2"/>
    <w:rsid w:val="00784B6E"/>
    <w:rsid w:val="00784C88"/>
    <w:rsid w:val="00786396"/>
    <w:rsid w:val="00791B7B"/>
    <w:rsid w:val="00794F64"/>
    <w:rsid w:val="00796097"/>
    <w:rsid w:val="007A1711"/>
    <w:rsid w:val="007B25B4"/>
    <w:rsid w:val="007B304A"/>
    <w:rsid w:val="007B3F7D"/>
    <w:rsid w:val="007B5179"/>
    <w:rsid w:val="007B6827"/>
    <w:rsid w:val="007B6FB3"/>
    <w:rsid w:val="007C01D8"/>
    <w:rsid w:val="007C0AD4"/>
    <w:rsid w:val="007C0C59"/>
    <w:rsid w:val="007C0E75"/>
    <w:rsid w:val="007C1D05"/>
    <w:rsid w:val="007C1EF6"/>
    <w:rsid w:val="007C2276"/>
    <w:rsid w:val="007C3781"/>
    <w:rsid w:val="007C667B"/>
    <w:rsid w:val="007C6E2E"/>
    <w:rsid w:val="007C6EC4"/>
    <w:rsid w:val="007D2472"/>
    <w:rsid w:val="007D545A"/>
    <w:rsid w:val="007D56EF"/>
    <w:rsid w:val="007D6F58"/>
    <w:rsid w:val="007E08CD"/>
    <w:rsid w:val="007E2C8E"/>
    <w:rsid w:val="007E3204"/>
    <w:rsid w:val="007E3217"/>
    <w:rsid w:val="007E4539"/>
    <w:rsid w:val="007E7C0F"/>
    <w:rsid w:val="007F2FD5"/>
    <w:rsid w:val="007F5098"/>
    <w:rsid w:val="007F5CEB"/>
    <w:rsid w:val="007F6361"/>
    <w:rsid w:val="007F7517"/>
    <w:rsid w:val="008007E2"/>
    <w:rsid w:val="008037A0"/>
    <w:rsid w:val="008061EE"/>
    <w:rsid w:val="008062F6"/>
    <w:rsid w:val="008072A6"/>
    <w:rsid w:val="0081017A"/>
    <w:rsid w:val="00811F37"/>
    <w:rsid w:val="00814ADB"/>
    <w:rsid w:val="008165C8"/>
    <w:rsid w:val="00817E68"/>
    <w:rsid w:val="008225F0"/>
    <w:rsid w:val="008245A6"/>
    <w:rsid w:val="00826F36"/>
    <w:rsid w:val="00832526"/>
    <w:rsid w:val="00833658"/>
    <w:rsid w:val="0083495F"/>
    <w:rsid w:val="00837CFB"/>
    <w:rsid w:val="008409F9"/>
    <w:rsid w:val="00842A8F"/>
    <w:rsid w:val="008527F8"/>
    <w:rsid w:val="00853613"/>
    <w:rsid w:val="00854415"/>
    <w:rsid w:val="008570DA"/>
    <w:rsid w:val="00862027"/>
    <w:rsid w:val="008625AF"/>
    <w:rsid w:val="00862A2E"/>
    <w:rsid w:val="008670D4"/>
    <w:rsid w:val="00870F0F"/>
    <w:rsid w:val="00874919"/>
    <w:rsid w:val="00875AAE"/>
    <w:rsid w:val="00877603"/>
    <w:rsid w:val="00880271"/>
    <w:rsid w:val="00880942"/>
    <w:rsid w:val="00880D90"/>
    <w:rsid w:val="0088280E"/>
    <w:rsid w:val="008851F3"/>
    <w:rsid w:val="008874A9"/>
    <w:rsid w:val="008874EA"/>
    <w:rsid w:val="00887AD2"/>
    <w:rsid w:val="00890368"/>
    <w:rsid w:val="00891594"/>
    <w:rsid w:val="0089455F"/>
    <w:rsid w:val="008947C1"/>
    <w:rsid w:val="00895BBD"/>
    <w:rsid w:val="008A1107"/>
    <w:rsid w:val="008A3912"/>
    <w:rsid w:val="008A39BE"/>
    <w:rsid w:val="008A52DE"/>
    <w:rsid w:val="008A55CD"/>
    <w:rsid w:val="008A6B2C"/>
    <w:rsid w:val="008B0FCA"/>
    <w:rsid w:val="008B24B4"/>
    <w:rsid w:val="008B26F1"/>
    <w:rsid w:val="008B6887"/>
    <w:rsid w:val="008B6E67"/>
    <w:rsid w:val="008B7B5C"/>
    <w:rsid w:val="008C1216"/>
    <w:rsid w:val="008C195B"/>
    <w:rsid w:val="008C3292"/>
    <w:rsid w:val="008C5C42"/>
    <w:rsid w:val="008C6863"/>
    <w:rsid w:val="008D0615"/>
    <w:rsid w:val="008D1EBD"/>
    <w:rsid w:val="008D332F"/>
    <w:rsid w:val="008D4636"/>
    <w:rsid w:val="008D542E"/>
    <w:rsid w:val="008D789D"/>
    <w:rsid w:val="008E09B8"/>
    <w:rsid w:val="008E31AC"/>
    <w:rsid w:val="008E4F9A"/>
    <w:rsid w:val="008F1D52"/>
    <w:rsid w:val="008F30EC"/>
    <w:rsid w:val="008F370C"/>
    <w:rsid w:val="008F38AB"/>
    <w:rsid w:val="008F5082"/>
    <w:rsid w:val="008F5FFD"/>
    <w:rsid w:val="00910BC8"/>
    <w:rsid w:val="009179E8"/>
    <w:rsid w:val="00921292"/>
    <w:rsid w:val="00925F51"/>
    <w:rsid w:val="00925FC1"/>
    <w:rsid w:val="00927E20"/>
    <w:rsid w:val="00930C14"/>
    <w:rsid w:val="00931DF8"/>
    <w:rsid w:val="009322B9"/>
    <w:rsid w:val="00933212"/>
    <w:rsid w:val="009344D3"/>
    <w:rsid w:val="00937667"/>
    <w:rsid w:val="00940590"/>
    <w:rsid w:val="00940D39"/>
    <w:rsid w:val="009414AD"/>
    <w:rsid w:val="009442E8"/>
    <w:rsid w:val="00945749"/>
    <w:rsid w:val="0094684D"/>
    <w:rsid w:val="00947206"/>
    <w:rsid w:val="00952B6B"/>
    <w:rsid w:val="009539D1"/>
    <w:rsid w:val="00955A54"/>
    <w:rsid w:val="00961317"/>
    <w:rsid w:val="00961EFA"/>
    <w:rsid w:val="00963EE7"/>
    <w:rsid w:val="00970879"/>
    <w:rsid w:val="00971A94"/>
    <w:rsid w:val="009723CC"/>
    <w:rsid w:val="009760D1"/>
    <w:rsid w:val="00977EDB"/>
    <w:rsid w:val="00981761"/>
    <w:rsid w:val="00982D5E"/>
    <w:rsid w:val="00983E64"/>
    <w:rsid w:val="00987C99"/>
    <w:rsid w:val="00990270"/>
    <w:rsid w:val="009912A7"/>
    <w:rsid w:val="00992842"/>
    <w:rsid w:val="0099392C"/>
    <w:rsid w:val="00993DCB"/>
    <w:rsid w:val="009A048D"/>
    <w:rsid w:val="009A1CD5"/>
    <w:rsid w:val="009A3496"/>
    <w:rsid w:val="009A45A3"/>
    <w:rsid w:val="009A496E"/>
    <w:rsid w:val="009A588F"/>
    <w:rsid w:val="009A63A4"/>
    <w:rsid w:val="009A6B6C"/>
    <w:rsid w:val="009A6B93"/>
    <w:rsid w:val="009B0D43"/>
    <w:rsid w:val="009B41E9"/>
    <w:rsid w:val="009B60FF"/>
    <w:rsid w:val="009B717E"/>
    <w:rsid w:val="009C673D"/>
    <w:rsid w:val="009C76D2"/>
    <w:rsid w:val="009D1876"/>
    <w:rsid w:val="009D6FC3"/>
    <w:rsid w:val="009D75B3"/>
    <w:rsid w:val="009E0BE9"/>
    <w:rsid w:val="009E5718"/>
    <w:rsid w:val="009E756D"/>
    <w:rsid w:val="009E7FDF"/>
    <w:rsid w:val="009F661D"/>
    <w:rsid w:val="009F67F1"/>
    <w:rsid w:val="009F740E"/>
    <w:rsid w:val="009F7EDC"/>
    <w:rsid w:val="00A00753"/>
    <w:rsid w:val="00A02349"/>
    <w:rsid w:val="00A029EB"/>
    <w:rsid w:val="00A035A0"/>
    <w:rsid w:val="00A0418B"/>
    <w:rsid w:val="00A06E12"/>
    <w:rsid w:val="00A11FA5"/>
    <w:rsid w:val="00A152BD"/>
    <w:rsid w:val="00A16476"/>
    <w:rsid w:val="00A16E73"/>
    <w:rsid w:val="00A17E25"/>
    <w:rsid w:val="00A2259B"/>
    <w:rsid w:val="00A22BB9"/>
    <w:rsid w:val="00A22E91"/>
    <w:rsid w:val="00A23DC6"/>
    <w:rsid w:val="00A2520F"/>
    <w:rsid w:val="00A27764"/>
    <w:rsid w:val="00A27DFC"/>
    <w:rsid w:val="00A30AF7"/>
    <w:rsid w:val="00A31D8B"/>
    <w:rsid w:val="00A37BB9"/>
    <w:rsid w:val="00A4064A"/>
    <w:rsid w:val="00A41FD6"/>
    <w:rsid w:val="00A42491"/>
    <w:rsid w:val="00A43340"/>
    <w:rsid w:val="00A43B68"/>
    <w:rsid w:val="00A43DB2"/>
    <w:rsid w:val="00A45309"/>
    <w:rsid w:val="00A47B75"/>
    <w:rsid w:val="00A501EC"/>
    <w:rsid w:val="00A52B7A"/>
    <w:rsid w:val="00A54FED"/>
    <w:rsid w:val="00A60DAD"/>
    <w:rsid w:val="00A6325E"/>
    <w:rsid w:val="00A732F8"/>
    <w:rsid w:val="00A76A91"/>
    <w:rsid w:val="00A76E1C"/>
    <w:rsid w:val="00A80E00"/>
    <w:rsid w:val="00A814BA"/>
    <w:rsid w:val="00A822B8"/>
    <w:rsid w:val="00A84354"/>
    <w:rsid w:val="00A84923"/>
    <w:rsid w:val="00A8596B"/>
    <w:rsid w:val="00A8756C"/>
    <w:rsid w:val="00A975C3"/>
    <w:rsid w:val="00AA0C8F"/>
    <w:rsid w:val="00AA5253"/>
    <w:rsid w:val="00AA6C6C"/>
    <w:rsid w:val="00AA7CE0"/>
    <w:rsid w:val="00AB15D2"/>
    <w:rsid w:val="00AB1B8A"/>
    <w:rsid w:val="00AB2ED8"/>
    <w:rsid w:val="00AB376C"/>
    <w:rsid w:val="00AB76A9"/>
    <w:rsid w:val="00AC149B"/>
    <w:rsid w:val="00AC252D"/>
    <w:rsid w:val="00AC418C"/>
    <w:rsid w:val="00AC4BF8"/>
    <w:rsid w:val="00AD3740"/>
    <w:rsid w:val="00AD5AB0"/>
    <w:rsid w:val="00AD62A3"/>
    <w:rsid w:val="00AD66B3"/>
    <w:rsid w:val="00AD7F60"/>
    <w:rsid w:val="00AE3877"/>
    <w:rsid w:val="00AE4151"/>
    <w:rsid w:val="00AF3270"/>
    <w:rsid w:val="00AF46DB"/>
    <w:rsid w:val="00AF7B29"/>
    <w:rsid w:val="00B00AF9"/>
    <w:rsid w:val="00B02992"/>
    <w:rsid w:val="00B04EE8"/>
    <w:rsid w:val="00B065AF"/>
    <w:rsid w:val="00B07395"/>
    <w:rsid w:val="00B10A06"/>
    <w:rsid w:val="00B12511"/>
    <w:rsid w:val="00B13645"/>
    <w:rsid w:val="00B14B89"/>
    <w:rsid w:val="00B16572"/>
    <w:rsid w:val="00B20D22"/>
    <w:rsid w:val="00B21173"/>
    <w:rsid w:val="00B217F3"/>
    <w:rsid w:val="00B22124"/>
    <w:rsid w:val="00B223AE"/>
    <w:rsid w:val="00B3203C"/>
    <w:rsid w:val="00B32C81"/>
    <w:rsid w:val="00B33B83"/>
    <w:rsid w:val="00B34826"/>
    <w:rsid w:val="00B40462"/>
    <w:rsid w:val="00B441D7"/>
    <w:rsid w:val="00B4532E"/>
    <w:rsid w:val="00B454B3"/>
    <w:rsid w:val="00B4605C"/>
    <w:rsid w:val="00B469CC"/>
    <w:rsid w:val="00B50761"/>
    <w:rsid w:val="00B51998"/>
    <w:rsid w:val="00B538FD"/>
    <w:rsid w:val="00B5698C"/>
    <w:rsid w:val="00B56D61"/>
    <w:rsid w:val="00B60821"/>
    <w:rsid w:val="00B648E3"/>
    <w:rsid w:val="00B65C06"/>
    <w:rsid w:val="00B66DC6"/>
    <w:rsid w:val="00B71C22"/>
    <w:rsid w:val="00B7249D"/>
    <w:rsid w:val="00B725A7"/>
    <w:rsid w:val="00B739A0"/>
    <w:rsid w:val="00B770E3"/>
    <w:rsid w:val="00B81BCF"/>
    <w:rsid w:val="00B83009"/>
    <w:rsid w:val="00B845BC"/>
    <w:rsid w:val="00B86DBD"/>
    <w:rsid w:val="00B87C88"/>
    <w:rsid w:val="00B913DD"/>
    <w:rsid w:val="00B9221E"/>
    <w:rsid w:val="00B9275F"/>
    <w:rsid w:val="00B92D78"/>
    <w:rsid w:val="00B93D80"/>
    <w:rsid w:val="00B9473D"/>
    <w:rsid w:val="00B955C1"/>
    <w:rsid w:val="00B96B95"/>
    <w:rsid w:val="00BA02BF"/>
    <w:rsid w:val="00BA2D33"/>
    <w:rsid w:val="00BA3C8E"/>
    <w:rsid w:val="00BA7A05"/>
    <w:rsid w:val="00BB03BF"/>
    <w:rsid w:val="00BB388D"/>
    <w:rsid w:val="00BB4107"/>
    <w:rsid w:val="00BB78B8"/>
    <w:rsid w:val="00BC02A4"/>
    <w:rsid w:val="00BC1B04"/>
    <w:rsid w:val="00BC1C28"/>
    <w:rsid w:val="00BC2C72"/>
    <w:rsid w:val="00BC2F17"/>
    <w:rsid w:val="00BC5179"/>
    <w:rsid w:val="00BC6CF0"/>
    <w:rsid w:val="00BD298D"/>
    <w:rsid w:val="00BD31A8"/>
    <w:rsid w:val="00BD329D"/>
    <w:rsid w:val="00BD66DB"/>
    <w:rsid w:val="00BD794D"/>
    <w:rsid w:val="00BE03D0"/>
    <w:rsid w:val="00BE47A2"/>
    <w:rsid w:val="00BE65DB"/>
    <w:rsid w:val="00BE75F7"/>
    <w:rsid w:val="00BE7EEE"/>
    <w:rsid w:val="00BF6D57"/>
    <w:rsid w:val="00BF7650"/>
    <w:rsid w:val="00C03B60"/>
    <w:rsid w:val="00C04C5C"/>
    <w:rsid w:val="00C04E4D"/>
    <w:rsid w:val="00C12604"/>
    <w:rsid w:val="00C15471"/>
    <w:rsid w:val="00C26100"/>
    <w:rsid w:val="00C263D1"/>
    <w:rsid w:val="00C26565"/>
    <w:rsid w:val="00C30210"/>
    <w:rsid w:val="00C30535"/>
    <w:rsid w:val="00C33C4B"/>
    <w:rsid w:val="00C34D64"/>
    <w:rsid w:val="00C3797F"/>
    <w:rsid w:val="00C403FA"/>
    <w:rsid w:val="00C41319"/>
    <w:rsid w:val="00C41E72"/>
    <w:rsid w:val="00C41ED5"/>
    <w:rsid w:val="00C435A3"/>
    <w:rsid w:val="00C440ED"/>
    <w:rsid w:val="00C45E32"/>
    <w:rsid w:val="00C50379"/>
    <w:rsid w:val="00C50941"/>
    <w:rsid w:val="00C532BE"/>
    <w:rsid w:val="00C61630"/>
    <w:rsid w:val="00C65613"/>
    <w:rsid w:val="00C65AB2"/>
    <w:rsid w:val="00C7084F"/>
    <w:rsid w:val="00C71336"/>
    <w:rsid w:val="00C76ACC"/>
    <w:rsid w:val="00C7713D"/>
    <w:rsid w:val="00C8289E"/>
    <w:rsid w:val="00C84D84"/>
    <w:rsid w:val="00C8519C"/>
    <w:rsid w:val="00C8647C"/>
    <w:rsid w:val="00C86E7A"/>
    <w:rsid w:val="00C91A59"/>
    <w:rsid w:val="00C92751"/>
    <w:rsid w:val="00C92BBE"/>
    <w:rsid w:val="00C94057"/>
    <w:rsid w:val="00CA16F0"/>
    <w:rsid w:val="00CA293E"/>
    <w:rsid w:val="00CA32D5"/>
    <w:rsid w:val="00CB0EB5"/>
    <w:rsid w:val="00CB23EE"/>
    <w:rsid w:val="00CB2A1F"/>
    <w:rsid w:val="00CB3264"/>
    <w:rsid w:val="00CB4EC5"/>
    <w:rsid w:val="00CB5198"/>
    <w:rsid w:val="00CB6085"/>
    <w:rsid w:val="00CC1B9E"/>
    <w:rsid w:val="00CC49EC"/>
    <w:rsid w:val="00CC62D0"/>
    <w:rsid w:val="00CC640A"/>
    <w:rsid w:val="00CC6ED1"/>
    <w:rsid w:val="00CD0961"/>
    <w:rsid w:val="00CD3362"/>
    <w:rsid w:val="00CD575C"/>
    <w:rsid w:val="00CD578F"/>
    <w:rsid w:val="00CD5C21"/>
    <w:rsid w:val="00CD5EC2"/>
    <w:rsid w:val="00CD6421"/>
    <w:rsid w:val="00CE0F60"/>
    <w:rsid w:val="00CE1DFA"/>
    <w:rsid w:val="00CE3DF7"/>
    <w:rsid w:val="00CE441C"/>
    <w:rsid w:val="00CE4623"/>
    <w:rsid w:val="00CE5BE2"/>
    <w:rsid w:val="00CE5C3E"/>
    <w:rsid w:val="00CE7080"/>
    <w:rsid w:val="00CE71BA"/>
    <w:rsid w:val="00CF0474"/>
    <w:rsid w:val="00CF33D5"/>
    <w:rsid w:val="00D0123C"/>
    <w:rsid w:val="00D02F6E"/>
    <w:rsid w:val="00D0390F"/>
    <w:rsid w:val="00D077E3"/>
    <w:rsid w:val="00D1072F"/>
    <w:rsid w:val="00D10DB1"/>
    <w:rsid w:val="00D12B46"/>
    <w:rsid w:val="00D12C4F"/>
    <w:rsid w:val="00D163D2"/>
    <w:rsid w:val="00D176D1"/>
    <w:rsid w:val="00D17F6C"/>
    <w:rsid w:val="00D21D9F"/>
    <w:rsid w:val="00D2451C"/>
    <w:rsid w:val="00D26299"/>
    <w:rsid w:val="00D31B1B"/>
    <w:rsid w:val="00D34B31"/>
    <w:rsid w:val="00D35429"/>
    <w:rsid w:val="00D35AFF"/>
    <w:rsid w:val="00D35EE6"/>
    <w:rsid w:val="00D402BC"/>
    <w:rsid w:val="00D40F30"/>
    <w:rsid w:val="00D42140"/>
    <w:rsid w:val="00D45D3C"/>
    <w:rsid w:val="00D4619B"/>
    <w:rsid w:val="00D50142"/>
    <w:rsid w:val="00D5190D"/>
    <w:rsid w:val="00D529EA"/>
    <w:rsid w:val="00D53073"/>
    <w:rsid w:val="00D57EC7"/>
    <w:rsid w:val="00D660B5"/>
    <w:rsid w:val="00D67784"/>
    <w:rsid w:val="00D67BA0"/>
    <w:rsid w:val="00D75389"/>
    <w:rsid w:val="00D76259"/>
    <w:rsid w:val="00D86C36"/>
    <w:rsid w:val="00D9029F"/>
    <w:rsid w:val="00D97775"/>
    <w:rsid w:val="00D9796F"/>
    <w:rsid w:val="00DA6005"/>
    <w:rsid w:val="00DB0261"/>
    <w:rsid w:val="00DB15F2"/>
    <w:rsid w:val="00DB1F8B"/>
    <w:rsid w:val="00DB7609"/>
    <w:rsid w:val="00DC0D97"/>
    <w:rsid w:val="00DC1A45"/>
    <w:rsid w:val="00DC4287"/>
    <w:rsid w:val="00DC67CE"/>
    <w:rsid w:val="00DD04CD"/>
    <w:rsid w:val="00DD1D39"/>
    <w:rsid w:val="00DD3469"/>
    <w:rsid w:val="00DD4691"/>
    <w:rsid w:val="00DE0773"/>
    <w:rsid w:val="00DE0A3E"/>
    <w:rsid w:val="00DE1F14"/>
    <w:rsid w:val="00DE3043"/>
    <w:rsid w:val="00DE47C3"/>
    <w:rsid w:val="00DE526C"/>
    <w:rsid w:val="00DE7983"/>
    <w:rsid w:val="00DF17CC"/>
    <w:rsid w:val="00DF3698"/>
    <w:rsid w:val="00DF4778"/>
    <w:rsid w:val="00DF7946"/>
    <w:rsid w:val="00E048DA"/>
    <w:rsid w:val="00E060C3"/>
    <w:rsid w:val="00E06608"/>
    <w:rsid w:val="00E0711D"/>
    <w:rsid w:val="00E0756F"/>
    <w:rsid w:val="00E10082"/>
    <w:rsid w:val="00E20335"/>
    <w:rsid w:val="00E2062A"/>
    <w:rsid w:val="00E2159B"/>
    <w:rsid w:val="00E22E2E"/>
    <w:rsid w:val="00E25087"/>
    <w:rsid w:val="00E26649"/>
    <w:rsid w:val="00E32767"/>
    <w:rsid w:val="00E32E8B"/>
    <w:rsid w:val="00E33DF0"/>
    <w:rsid w:val="00E33DF2"/>
    <w:rsid w:val="00E34E7A"/>
    <w:rsid w:val="00E36EE8"/>
    <w:rsid w:val="00E37EC5"/>
    <w:rsid w:val="00E411CC"/>
    <w:rsid w:val="00E43DF7"/>
    <w:rsid w:val="00E45129"/>
    <w:rsid w:val="00E47C29"/>
    <w:rsid w:val="00E51103"/>
    <w:rsid w:val="00E5182D"/>
    <w:rsid w:val="00E5515C"/>
    <w:rsid w:val="00E55632"/>
    <w:rsid w:val="00E56911"/>
    <w:rsid w:val="00E575E0"/>
    <w:rsid w:val="00E57691"/>
    <w:rsid w:val="00E57B6C"/>
    <w:rsid w:val="00E62544"/>
    <w:rsid w:val="00E656F0"/>
    <w:rsid w:val="00E65930"/>
    <w:rsid w:val="00E71AF9"/>
    <w:rsid w:val="00E71D90"/>
    <w:rsid w:val="00E74619"/>
    <w:rsid w:val="00E7527E"/>
    <w:rsid w:val="00E75BE7"/>
    <w:rsid w:val="00E8580A"/>
    <w:rsid w:val="00E90AC0"/>
    <w:rsid w:val="00E9137E"/>
    <w:rsid w:val="00E94967"/>
    <w:rsid w:val="00E95406"/>
    <w:rsid w:val="00E9686C"/>
    <w:rsid w:val="00EA04F9"/>
    <w:rsid w:val="00EA200F"/>
    <w:rsid w:val="00EA4787"/>
    <w:rsid w:val="00EA7ED7"/>
    <w:rsid w:val="00EB1A1F"/>
    <w:rsid w:val="00EC076D"/>
    <w:rsid w:val="00EC1272"/>
    <w:rsid w:val="00EC25DB"/>
    <w:rsid w:val="00EC406F"/>
    <w:rsid w:val="00EC4B9A"/>
    <w:rsid w:val="00ED1851"/>
    <w:rsid w:val="00ED6059"/>
    <w:rsid w:val="00ED69B9"/>
    <w:rsid w:val="00EE0F98"/>
    <w:rsid w:val="00EE351E"/>
    <w:rsid w:val="00EE3EC3"/>
    <w:rsid w:val="00EE57DF"/>
    <w:rsid w:val="00EE60A5"/>
    <w:rsid w:val="00EE6212"/>
    <w:rsid w:val="00EF03E1"/>
    <w:rsid w:val="00EF136C"/>
    <w:rsid w:val="00EF4E42"/>
    <w:rsid w:val="00EF5002"/>
    <w:rsid w:val="00EF587C"/>
    <w:rsid w:val="00EF6641"/>
    <w:rsid w:val="00F02675"/>
    <w:rsid w:val="00F03606"/>
    <w:rsid w:val="00F07E78"/>
    <w:rsid w:val="00F10336"/>
    <w:rsid w:val="00F105E9"/>
    <w:rsid w:val="00F11EE2"/>
    <w:rsid w:val="00F12036"/>
    <w:rsid w:val="00F12543"/>
    <w:rsid w:val="00F139DB"/>
    <w:rsid w:val="00F15635"/>
    <w:rsid w:val="00F177F0"/>
    <w:rsid w:val="00F21E2C"/>
    <w:rsid w:val="00F21EB9"/>
    <w:rsid w:val="00F24436"/>
    <w:rsid w:val="00F2450A"/>
    <w:rsid w:val="00F27C10"/>
    <w:rsid w:val="00F3153C"/>
    <w:rsid w:val="00F32C90"/>
    <w:rsid w:val="00F334E1"/>
    <w:rsid w:val="00F340EF"/>
    <w:rsid w:val="00F3469E"/>
    <w:rsid w:val="00F3547E"/>
    <w:rsid w:val="00F37F52"/>
    <w:rsid w:val="00F4189A"/>
    <w:rsid w:val="00F41E6A"/>
    <w:rsid w:val="00F42252"/>
    <w:rsid w:val="00F43993"/>
    <w:rsid w:val="00F4464C"/>
    <w:rsid w:val="00F44E70"/>
    <w:rsid w:val="00F45C54"/>
    <w:rsid w:val="00F53D5A"/>
    <w:rsid w:val="00F55E90"/>
    <w:rsid w:val="00F577BC"/>
    <w:rsid w:val="00F57C5B"/>
    <w:rsid w:val="00F57F1D"/>
    <w:rsid w:val="00F61D3C"/>
    <w:rsid w:val="00F61ED9"/>
    <w:rsid w:val="00F61F7D"/>
    <w:rsid w:val="00F64D54"/>
    <w:rsid w:val="00F7107B"/>
    <w:rsid w:val="00F72384"/>
    <w:rsid w:val="00F73536"/>
    <w:rsid w:val="00F74106"/>
    <w:rsid w:val="00F762CC"/>
    <w:rsid w:val="00F77116"/>
    <w:rsid w:val="00F80FEC"/>
    <w:rsid w:val="00F830A0"/>
    <w:rsid w:val="00F92C55"/>
    <w:rsid w:val="00F93470"/>
    <w:rsid w:val="00F93701"/>
    <w:rsid w:val="00F949C5"/>
    <w:rsid w:val="00F9624E"/>
    <w:rsid w:val="00FA10F3"/>
    <w:rsid w:val="00FA111D"/>
    <w:rsid w:val="00FA152B"/>
    <w:rsid w:val="00FB2F42"/>
    <w:rsid w:val="00FB5225"/>
    <w:rsid w:val="00FB7ECD"/>
    <w:rsid w:val="00FC1508"/>
    <w:rsid w:val="00FC28AE"/>
    <w:rsid w:val="00FD17F9"/>
    <w:rsid w:val="00FD31E6"/>
    <w:rsid w:val="00FD62A0"/>
    <w:rsid w:val="00FD6391"/>
    <w:rsid w:val="00FD6DAF"/>
    <w:rsid w:val="00FE02B1"/>
    <w:rsid w:val="00FE0A00"/>
    <w:rsid w:val="00FE2B74"/>
    <w:rsid w:val="00FE2BF5"/>
    <w:rsid w:val="00FE2CB8"/>
    <w:rsid w:val="00FE3B9D"/>
    <w:rsid w:val="00FE534B"/>
    <w:rsid w:val="00FE563C"/>
    <w:rsid w:val="00FE5FE6"/>
    <w:rsid w:val="00FE7ECC"/>
    <w:rsid w:val="00FF0690"/>
    <w:rsid w:val="00FF4105"/>
    <w:rsid w:val="00FF4EE8"/>
    <w:rsid w:val="00FF5437"/>
    <w:rsid w:val="00FF69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2CB8"/>
    <w:pPr>
      <w:overflowPunct w:val="0"/>
      <w:autoSpaceDE w:val="0"/>
      <w:autoSpaceDN w:val="0"/>
      <w:adjustRightInd w:val="0"/>
      <w:textAlignment w:val="baseline"/>
    </w:pPr>
  </w:style>
  <w:style w:type="paragraph" w:styleId="Heading1">
    <w:name w:val="heading 1"/>
    <w:basedOn w:val="Normal"/>
    <w:next w:val="Normal"/>
    <w:link w:val="Heading1Char"/>
    <w:uiPriority w:val="9"/>
    <w:qFormat/>
    <w:rsid w:val="00FE2CB8"/>
    <w:pPr>
      <w:keepNext/>
      <w:overflowPunct/>
      <w:adjustRightInd/>
      <w:textAlignment w:val="auto"/>
      <w:outlineLvl w:val="0"/>
    </w:pPr>
    <w:rPr>
      <w:b/>
      <w:bCs/>
      <w:sz w:val="32"/>
      <w:szCs w:val="24"/>
    </w:rPr>
  </w:style>
  <w:style w:type="paragraph" w:styleId="Heading2">
    <w:name w:val="heading 2"/>
    <w:basedOn w:val="Normal"/>
    <w:next w:val="Normal"/>
    <w:link w:val="Heading2Char"/>
    <w:uiPriority w:val="9"/>
    <w:qFormat/>
    <w:rsid w:val="00FE2CB8"/>
    <w:pPr>
      <w:keepNext/>
      <w:overflowPunct/>
      <w:autoSpaceDE/>
      <w:autoSpaceDN/>
      <w:adjustRightInd/>
      <w:ind w:left="162"/>
      <w:jc w:val="center"/>
      <w:textAlignment w:val="auto"/>
      <w:outlineLvl w:val="1"/>
    </w:pPr>
    <w:rPr>
      <w:rFonts w:cs="Traditional Arabic"/>
      <w:b/>
      <w:bCs/>
      <w:noProof/>
      <w:sz w:val="18"/>
      <w:szCs w:val="21"/>
    </w:rPr>
  </w:style>
  <w:style w:type="paragraph" w:styleId="Heading3">
    <w:name w:val="heading 3"/>
    <w:basedOn w:val="Normal"/>
    <w:next w:val="Normal"/>
    <w:link w:val="Heading3Char"/>
    <w:uiPriority w:val="9"/>
    <w:qFormat/>
    <w:rsid w:val="00FE2CB8"/>
    <w:pPr>
      <w:keepNext/>
      <w:outlineLvl w:val="2"/>
    </w:pPr>
    <w:rPr>
      <w:rFonts w:cs="Traditional Arabic"/>
      <w:b/>
      <w:bCs/>
      <w:sz w:val="24"/>
      <w:szCs w:val="24"/>
    </w:rPr>
  </w:style>
  <w:style w:type="paragraph" w:styleId="Heading4">
    <w:name w:val="heading 4"/>
    <w:basedOn w:val="Normal"/>
    <w:next w:val="Normal"/>
    <w:link w:val="Heading4Char"/>
    <w:uiPriority w:val="9"/>
    <w:qFormat/>
    <w:rsid w:val="00FE2CB8"/>
    <w:pPr>
      <w:keepNext/>
      <w:outlineLvl w:val="3"/>
    </w:pPr>
    <w:rPr>
      <w:b/>
      <w:bCs/>
    </w:rPr>
  </w:style>
  <w:style w:type="paragraph" w:styleId="Heading5">
    <w:name w:val="heading 5"/>
    <w:basedOn w:val="Normal"/>
    <w:next w:val="Normal"/>
    <w:link w:val="Heading5Char"/>
    <w:uiPriority w:val="9"/>
    <w:qFormat/>
    <w:rsid w:val="00FE2CB8"/>
    <w:pPr>
      <w:keepNext/>
      <w:overflowPunct/>
      <w:autoSpaceDE/>
      <w:autoSpaceDN/>
      <w:adjustRightInd/>
      <w:jc w:val="center"/>
      <w:textAlignment w:val="auto"/>
      <w:outlineLvl w:val="4"/>
    </w:pPr>
    <w:rPr>
      <w:rFonts w:cs="Traditional Arabic"/>
      <w:b/>
      <w:bCs/>
      <w:noProof/>
      <w:sz w:val="28"/>
      <w:szCs w:val="33"/>
    </w:rPr>
  </w:style>
  <w:style w:type="paragraph" w:styleId="Heading6">
    <w:name w:val="heading 6"/>
    <w:basedOn w:val="Normal"/>
    <w:next w:val="Normal"/>
    <w:link w:val="Heading6Char"/>
    <w:uiPriority w:val="9"/>
    <w:qFormat/>
    <w:rsid w:val="00FE2CB8"/>
    <w:pPr>
      <w:keepNext/>
      <w:overflowPunct/>
      <w:autoSpaceDE/>
      <w:autoSpaceDN/>
      <w:bidi/>
      <w:adjustRightInd/>
      <w:ind w:right="176"/>
      <w:jc w:val="right"/>
      <w:textAlignment w:val="auto"/>
      <w:outlineLvl w:val="5"/>
    </w:pPr>
    <w:rPr>
      <w:rFonts w:cs="Traditional Arabic"/>
      <w:b/>
      <w:bCs/>
      <w:noProof/>
      <w:sz w:val="18"/>
      <w:szCs w:val="21"/>
    </w:rPr>
  </w:style>
  <w:style w:type="paragraph" w:styleId="Heading7">
    <w:name w:val="heading 7"/>
    <w:basedOn w:val="Normal"/>
    <w:next w:val="Normal"/>
    <w:link w:val="Heading7Char"/>
    <w:uiPriority w:val="9"/>
    <w:qFormat/>
    <w:rsid w:val="00FE2CB8"/>
    <w:pPr>
      <w:keepNext/>
      <w:overflowPunct/>
      <w:autoSpaceDE/>
      <w:autoSpaceDN/>
      <w:adjustRightInd/>
      <w:textAlignment w:val="auto"/>
      <w:outlineLvl w:val="6"/>
    </w:pPr>
    <w:rPr>
      <w:rFonts w:cs="Traditional Arabic"/>
      <w:b/>
      <w:bCs/>
      <w:noProof/>
      <w:sz w:val="18"/>
      <w:szCs w:val="21"/>
    </w:rPr>
  </w:style>
  <w:style w:type="paragraph" w:styleId="Heading9">
    <w:name w:val="heading 9"/>
    <w:basedOn w:val="Normal"/>
    <w:next w:val="Normal"/>
    <w:link w:val="Heading9Char"/>
    <w:uiPriority w:val="9"/>
    <w:semiHidden/>
    <w:unhideWhenUsed/>
    <w:qFormat/>
    <w:rsid w:val="001F2744"/>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B4532E"/>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locked/>
    <w:rsid w:val="00B4532E"/>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locked/>
    <w:rsid w:val="00B4532E"/>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locked/>
    <w:rsid w:val="00B4532E"/>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locked/>
    <w:rsid w:val="00B4532E"/>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locked/>
    <w:rsid w:val="00B4532E"/>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locked/>
    <w:rsid w:val="00B4532E"/>
    <w:rPr>
      <w:rFonts w:asciiTheme="minorHAnsi" w:eastAsiaTheme="minorEastAsia" w:hAnsiTheme="minorHAnsi" w:cstheme="minorBidi"/>
      <w:sz w:val="24"/>
      <w:szCs w:val="24"/>
    </w:rPr>
  </w:style>
  <w:style w:type="character" w:customStyle="1" w:styleId="Heading9Char">
    <w:name w:val="Heading 9 Char"/>
    <w:basedOn w:val="DefaultParagraphFont"/>
    <w:link w:val="Heading9"/>
    <w:uiPriority w:val="9"/>
    <w:semiHidden/>
    <w:locked/>
    <w:rsid w:val="001F2744"/>
    <w:rPr>
      <w:rFonts w:ascii="Cambria" w:hAnsi="Cambria" w:cs="Times New Roman"/>
      <w:sz w:val="22"/>
      <w:szCs w:val="22"/>
    </w:rPr>
  </w:style>
  <w:style w:type="paragraph" w:styleId="Header">
    <w:name w:val="header"/>
    <w:basedOn w:val="Normal"/>
    <w:link w:val="HeaderChar"/>
    <w:uiPriority w:val="99"/>
    <w:semiHidden/>
    <w:rsid w:val="00FE2CB8"/>
    <w:pPr>
      <w:tabs>
        <w:tab w:val="center" w:pos="4153"/>
        <w:tab w:val="right" w:pos="8306"/>
      </w:tabs>
    </w:pPr>
  </w:style>
  <w:style w:type="character" w:customStyle="1" w:styleId="HeaderChar">
    <w:name w:val="Header Char"/>
    <w:basedOn w:val="DefaultParagraphFont"/>
    <w:link w:val="Header"/>
    <w:uiPriority w:val="99"/>
    <w:semiHidden/>
    <w:locked/>
    <w:rsid w:val="00B5698C"/>
    <w:rPr>
      <w:rFonts w:cs="Times New Roman"/>
    </w:rPr>
  </w:style>
  <w:style w:type="paragraph" w:styleId="Footer">
    <w:name w:val="footer"/>
    <w:basedOn w:val="Normal"/>
    <w:link w:val="FooterChar"/>
    <w:uiPriority w:val="99"/>
    <w:rsid w:val="00FE2CB8"/>
    <w:pPr>
      <w:tabs>
        <w:tab w:val="center" w:pos="4153"/>
        <w:tab w:val="right" w:pos="8306"/>
      </w:tabs>
    </w:pPr>
  </w:style>
  <w:style w:type="character" w:customStyle="1" w:styleId="FooterChar">
    <w:name w:val="Footer Char"/>
    <w:basedOn w:val="DefaultParagraphFont"/>
    <w:link w:val="Footer"/>
    <w:uiPriority w:val="99"/>
    <w:locked/>
    <w:rsid w:val="00940590"/>
    <w:rPr>
      <w:rFonts w:cs="Times New Roman"/>
    </w:rPr>
  </w:style>
  <w:style w:type="paragraph" w:styleId="Title">
    <w:name w:val="Title"/>
    <w:basedOn w:val="Normal"/>
    <w:link w:val="TitleChar"/>
    <w:uiPriority w:val="10"/>
    <w:qFormat/>
    <w:rsid w:val="00FE2CB8"/>
    <w:pPr>
      <w:overflowPunct/>
      <w:autoSpaceDE/>
      <w:autoSpaceDN/>
      <w:bidi/>
      <w:adjustRightInd/>
      <w:jc w:val="center"/>
      <w:textAlignment w:val="auto"/>
    </w:pPr>
    <w:rPr>
      <w:rFonts w:cs="Simplified Arabic"/>
      <w:b/>
      <w:bCs/>
      <w:noProof/>
      <w:sz w:val="24"/>
      <w:szCs w:val="28"/>
    </w:rPr>
  </w:style>
  <w:style w:type="character" w:customStyle="1" w:styleId="TitleChar">
    <w:name w:val="Title Char"/>
    <w:basedOn w:val="DefaultParagraphFont"/>
    <w:link w:val="Title"/>
    <w:uiPriority w:val="10"/>
    <w:locked/>
    <w:rsid w:val="008625AF"/>
    <w:rPr>
      <w:rFonts w:cs="Simplified Arabic"/>
      <w:b/>
      <w:bCs/>
      <w:noProof/>
      <w:sz w:val="28"/>
      <w:szCs w:val="28"/>
    </w:rPr>
  </w:style>
  <w:style w:type="paragraph" w:customStyle="1" w:styleId="H1">
    <w:name w:val="H1"/>
    <w:basedOn w:val="Normal"/>
    <w:next w:val="Normal"/>
    <w:rsid w:val="00FE2CB8"/>
    <w:pPr>
      <w:keepNext/>
      <w:overflowPunct/>
      <w:adjustRightInd/>
      <w:spacing w:before="100" w:after="100"/>
      <w:textAlignment w:val="auto"/>
      <w:outlineLvl w:val="1"/>
    </w:pPr>
    <w:rPr>
      <w:b/>
      <w:bCs/>
      <w:kern w:val="36"/>
      <w:sz w:val="48"/>
      <w:szCs w:val="48"/>
    </w:rPr>
  </w:style>
  <w:style w:type="paragraph" w:styleId="Subtitle">
    <w:name w:val="Subtitle"/>
    <w:basedOn w:val="Normal"/>
    <w:link w:val="SubtitleChar"/>
    <w:uiPriority w:val="11"/>
    <w:qFormat/>
    <w:rsid w:val="00FE2CB8"/>
    <w:pPr>
      <w:ind w:left="135"/>
      <w:jc w:val="center"/>
    </w:pPr>
    <w:rPr>
      <w:rFonts w:cs="Traditional Arabic"/>
      <w:b/>
      <w:bCs/>
      <w:sz w:val="28"/>
      <w:szCs w:val="28"/>
    </w:rPr>
  </w:style>
  <w:style w:type="character" w:customStyle="1" w:styleId="SubtitleChar">
    <w:name w:val="Subtitle Char"/>
    <w:basedOn w:val="DefaultParagraphFont"/>
    <w:link w:val="Subtitle"/>
    <w:uiPriority w:val="11"/>
    <w:locked/>
    <w:rsid w:val="00B4532E"/>
    <w:rPr>
      <w:rFonts w:asciiTheme="majorHAnsi" w:eastAsiaTheme="majorEastAsia" w:hAnsiTheme="majorHAnsi" w:cstheme="majorBidi"/>
      <w:sz w:val="24"/>
      <w:szCs w:val="24"/>
    </w:rPr>
  </w:style>
  <w:style w:type="paragraph" w:styleId="BodyText">
    <w:name w:val="Body Text"/>
    <w:basedOn w:val="Normal"/>
    <w:link w:val="BodyTextChar"/>
    <w:uiPriority w:val="99"/>
    <w:semiHidden/>
    <w:rsid w:val="00FE2CB8"/>
    <w:pPr>
      <w:jc w:val="both"/>
    </w:pPr>
    <w:rPr>
      <w:rFonts w:cs="Traditional Arabic"/>
    </w:rPr>
  </w:style>
  <w:style w:type="character" w:customStyle="1" w:styleId="BodyTextChar">
    <w:name w:val="Body Text Char"/>
    <w:basedOn w:val="DefaultParagraphFont"/>
    <w:link w:val="BodyText"/>
    <w:uiPriority w:val="99"/>
    <w:semiHidden/>
    <w:locked/>
    <w:rsid w:val="00DC4287"/>
    <w:rPr>
      <w:rFonts w:cs="Traditional Arabic"/>
    </w:rPr>
  </w:style>
  <w:style w:type="character" w:styleId="PageNumber">
    <w:name w:val="page number"/>
    <w:basedOn w:val="DefaultParagraphFont"/>
    <w:uiPriority w:val="99"/>
    <w:semiHidden/>
    <w:rsid w:val="00FE2CB8"/>
    <w:rPr>
      <w:rFonts w:cs="Times New Roman"/>
    </w:rPr>
  </w:style>
  <w:style w:type="paragraph" w:styleId="BodyText2">
    <w:name w:val="Body Text 2"/>
    <w:basedOn w:val="Normal"/>
    <w:link w:val="BodyText2Char"/>
    <w:uiPriority w:val="99"/>
    <w:semiHidden/>
    <w:rsid w:val="00FE2CB8"/>
    <w:pPr>
      <w:jc w:val="lowKashida"/>
    </w:pPr>
  </w:style>
  <w:style w:type="character" w:customStyle="1" w:styleId="BodyText2Char">
    <w:name w:val="Body Text 2 Char"/>
    <w:basedOn w:val="DefaultParagraphFont"/>
    <w:link w:val="BodyText2"/>
    <w:uiPriority w:val="99"/>
    <w:semiHidden/>
    <w:locked/>
    <w:rsid w:val="008625AF"/>
    <w:rPr>
      <w:rFonts w:cs="Times New Roman"/>
    </w:rPr>
  </w:style>
  <w:style w:type="paragraph" w:styleId="BodyText3">
    <w:name w:val="Body Text 3"/>
    <w:basedOn w:val="Normal"/>
    <w:link w:val="BodyText3Char"/>
    <w:uiPriority w:val="99"/>
    <w:semiHidden/>
    <w:rsid w:val="00FE2CB8"/>
    <w:pPr>
      <w:jc w:val="both"/>
    </w:pPr>
    <w:rPr>
      <w:rFonts w:cs="Traditional Arabic"/>
      <w:b/>
      <w:bCs/>
    </w:rPr>
  </w:style>
  <w:style w:type="character" w:customStyle="1" w:styleId="BodyText3Char">
    <w:name w:val="Body Text 3 Char"/>
    <w:basedOn w:val="DefaultParagraphFont"/>
    <w:link w:val="BodyText3"/>
    <w:uiPriority w:val="99"/>
    <w:semiHidden/>
    <w:locked/>
    <w:rsid w:val="000D23AB"/>
    <w:rPr>
      <w:rFonts w:cs="Traditional Arabic"/>
      <w:b/>
      <w:bCs/>
    </w:rPr>
  </w:style>
  <w:style w:type="paragraph" w:styleId="BodyTextIndent">
    <w:name w:val="Body Text Indent"/>
    <w:basedOn w:val="Normal"/>
    <w:link w:val="BodyTextIndentChar"/>
    <w:uiPriority w:val="99"/>
    <w:semiHidden/>
    <w:rsid w:val="00FE2CB8"/>
    <w:pPr>
      <w:overflowPunct/>
      <w:autoSpaceDE/>
      <w:autoSpaceDN/>
      <w:adjustRightInd/>
      <w:ind w:left="714" w:hanging="357"/>
      <w:jc w:val="lowKashida"/>
      <w:textAlignment w:val="auto"/>
    </w:pPr>
    <w:rPr>
      <w:sz w:val="24"/>
      <w:szCs w:val="24"/>
    </w:rPr>
  </w:style>
  <w:style w:type="character" w:customStyle="1" w:styleId="BodyTextIndentChar">
    <w:name w:val="Body Text Indent Char"/>
    <w:basedOn w:val="DefaultParagraphFont"/>
    <w:link w:val="BodyTextIndent"/>
    <w:uiPriority w:val="99"/>
    <w:semiHidden/>
    <w:locked/>
    <w:rsid w:val="00B4532E"/>
    <w:rPr>
      <w:rFonts w:cs="Times New Roman"/>
    </w:rPr>
  </w:style>
  <w:style w:type="paragraph" w:styleId="BodyTextIndent2">
    <w:name w:val="Body Text Indent 2"/>
    <w:basedOn w:val="Normal"/>
    <w:link w:val="BodyTextIndent2Char"/>
    <w:uiPriority w:val="99"/>
    <w:semiHidden/>
    <w:rsid w:val="00FE2CB8"/>
    <w:pPr>
      <w:ind w:left="44"/>
    </w:pPr>
  </w:style>
  <w:style w:type="character" w:customStyle="1" w:styleId="BodyTextIndent2Char">
    <w:name w:val="Body Text Indent 2 Char"/>
    <w:basedOn w:val="DefaultParagraphFont"/>
    <w:link w:val="BodyTextIndent2"/>
    <w:uiPriority w:val="99"/>
    <w:semiHidden/>
    <w:locked/>
    <w:rsid w:val="00B4532E"/>
    <w:rPr>
      <w:rFonts w:cs="Times New Roman"/>
    </w:rPr>
  </w:style>
  <w:style w:type="paragraph" w:styleId="BodyTextIndent3">
    <w:name w:val="Body Text Indent 3"/>
    <w:basedOn w:val="Normal"/>
    <w:link w:val="BodyTextIndent3Char"/>
    <w:uiPriority w:val="99"/>
    <w:semiHidden/>
    <w:rsid w:val="00FE2CB8"/>
    <w:pPr>
      <w:ind w:left="44"/>
      <w:jc w:val="lowKashida"/>
    </w:pPr>
    <w:rPr>
      <w:color w:val="000000"/>
    </w:rPr>
  </w:style>
  <w:style w:type="character" w:customStyle="1" w:styleId="BodyTextIndent3Char">
    <w:name w:val="Body Text Indent 3 Char"/>
    <w:basedOn w:val="DefaultParagraphFont"/>
    <w:link w:val="BodyTextIndent3"/>
    <w:uiPriority w:val="99"/>
    <w:semiHidden/>
    <w:locked/>
    <w:rsid w:val="00B4532E"/>
    <w:rPr>
      <w:rFonts w:cs="Times New Roman"/>
      <w:sz w:val="16"/>
      <w:szCs w:val="16"/>
    </w:rPr>
  </w:style>
  <w:style w:type="paragraph" w:styleId="BlockText">
    <w:name w:val="Block Text"/>
    <w:basedOn w:val="Normal"/>
    <w:uiPriority w:val="99"/>
    <w:semiHidden/>
    <w:rsid w:val="001F2744"/>
    <w:pPr>
      <w:spacing w:after="120"/>
      <w:ind w:left="1440" w:right="1440"/>
    </w:pPr>
  </w:style>
  <w:style w:type="paragraph" w:styleId="CommentText">
    <w:name w:val="annotation text"/>
    <w:basedOn w:val="Normal"/>
    <w:link w:val="CommentTextChar"/>
    <w:uiPriority w:val="99"/>
    <w:semiHidden/>
    <w:rsid w:val="001F2744"/>
  </w:style>
  <w:style w:type="character" w:customStyle="1" w:styleId="CommentTextChar">
    <w:name w:val="Comment Text Char"/>
    <w:basedOn w:val="DefaultParagraphFont"/>
    <w:link w:val="CommentText"/>
    <w:uiPriority w:val="99"/>
    <w:semiHidden/>
    <w:locked/>
    <w:rsid w:val="001F2744"/>
    <w:rPr>
      <w:rFonts w:cs="Times New Roman"/>
    </w:rPr>
  </w:style>
  <w:style w:type="paragraph" w:styleId="Index1">
    <w:name w:val="index 1"/>
    <w:basedOn w:val="Normal"/>
    <w:next w:val="Normal"/>
    <w:autoRedefine/>
    <w:uiPriority w:val="99"/>
    <w:semiHidden/>
    <w:unhideWhenUsed/>
    <w:rsid w:val="001F2744"/>
    <w:pPr>
      <w:ind w:left="200" w:hanging="200"/>
    </w:pPr>
  </w:style>
  <w:style w:type="paragraph" w:styleId="IndexHeading">
    <w:name w:val="index heading"/>
    <w:basedOn w:val="Normal"/>
    <w:next w:val="Index1"/>
    <w:uiPriority w:val="99"/>
    <w:semiHidden/>
    <w:rsid w:val="001F2744"/>
    <w:rPr>
      <w:rFonts w:ascii="Arial" w:hAnsi="Arial" w:cs="Arial"/>
      <w:b/>
      <w:bCs/>
    </w:rPr>
  </w:style>
  <w:style w:type="paragraph" w:styleId="ListParagraph">
    <w:name w:val="List Paragraph"/>
    <w:basedOn w:val="Normal"/>
    <w:uiPriority w:val="34"/>
    <w:qFormat/>
    <w:rsid w:val="001C78D5"/>
    <w:pPr>
      <w:overflowPunct/>
      <w:autoSpaceDE/>
      <w:autoSpaceDN/>
      <w:bidi/>
      <w:adjustRightInd/>
      <w:ind w:left="720"/>
      <w:textAlignment w:val="auto"/>
    </w:pPr>
    <w:rPr>
      <w:rFonts w:cs="Simplified Arabic"/>
      <w:noProof/>
      <w:sz w:val="24"/>
    </w:rPr>
  </w:style>
  <w:style w:type="paragraph" w:styleId="BalloonText">
    <w:name w:val="Balloon Text"/>
    <w:basedOn w:val="Normal"/>
    <w:link w:val="BalloonTextChar"/>
    <w:uiPriority w:val="99"/>
    <w:semiHidden/>
    <w:unhideWhenUsed/>
    <w:rsid w:val="003E58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E58F6"/>
    <w:rPr>
      <w:rFonts w:ascii="Tahoma" w:hAnsi="Tahoma" w:cs="Tahoma"/>
      <w:sz w:val="16"/>
      <w:szCs w:val="16"/>
      <w:lang w:val="en-US" w:eastAsia="en-US"/>
    </w:rPr>
  </w:style>
  <w:style w:type="paragraph" w:styleId="Revision">
    <w:name w:val="Revision"/>
    <w:hidden/>
    <w:uiPriority w:val="99"/>
    <w:semiHidden/>
    <w:rsid w:val="00F93470"/>
  </w:style>
  <w:style w:type="character" w:customStyle="1" w:styleId="hps">
    <w:name w:val="hps"/>
    <w:basedOn w:val="DefaultParagraphFont"/>
    <w:rsid w:val="004F26B2"/>
    <w:rPr>
      <w:rFonts w:cs="Times New Roman"/>
    </w:rPr>
  </w:style>
  <w:style w:type="character" w:customStyle="1" w:styleId="shorttext">
    <w:name w:val="short_text"/>
    <w:basedOn w:val="DefaultParagraphFont"/>
    <w:rsid w:val="00BD329D"/>
    <w:rPr>
      <w:rFonts w:cs="Times New Roman"/>
    </w:rPr>
  </w:style>
  <w:style w:type="character" w:customStyle="1" w:styleId="atn">
    <w:name w:val="atn"/>
    <w:basedOn w:val="DefaultParagraphFont"/>
    <w:rsid w:val="006A3BB8"/>
    <w:rPr>
      <w:rFonts w:cs="Times New Roman"/>
    </w:rPr>
  </w:style>
  <w:style w:type="paragraph" w:customStyle="1" w:styleId="xl23">
    <w:name w:val="xl23"/>
    <w:basedOn w:val="Normal"/>
    <w:rsid w:val="00981761"/>
    <w:pPr>
      <w:overflowPunct/>
      <w:autoSpaceDE/>
      <w:autoSpaceDN/>
      <w:adjustRightInd/>
      <w:spacing w:before="100" w:beforeAutospacing="1" w:after="100" w:afterAutospacing="1"/>
      <w:jc w:val="both"/>
      <w:textAlignment w:val="top"/>
    </w:pPr>
    <w:rPr>
      <w:rFonts w:eastAsia="Arial Unicode MS" w:cs="Arial Unicode MS"/>
      <w:sz w:val="24"/>
      <w:szCs w:val="24"/>
      <w:lang w:eastAsia="ar-SA"/>
    </w:rPr>
  </w:style>
  <w:style w:type="paragraph" w:styleId="FootnoteText">
    <w:name w:val="footnote text"/>
    <w:basedOn w:val="Normal"/>
    <w:link w:val="FootnoteTextChar"/>
    <w:uiPriority w:val="99"/>
    <w:semiHidden/>
    <w:rsid w:val="00750558"/>
    <w:pPr>
      <w:overflowPunct/>
      <w:autoSpaceDE/>
      <w:autoSpaceDN/>
      <w:adjustRightInd/>
      <w:textAlignment w:val="auto"/>
    </w:pPr>
    <w:rPr>
      <w:rFonts w:cs="Traditional Arabic"/>
      <w:noProof/>
      <w:szCs w:val="24"/>
      <w:lang w:eastAsia="ar-SA"/>
    </w:rPr>
  </w:style>
  <w:style w:type="character" w:customStyle="1" w:styleId="FootnoteTextChar">
    <w:name w:val="Footnote Text Char"/>
    <w:basedOn w:val="DefaultParagraphFont"/>
    <w:link w:val="FootnoteText"/>
    <w:uiPriority w:val="99"/>
    <w:semiHidden/>
    <w:locked/>
    <w:rsid w:val="00750558"/>
    <w:rPr>
      <w:rFonts w:cs="Traditional Arabic"/>
      <w:noProof/>
      <w:sz w:val="24"/>
      <w:szCs w:val="24"/>
      <w:lang w:eastAsia="ar-SA"/>
    </w:rPr>
  </w:style>
  <w:style w:type="character" w:styleId="FootnoteReference">
    <w:name w:val="footnote reference"/>
    <w:basedOn w:val="DefaultParagraphFont"/>
    <w:uiPriority w:val="99"/>
    <w:semiHidden/>
    <w:rsid w:val="00750558"/>
    <w:rPr>
      <w:rFonts w:cs="Times New Roman"/>
      <w:vertAlign w:val="superscript"/>
    </w:rPr>
  </w:style>
  <w:style w:type="table" w:styleId="TableGrid">
    <w:name w:val="Table Grid"/>
    <w:basedOn w:val="TableNormal"/>
    <w:uiPriority w:val="59"/>
    <w:rsid w:val="00195ED8"/>
    <w:rPr>
      <w:rFonts w:cs="Traditional Arabi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B93D80"/>
    <w:rPr>
      <w:sz w:val="16"/>
      <w:szCs w:val="16"/>
    </w:rPr>
  </w:style>
  <w:style w:type="paragraph" w:styleId="CommentSubject">
    <w:name w:val="annotation subject"/>
    <w:basedOn w:val="CommentText"/>
    <w:next w:val="CommentText"/>
    <w:link w:val="CommentSubjectChar"/>
    <w:uiPriority w:val="99"/>
    <w:semiHidden/>
    <w:unhideWhenUsed/>
    <w:rsid w:val="00B93D80"/>
    <w:rPr>
      <w:b/>
      <w:bCs/>
    </w:rPr>
  </w:style>
  <w:style w:type="character" w:customStyle="1" w:styleId="CommentSubjectChar">
    <w:name w:val="Comment Subject Char"/>
    <w:basedOn w:val="CommentTextChar"/>
    <w:link w:val="CommentSubject"/>
    <w:uiPriority w:val="99"/>
    <w:semiHidden/>
    <w:rsid w:val="00B93D80"/>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54614592">
      <w:bodyDiv w:val="1"/>
      <w:marLeft w:val="0"/>
      <w:marRight w:val="0"/>
      <w:marTop w:val="0"/>
      <w:marBottom w:val="0"/>
      <w:divBdr>
        <w:top w:val="none" w:sz="0" w:space="0" w:color="auto"/>
        <w:left w:val="none" w:sz="0" w:space="0" w:color="auto"/>
        <w:bottom w:val="none" w:sz="0" w:space="0" w:color="auto"/>
        <w:right w:val="none" w:sz="0" w:space="0" w:color="auto"/>
      </w:divBdr>
    </w:div>
    <w:div w:id="184362567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image" Target="media/image4.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footer" Target="footer1.xml"/><Relationship Id="rId28" Type="http://schemas.microsoft.com/office/2007/relationships/stylesWithEffects" Target="stylesWithEffects.xml"/><Relationship Id="rId10" Type="http://schemas.openxmlformats.org/officeDocument/2006/relationships/image" Target="media/image2.jpeg"/><Relationship Id="rId19"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3.jpeg"/><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5.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49068220269029"/>
          <c:y val="6.267806267806264E-2"/>
          <c:w val="0.86196812232073572"/>
          <c:h val="0.67147231596050494"/>
        </c:manualLayout>
      </c:layout>
      <c:barChart>
        <c:barDir val="col"/>
        <c:grouping val="clustered"/>
        <c:ser>
          <c:idx val="0"/>
          <c:order val="0"/>
          <c:tx>
            <c:strRef>
              <c:f>Sheet1!$B$1</c:f>
              <c:strCache>
                <c:ptCount val="1"/>
                <c:pt idx="0">
                  <c:v>2013</c:v>
                </c:pt>
              </c:strCache>
            </c:strRef>
          </c:tx>
          <c:cat>
            <c:strRef>
              <c:f>Sheet1!$A$2:$A$6</c:f>
              <c:strCache>
                <c:ptCount val="5"/>
                <c:pt idx="0">
                  <c:v>Nablus</c:v>
                </c:pt>
                <c:pt idx="1">
                  <c:v>Ramallah</c:v>
                </c:pt>
                <c:pt idx="2">
                  <c:v>Hebron</c:v>
                </c:pt>
                <c:pt idx="3">
                  <c:v> Jenin</c:v>
                </c:pt>
                <c:pt idx="4">
                  <c:v> Jericho</c:v>
                </c:pt>
              </c:strCache>
            </c:strRef>
          </c:cat>
          <c:val>
            <c:numRef>
              <c:f>Sheet1!$B$2:$B$6</c:f>
              <c:numCache>
                <c:formatCode>0.0</c:formatCode>
                <c:ptCount val="5"/>
                <c:pt idx="0">
                  <c:v>805.9</c:v>
                </c:pt>
                <c:pt idx="1">
                  <c:v>771.2</c:v>
                </c:pt>
                <c:pt idx="2">
                  <c:v>661.4</c:v>
                </c:pt>
                <c:pt idx="3">
                  <c:v>480</c:v>
                </c:pt>
                <c:pt idx="4">
                  <c:v>147.69999999999999</c:v>
                </c:pt>
              </c:numCache>
            </c:numRef>
          </c:val>
        </c:ser>
        <c:dLbls>
          <c:showVal val="1"/>
        </c:dLbls>
        <c:axId val="58651008"/>
        <c:axId val="58652544"/>
      </c:barChart>
      <c:catAx>
        <c:axId val="58651008"/>
        <c:scaling>
          <c:orientation val="minMax"/>
        </c:scaling>
        <c:axPos val="b"/>
        <c:numFmt formatCode="General" sourceLinked="1"/>
        <c:tickLblPos val="nextTo"/>
        <c:txPr>
          <a:bodyPr rot="0"/>
          <a:lstStyle/>
          <a:p>
            <a:pPr>
              <a:defRPr/>
            </a:pPr>
            <a:endParaRPr lang="ar-SA"/>
          </a:p>
        </c:txPr>
        <c:crossAx val="58652544"/>
        <c:crosses val="autoZero"/>
        <c:auto val="1"/>
        <c:lblAlgn val="ctr"/>
        <c:lblOffset val="100"/>
        <c:tickLblSkip val="1"/>
      </c:catAx>
      <c:valAx>
        <c:axId val="58652544"/>
        <c:scaling>
          <c:orientation val="minMax"/>
        </c:scaling>
        <c:axPos val="l"/>
        <c:numFmt formatCode="0.0" sourceLinked="1"/>
        <c:tickLblPos val="nextTo"/>
        <c:crossAx val="58651008"/>
        <c:crosses val="autoZero"/>
        <c:crossBetween val="between"/>
      </c:valAx>
    </c:plotArea>
    <c:plotVisOnly val="1"/>
    <c:dispBlanksAs val="zero"/>
  </c:chart>
  <c:txPr>
    <a:bodyPr/>
    <a:lstStyle/>
    <a:p>
      <a:pPr>
        <a:defRPr sz="799">
          <a:latin typeface="Arial (Body)"/>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737626130067122"/>
          <c:y val="0.13330688827624509"/>
          <c:w val="0.86057019539224056"/>
          <c:h val="0.74895496419890062"/>
        </c:manualLayout>
      </c:layout>
      <c:lineChart>
        <c:grouping val="standard"/>
        <c:ser>
          <c:idx val="0"/>
          <c:order val="0"/>
          <c:tx>
            <c:strRef>
              <c:f>Sheet1!$A$2</c:f>
              <c:strCache>
                <c:ptCount val="1"/>
                <c:pt idx="0">
                  <c:v>Imports</c:v>
                </c:pt>
              </c:strCache>
            </c:strRef>
          </c:tx>
          <c:spPr>
            <a:ln w="12523">
              <a:solidFill>
                <a:srgbClr val="000080"/>
              </a:solidFill>
              <a:prstDash val="solid"/>
            </a:ln>
          </c:spPr>
          <c:marker>
            <c:symbol val="diamond"/>
            <c:size val="2"/>
            <c:spPr>
              <a:solidFill>
                <a:srgbClr val="000080"/>
              </a:solidFill>
              <a:ln>
                <a:solidFill>
                  <a:srgbClr val="000080"/>
                </a:solidFill>
                <a:prstDash val="solid"/>
              </a:ln>
            </c:spPr>
          </c:marker>
          <c:cat>
            <c:numRef>
              <c:f>Sheet1!$B$1:$T$1</c:f>
              <c:numCache>
                <c:formatCode>General</c:formatCode>
                <c:ptCount val="19"/>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numCache>
            </c:numRef>
          </c:cat>
          <c:val>
            <c:numRef>
              <c:f>Sheet1!$B$2:$T$2</c:f>
              <c:numCache>
                <c:formatCode>General</c:formatCode>
                <c:ptCount val="19"/>
                <c:pt idx="0">
                  <c:v>1658.2</c:v>
                </c:pt>
                <c:pt idx="1">
                  <c:v>2016.1</c:v>
                </c:pt>
                <c:pt idx="2">
                  <c:v>2238.6</c:v>
                </c:pt>
                <c:pt idx="3">
                  <c:v>2375.1</c:v>
                </c:pt>
                <c:pt idx="4">
                  <c:v>3007.2</c:v>
                </c:pt>
                <c:pt idx="5">
                  <c:v>2382.8000000000002</c:v>
                </c:pt>
                <c:pt idx="6">
                  <c:v>2033.6</c:v>
                </c:pt>
                <c:pt idx="7">
                  <c:v>1515.6</c:v>
                </c:pt>
                <c:pt idx="8">
                  <c:v>1800.2</c:v>
                </c:pt>
                <c:pt idx="9">
                  <c:v>2373</c:v>
                </c:pt>
                <c:pt idx="10">
                  <c:v>2666.8</c:v>
                </c:pt>
                <c:pt idx="11">
                  <c:v>2758.7</c:v>
                </c:pt>
                <c:pt idx="12" formatCode="0">
                  <c:v>3284</c:v>
                </c:pt>
                <c:pt idx="13">
                  <c:v>3466.2</c:v>
                </c:pt>
                <c:pt idx="14">
                  <c:v>3600.7</c:v>
                </c:pt>
                <c:pt idx="15">
                  <c:v>3958.5</c:v>
                </c:pt>
                <c:pt idx="16">
                  <c:v>4373.6000000000004</c:v>
                </c:pt>
                <c:pt idx="17">
                  <c:v>4697.4000000000005</c:v>
                </c:pt>
                <c:pt idx="18">
                  <c:v>5163.9000000000005</c:v>
                </c:pt>
              </c:numCache>
            </c:numRef>
          </c:val>
        </c:ser>
        <c:ser>
          <c:idx val="1"/>
          <c:order val="1"/>
          <c:tx>
            <c:strRef>
              <c:f>Sheet1!$A$3</c:f>
              <c:strCache>
                <c:ptCount val="1"/>
                <c:pt idx="0">
                  <c:v>Exports</c:v>
                </c:pt>
              </c:strCache>
            </c:strRef>
          </c:tx>
          <c:spPr>
            <a:ln w="12523">
              <a:solidFill>
                <a:srgbClr val="FF00FF"/>
              </a:solidFill>
              <a:prstDash val="solid"/>
            </a:ln>
          </c:spPr>
          <c:marker>
            <c:symbol val="square"/>
            <c:size val="2"/>
            <c:spPr>
              <a:solidFill>
                <a:srgbClr val="FF00FF"/>
              </a:solidFill>
              <a:ln>
                <a:solidFill>
                  <a:srgbClr val="FF00FF"/>
                </a:solidFill>
                <a:prstDash val="solid"/>
              </a:ln>
            </c:spPr>
          </c:marker>
          <c:cat>
            <c:numRef>
              <c:f>Sheet1!$B$1:$T$1</c:f>
              <c:numCache>
                <c:formatCode>General</c:formatCode>
                <c:ptCount val="19"/>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numCache>
            </c:numRef>
          </c:cat>
          <c:val>
            <c:numRef>
              <c:f>Sheet1!$B$3:$T$3</c:f>
              <c:numCache>
                <c:formatCode>General</c:formatCode>
                <c:ptCount val="19"/>
                <c:pt idx="0">
                  <c:v>394.2</c:v>
                </c:pt>
                <c:pt idx="1">
                  <c:v>339.5</c:v>
                </c:pt>
                <c:pt idx="2">
                  <c:v>382.4</c:v>
                </c:pt>
                <c:pt idx="3">
                  <c:v>394.8</c:v>
                </c:pt>
                <c:pt idx="4">
                  <c:v>372.1</c:v>
                </c:pt>
                <c:pt idx="5">
                  <c:v>400.9</c:v>
                </c:pt>
                <c:pt idx="6">
                  <c:v>290.3</c:v>
                </c:pt>
                <c:pt idx="7">
                  <c:v>240.9</c:v>
                </c:pt>
                <c:pt idx="8">
                  <c:v>279.60000000000002</c:v>
                </c:pt>
                <c:pt idx="9">
                  <c:v>313</c:v>
                </c:pt>
                <c:pt idx="10">
                  <c:v>335.4</c:v>
                </c:pt>
                <c:pt idx="11">
                  <c:v>366.7</c:v>
                </c:pt>
                <c:pt idx="12">
                  <c:v>513</c:v>
                </c:pt>
                <c:pt idx="13">
                  <c:v>558.4</c:v>
                </c:pt>
                <c:pt idx="14">
                  <c:v>518.29999999999995</c:v>
                </c:pt>
                <c:pt idx="15">
                  <c:v>575.5</c:v>
                </c:pt>
                <c:pt idx="16">
                  <c:v>745.7</c:v>
                </c:pt>
                <c:pt idx="17">
                  <c:v>782.4</c:v>
                </c:pt>
                <c:pt idx="18">
                  <c:v>900.6</c:v>
                </c:pt>
              </c:numCache>
            </c:numRef>
          </c:val>
        </c:ser>
        <c:ser>
          <c:idx val="2"/>
          <c:order val="2"/>
          <c:tx>
            <c:strRef>
              <c:f>Sheet1!$A$4</c:f>
              <c:strCache>
                <c:ptCount val="1"/>
                <c:pt idx="0">
                  <c:v>Net Trade Balance in Goods</c:v>
                </c:pt>
              </c:strCache>
            </c:strRef>
          </c:tx>
          <c:spPr>
            <a:ln w="12523">
              <a:solidFill>
                <a:srgbClr val="0000FF"/>
              </a:solidFill>
              <a:prstDash val="solid"/>
            </a:ln>
          </c:spPr>
          <c:marker>
            <c:symbol val="triangle"/>
            <c:size val="2"/>
            <c:spPr>
              <a:solidFill>
                <a:srgbClr val="000000"/>
              </a:solidFill>
              <a:ln>
                <a:solidFill>
                  <a:srgbClr val="FFFF00"/>
                </a:solidFill>
                <a:prstDash val="solid"/>
              </a:ln>
            </c:spPr>
          </c:marker>
          <c:cat>
            <c:numRef>
              <c:f>Sheet1!$B$1:$T$1</c:f>
              <c:numCache>
                <c:formatCode>General</c:formatCode>
                <c:ptCount val="19"/>
                <c:pt idx="0">
                  <c:v>1995</c:v>
                </c:pt>
                <c:pt idx="1">
                  <c:v>1996</c:v>
                </c:pt>
                <c:pt idx="2">
                  <c:v>1997</c:v>
                </c:pt>
                <c:pt idx="3">
                  <c:v>1998</c:v>
                </c:pt>
                <c:pt idx="4">
                  <c:v>1999</c:v>
                </c:pt>
                <c:pt idx="5" formatCode="00">
                  <c:v>2000</c:v>
                </c:pt>
                <c:pt idx="6" formatCode="00">
                  <c:v>2001</c:v>
                </c:pt>
                <c:pt idx="7" formatCode="00">
                  <c:v>2002</c:v>
                </c:pt>
                <c:pt idx="8">
                  <c:v>2003</c:v>
                </c:pt>
                <c:pt idx="9">
                  <c:v>2004</c:v>
                </c:pt>
                <c:pt idx="10">
                  <c:v>2005</c:v>
                </c:pt>
                <c:pt idx="11">
                  <c:v>2006</c:v>
                </c:pt>
                <c:pt idx="12">
                  <c:v>2007</c:v>
                </c:pt>
                <c:pt idx="13">
                  <c:v>2008</c:v>
                </c:pt>
                <c:pt idx="14">
                  <c:v>2009</c:v>
                </c:pt>
                <c:pt idx="15">
                  <c:v>2010</c:v>
                </c:pt>
                <c:pt idx="16">
                  <c:v>2011</c:v>
                </c:pt>
                <c:pt idx="17">
                  <c:v>2012</c:v>
                </c:pt>
                <c:pt idx="18">
                  <c:v>2013</c:v>
                </c:pt>
              </c:numCache>
            </c:numRef>
          </c:cat>
          <c:val>
            <c:numRef>
              <c:f>Sheet1!$B$4:$T$4</c:f>
              <c:numCache>
                <c:formatCode>General</c:formatCode>
                <c:ptCount val="19"/>
                <c:pt idx="0">
                  <c:v>-1264</c:v>
                </c:pt>
                <c:pt idx="1">
                  <c:v>-1676.6</c:v>
                </c:pt>
                <c:pt idx="2">
                  <c:v>-1856.1</c:v>
                </c:pt>
                <c:pt idx="3">
                  <c:v>-1980.3</c:v>
                </c:pt>
                <c:pt idx="4">
                  <c:v>-2635.1</c:v>
                </c:pt>
                <c:pt idx="5">
                  <c:v>-1982</c:v>
                </c:pt>
                <c:pt idx="6">
                  <c:v>-1743.3</c:v>
                </c:pt>
                <c:pt idx="7">
                  <c:v>-1274.7</c:v>
                </c:pt>
                <c:pt idx="8">
                  <c:v>-1520.5</c:v>
                </c:pt>
                <c:pt idx="9">
                  <c:v>-2060.6</c:v>
                </c:pt>
                <c:pt idx="10">
                  <c:v>-2331.6</c:v>
                </c:pt>
                <c:pt idx="11">
                  <c:v>-2392</c:v>
                </c:pt>
                <c:pt idx="12">
                  <c:v>-2771.1</c:v>
                </c:pt>
                <c:pt idx="13">
                  <c:v>-2907.7</c:v>
                </c:pt>
                <c:pt idx="14">
                  <c:v>-3082.4</c:v>
                </c:pt>
                <c:pt idx="15">
                  <c:v>-3383</c:v>
                </c:pt>
                <c:pt idx="16">
                  <c:v>-3627.9000000000005</c:v>
                </c:pt>
                <c:pt idx="17">
                  <c:v>-3914.9999999999995</c:v>
                </c:pt>
                <c:pt idx="18">
                  <c:v>-4263.3</c:v>
                </c:pt>
              </c:numCache>
            </c:numRef>
          </c:val>
        </c:ser>
        <c:marker val="1"/>
        <c:axId val="102287232"/>
        <c:axId val="114876800"/>
      </c:lineChart>
      <c:catAx>
        <c:axId val="102287232"/>
        <c:scaling>
          <c:orientation val="minMax"/>
        </c:scaling>
        <c:axPos val="b"/>
        <c:majorGridlines>
          <c:spPr>
            <a:ln w="12523">
              <a:solidFill>
                <a:schemeClr val="bg1">
                  <a:lumMod val="95000"/>
                </a:schemeClr>
              </a:solidFill>
              <a:prstDash val="solid"/>
            </a:ln>
          </c:spPr>
        </c:majorGridlines>
        <c:title>
          <c:tx>
            <c:rich>
              <a:bodyPr/>
              <a:lstStyle/>
              <a:p>
                <a:pPr>
                  <a:defRPr sz="765" b="1" i="0" u="none" strike="noStrike" baseline="0">
                    <a:solidFill>
                      <a:srgbClr val="000000"/>
                    </a:solidFill>
                    <a:latin typeface="Arial"/>
                    <a:ea typeface="Arial"/>
                    <a:cs typeface="Arial"/>
                  </a:defRPr>
                </a:pPr>
                <a:r>
                  <a:rPr lang="en-GB"/>
                  <a:t>Year</a:t>
                </a:r>
              </a:p>
            </c:rich>
          </c:tx>
          <c:layout>
            <c:manualLayout>
              <c:xMode val="edge"/>
              <c:yMode val="edge"/>
              <c:x val="0.49490883176027561"/>
              <c:y val="0.90204788818575599"/>
            </c:manualLayout>
          </c:layout>
          <c:spPr>
            <a:noFill/>
            <a:ln w="25047">
              <a:noFill/>
            </a:ln>
          </c:spPr>
        </c:title>
        <c:numFmt formatCode="General" sourceLinked="1"/>
        <c:tickLblPos val="nextTo"/>
        <c:spPr>
          <a:ln w="3132">
            <a:solidFill>
              <a:srgbClr val="000000"/>
            </a:solidFill>
            <a:prstDash val="solid"/>
          </a:ln>
        </c:spPr>
        <c:txPr>
          <a:bodyPr rot="0" vert="horz"/>
          <a:lstStyle/>
          <a:p>
            <a:pPr>
              <a:defRPr sz="692"/>
            </a:pPr>
            <a:endParaRPr lang="ar-SA"/>
          </a:p>
        </c:txPr>
        <c:crossAx val="114876800"/>
        <c:crosses val="autoZero"/>
        <c:auto val="1"/>
        <c:lblAlgn val="ctr"/>
        <c:lblOffset val="100"/>
        <c:tickLblSkip val="1"/>
        <c:tickMarkSkip val="1"/>
      </c:catAx>
      <c:valAx>
        <c:axId val="114876800"/>
        <c:scaling>
          <c:orientation val="minMax"/>
        </c:scaling>
        <c:axPos val="l"/>
        <c:majorGridlines>
          <c:spPr>
            <a:ln w="12523">
              <a:solidFill>
                <a:schemeClr val="bg1">
                  <a:lumMod val="95000"/>
                </a:schemeClr>
              </a:solidFill>
              <a:prstDash val="solid"/>
            </a:ln>
          </c:spPr>
        </c:majorGridlines>
        <c:title>
          <c:tx>
            <c:rich>
              <a:bodyPr/>
              <a:lstStyle/>
              <a:p>
                <a:pPr>
                  <a:defRPr sz="765" b="1" i="0" u="none" strike="noStrike" baseline="0">
                    <a:solidFill>
                      <a:srgbClr val="000000"/>
                    </a:solidFill>
                    <a:latin typeface="Arial"/>
                    <a:ea typeface="Arial"/>
                    <a:cs typeface="Arial"/>
                  </a:defRPr>
                </a:pPr>
                <a:r>
                  <a:rPr lang="en-GB"/>
                  <a:t>Value in million USD</a:t>
                </a:r>
              </a:p>
            </c:rich>
          </c:tx>
          <c:layout>
            <c:manualLayout>
              <c:xMode val="edge"/>
              <c:yMode val="edge"/>
              <c:x val="3.8400166866558992E-3"/>
              <c:y val="0.2058554337149574"/>
            </c:manualLayout>
          </c:layout>
          <c:spPr>
            <a:noFill/>
            <a:ln w="25047">
              <a:noFill/>
            </a:ln>
          </c:spPr>
        </c:title>
        <c:numFmt formatCode="General" sourceLinked="1"/>
        <c:tickLblPos val="nextTo"/>
        <c:spPr>
          <a:ln w="3132">
            <a:solidFill>
              <a:srgbClr val="000000"/>
            </a:solidFill>
            <a:prstDash val="solid"/>
          </a:ln>
        </c:spPr>
        <c:txPr>
          <a:bodyPr rot="0" vert="horz"/>
          <a:lstStyle/>
          <a:p>
            <a:pPr>
              <a:defRPr/>
            </a:pPr>
            <a:endParaRPr lang="ar-SA"/>
          </a:p>
        </c:txPr>
        <c:crossAx val="102287232"/>
        <c:crosses val="autoZero"/>
        <c:crossBetween val="between"/>
      </c:valAx>
      <c:spPr>
        <a:noFill/>
        <a:ln w="25398">
          <a:noFill/>
        </a:ln>
      </c:spPr>
    </c:plotArea>
    <c:legend>
      <c:legendPos val="r"/>
      <c:layout>
        <c:manualLayout>
          <c:xMode val="edge"/>
          <c:yMode val="edge"/>
          <c:x val="0.12603431193617354"/>
          <c:y val="4.2372832230327104E-2"/>
          <c:w val="0.76405253979014187"/>
          <c:h val="5.9796145113762633E-2"/>
        </c:manualLayout>
      </c:layout>
      <c:spPr>
        <a:noFill/>
        <a:ln w="3132">
          <a:solidFill>
            <a:srgbClr val="000000"/>
          </a:solidFill>
          <a:prstDash val="solid"/>
        </a:ln>
      </c:spPr>
    </c:legend>
    <c:plotVisOnly val="1"/>
    <c:dispBlanksAs val="gap"/>
  </c:chart>
  <c:spPr>
    <a:ln w="3132">
      <a:noFill/>
      <a:prstDash val="solid"/>
    </a:ln>
  </c:spPr>
  <c:txPr>
    <a:bodyPr/>
    <a:lstStyle/>
    <a:p>
      <a:pPr>
        <a:defRPr sz="792" b="0" i="0" u="none" strike="noStrike" baseline="0">
          <a:solidFill>
            <a:srgbClr val="000000"/>
          </a:solidFill>
          <a:latin typeface=""/>
          <a:ea typeface="Arial"/>
          <a:cs typeface="Arial"/>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ar-SA"/>
  <c:chart>
    <c:plotArea>
      <c:layout>
        <c:manualLayout>
          <c:layoutTarget val="inner"/>
          <c:xMode val="edge"/>
          <c:yMode val="edge"/>
          <c:x val="0.10460124108418412"/>
          <c:y val="5.1639626442043833E-2"/>
          <c:w val="0.88054997398829493"/>
          <c:h val="0.6596866467866529"/>
        </c:manualLayout>
      </c:layout>
      <c:barChart>
        <c:barDir val="col"/>
        <c:grouping val="clustered"/>
        <c:ser>
          <c:idx val="0"/>
          <c:order val="0"/>
          <c:tx>
            <c:strRef>
              <c:f>ورقة1!$A$2</c:f>
              <c:strCache>
                <c:ptCount val="1"/>
                <c:pt idx="0">
                  <c:v>Male</c:v>
                </c:pt>
              </c:strCache>
            </c:strRef>
          </c:tx>
          <c:dLbls>
            <c:dLbl>
              <c:idx val="5"/>
              <c:layout>
                <c:manualLayout>
                  <c:x val="-1.5686274509803921E-2"/>
                  <c:y val="0"/>
                </c:manualLayout>
              </c:layout>
              <c:dLblPos val="outEnd"/>
              <c:showVal val="1"/>
            </c:dLbl>
            <c:dLbl>
              <c:idx val="6"/>
              <c:layout>
                <c:manualLayout>
                  <c:x val="-1.5686274509803921E-2"/>
                  <c:y val="0"/>
                </c:manualLayout>
              </c:layout>
              <c:dLblPos val="outEnd"/>
              <c:showVal val="1"/>
            </c:dLbl>
            <c:dLblPos val="outEnd"/>
            <c:showVal val="1"/>
          </c:dLbls>
          <c:cat>
            <c:strRef>
              <c:f>ورقة1!$B$1:$H$1</c:f>
              <c:strCache>
                <c:ptCount val="7"/>
                <c:pt idx="0">
                  <c:v>0-17</c:v>
                </c:pt>
                <c:pt idx="1">
                  <c:v>18-34</c:v>
                </c:pt>
                <c:pt idx="2">
                  <c:v>35-44</c:v>
                </c:pt>
                <c:pt idx="3">
                  <c:v>45-54</c:v>
                </c:pt>
                <c:pt idx="4">
                  <c:v>55-64</c:v>
                </c:pt>
                <c:pt idx="5">
                  <c:v>65-74</c:v>
                </c:pt>
                <c:pt idx="6">
                  <c:v>75 +</c:v>
                </c:pt>
              </c:strCache>
            </c:strRef>
          </c:cat>
          <c:val>
            <c:numRef>
              <c:f>ورقة1!$B$2:$H$2</c:f>
              <c:numCache>
                <c:formatCode>General</c:formatCode>
                <c:ptCount val="7"/>
                <c:pt idx="0">
                  <c:v>1.8</c:v>
                </c:pt>
                <c:pt idx="1">
                  <c:v>2.2999999999999998</c:v>
                </c:pt>
                <c:pt idx="2">
                  <c:v>3.4</c:v>
                </c:pt>
                <c:pt idx="3">
                  <c:v>4.4000000000000004</c:v>
                </c:pt>
                <c:pt idx="4">
                  <c:v>7.5</c:v>
                </c:pt>
                <c:pt idx="5">
                  <c:v>11.9</c:v>
                </c:pt>
                <c:pt idx="6">
                  <c:v>28.9</c:v>
                </c:pt>
              </c:numCache>
            </c:numRef>
          </c:val>
        </c:ser>
        <c:ser>
          <c:idx val="1"/>
          <c:order val="1"/>
          <c:tx>
            <c:strRef>
              <c:f>ورقة1!$A$3</c:f>
              <c:strCache>
                <c:ptCount val="1"/>
                <c:pt idx="0">
                  <c:v>Female</c:v>
                </c:pt>
              </c:strCache>
            </c:strRef>
          </c:tx>
          <c:spPr>
            <a:solidFill>
              <a:schemeClr val="accent2">
                <a:lumMod val="60000"/>
                <a:lumOff val="40000"/>
              </a:schemeClr>
            </a:solidFill>
          </c:spPr>
          <c:cat>
            <c:strRef>
              <c:f>ورقة1!$B$1:$H$1</c:f>
              <c:strCache>
                <c:ptCount val="7"/>
                <c:pt idx="0">
                  <c:v>0-17</c:v>
                </c:pt>
                <c:pt idx="1">
                  <c:v>18-34</c:v>
                </c:pt>
                <c:pt idx="2">
                  <c:v>35-44</c:v>
                </c:pt>
                <c:pt idx="3">
                  <c:v>45-54</c:v>
                </c:pt>
                <c:pt idx="4">
                  <c:v>55-64</c:v>
                </c:pt>
                <c:pt idx="5">
                  <c:v>65-74</c:v>
                </c:pt>
                <c:pt idx="6">
                  <c:v>75 +</c:v>
                </c:pt>
              </c:strCache>
            </c:strRef>
          </c:cat>
          <c:val>
            <c:numRef>
              <c:f>ورقة1!$B$3:$H$3</c:f>
              <c:numCache>
                <c:formatCode>General</c:formatCode>
                <c:ptCount val="7"/>
                <c:pt idx="0">
                  <c:v>1.3</c:v>
                </c:pt>
                <c:pt idx="1">
                  <c:v>1.4</c:v>
                </c:pt>
                <c:pt idx="2">
                  <c:v>1.9000000000000001</c:v>
                </c:pt>
                <c:pt idx="3">
                  <c:v>3.8</c:v>
                </c:pt>
                <c:pt idx="4">
                  <c:v>6.6</c:v>
                </c:pt>
                <c:pt idx="5">
                  <c:v>20.5</c:v>
                </c:pt>
                <c:pt idx="6">
                  <c:v>34.1</c:v>
                </c:pt>
              </c:numCache>
            </c:numRef>
          </c:val>
        </c:ser>
        <c:dLbls>
          <c:showVal val="1"/>
        </c:dLbls>
        <c:axId val="76224768"/>
        <c:axId val="86622592"/>
      </c:barChart>
      <c:catAx>
        <c:axId val="76224768"/>
        <c:scaling>
          <c:orientation val="minMax"/>
        </c:scaling>
        <c:axPos val="b"/>
        <c:title>
          <c:tx>
            <c:rich>
              <a:bodyPr/>
              <a:lstStyle/>
              <a:p>
                <a:pPr>
                  <a:defRPr sz="1100" b="0" i="0" u="none" strike="noStrike" baseline="0">
                    <a:solidFill>
                      <a:srgbClr val="000000"/>
                    </a:solidFill>
                    <a:latin typeface="Arial"/>
                    <a:ea typeface="Arial"/>
                    <a:cs typeface="Arial"/>
                  </a:defRPr>
                </a:pPr>
                <a:r>
                  <a:rPr lang="en-US" sz="790" b="1" i="0" u="none" strike="noStrike" baseline="0">
                    <a:solidFill>
                      <a:srgbClr val="000000"/>
                    </a:solidFill>
                    <a:latin typeface="Arial"/>
                    <a:cs typeface="Arial"/>
                  </a:rPr>
                  <a:t> </a:t>
                </a:r>
                <a:r>
                  <a:rPr lang="en-US" sz="790" b="1" i="0" u="none" strike="noStrike" baseline="0">
                    <a:solidFill>
                      <a:srgbClr val="000000"/>
                    </a:solidFill>
                    <a:latin typeface="Calibri"/>
                  </a:rPr>
                  <a:t>Age Group</a:t>
                </a:r>
              </a:p>
            </c:rich>
          </c:tx>
          <c:layout>
            <c:manualLayout>
              <c:xMode val="edge"/>
              <c:yMode val="edge"/>
              <c:x val="0.41197761123233373"/>
              <c:y val="0.86193557015564171"/>
            </c:manualLayout>
          </c:layout>
        </c:title>
        <c:numFmt formatCode="General" sourceLinked="1"/>
        <c:tickLblPos val="nextTo"/>
        <c:txPr>
          <a:bodyPr rot="0"/>
          <a:lstStyle/>
          <a:p>
            <a:pPr rtl="0">
              <a:defRPr/>
            </a:pPr>
            <a:endParaRPr lang="ar-SA"/>
          </a:p>
        </c:txPr>
        <c:crossAx val="86622592"/>
        <c:crosses val="autoZero"/>
        <c:auto val="1"/>
        <c:lblAlgn val="ctr"/>
        <c:lblOffset val="100"/>
      </c:catAx>
      <c:valAx>
        <c:axId val="86622592"/>
        <c:scaling>
          <c:orientation val="minMax"/>
        </c:scaling>
        <c:axPos val="l"/>
        <c:title>
          <c:tx>
            <c:rich>
              <a:bodyPr/>
              <a:lstStyle/>
              <a:p>
                <a:pPr>
                  <a:defRPr sz="790" b="1" i="0" u="none" strike="noStrike" baseline="0">
                    <a:solidFill>
                      <a:srgbClr val="000000"/>
                    </a:solidFill>
                    <a:latin typeface="Calibri"/>
                    <a:ea typeface="Calibri"/>
                    <a:cs typeface="Calibri"/>
                  </a:defRPr>
                </a:pPr>
                <a:r>
                  <a:rPr lang="en-GB"/>
                  <a:t>Percentage</a:t>
                </a:r>
              </a:p>
            </c:rich>
          </c:tx>
          <c:layout>
            <c:manualLayout>
              <c:xMode val="edge"/>
              <c:yMode val="edge"/>
              <c:x val="9.4862600006324505E-3"/>
              <c:y val="0.1234873029406356"/>
            </c:manualLayout>
          </c:layout>
        </c:title>
        <c:numFmt formatCode="General" sourceLinked="1"/>
        <c:tickLblPos val="nextTo"/>
        <c:crossAx val="76224768"/>
        <c:crosses val="autoZero"/>
        <c:crossBetween val="between"/>
      </c:valAx>
    </c:plotArea>
    <c:legend>
      <c:legendPos val="r"/>
      <c:layout>
        <c:manualLayout>
          <c:xMode val="edge"/>
          <c:yMode val="edge"/>
          <c:x val="0.33767624830029164"/>
          <c:y val="4.9692896668171324E-2"/>
          <c:w val="0.24644594124529881"/>
          <c:h val="0.12913586438637839"/>
        </c:manualLayout>
      </c:layout>
    </c:legend>
    <c:plotVisOnly val="1"/>
    <c:dispBlanksAs val="gap"/>
  </c:chart>
  <c:spPr>
    <a:ln>
      <a:noFill/>
    </a:ln>
  </c:spPr>
  <c:txPr>
    <a:bodyPr/>
    <a:lstStyle/>
    <a:p>
      <a:pPr>
        <a:defRPr sz="793">
          <a:cs typeface="+mn-cs"/>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689433051637776"/>
          <c:y val="5.5267533418787783E-2"/>
          <c:w val="0.86597230901692757"/>
          <c:h val="0.64008826222304194"/>
        </c:manualLayout>
      </c:layout>
      <c:lineChart>
        <c:grouping val="stacked"/>
        <c:ser>
          <c:idx val="0"/>
          <c:order val="0"/>
          <c:tx>
            <c:strRef>
              <c:f>ورقة1!$A$2</c:f>
              <c:strCache>
                <c:ptCount val="1"/>
                <c:pt idx="0">
                  <c:v>فئة 1</c:v>
                </c:pt>
              </c:strCache>
            </c:strRef>
          </c:tx>
          <c:marker>
            <c:symbol val="circle"/>
            <c:size val="6"/>
          </c:marker>
          <c:dLbls>
            <c:dLbl>
              <c:idx val="0"/>
              <c:layout>
                <c:manualLayout>
                  <c:x val="2.9301595102511802E-3"/>
                  <c:y val="-3.9898213942769406E-2"/>
                </c:manualLayout>
              </c:layout>
              <c:dLblPos val="r"/>
              <c:showVal val="1"/>
            </c:dLbl>
            <c:dLbl>
              <c:idx val="1"/>
              <c:layout>
                <c:manualLayout>
                  <c:x val="-9.0245556912223593E-2"/>
                  <c:y val="-2.1732649697857542E-2"/>
                </c:manualLayout>
              </c:layout>
              <c:dLblPos val="r"/>
              <c:showVal val="1"/>
            </c:dLbl>
            <c:dLbl>
              <c:idx val="2"/>
              <c:layout>
                <c:manualLayout>
                  <c:x val="-2.1491041570957072E-2"/>
                  <c:y val="-8.5899270213174533E-2"/>
                </c:manualLayout>
              </c:layout>
              <c:dLblPos val="r"/>
              <c:showVal val="1"/>
            </c:dLbl>
            <c:dLbl>
              <c:idx val="3"/>
              <c:layout>
                <c:manualLayout>
                  <c:x val="-3.6581587410122117E-4"/>
                  <c:y val="6.4982235452275924E-2"/>
                </c:manualLayout>
              </c:layout>
              <c:dLblPos val="r"/>
              <c:showVal val="1"/>
            </c:dLbl>
            <c:dLbl>
              <c:idx val="4"/>
              <c:layout>
                <c:manualLayout>
                  <c:x val="-5.2164419618487903E-3"/>
                  <c:y val="-3.5360556674601723E-2"/>
                </c:manualLayout>
              </c:layout>
              <c:dLblPos val="r"/>
              <c:showVal val="1"/>
            </c:dLbl>
            <c:dLbl>
              <c:idx val="5"/>
              <c:layout>
                <c:manualLayout>
                  <c:x val="-1.1904922141142625E-2"/>
                  <c:y val="-3.5360556674601723E-2"/>
                </c:manualLayout>
              </c:layout>
              <c:dLblPos val="r"/>
              <c:showVal val="1"/>
            </c:dLbl>
            <c:dLbl>
              <c:idx val="6"/>
              <c:layout>
                <c:manualLayout>
                  <c:x val="-4.3705220608107782E-2"/>
                  <c:y val="-5.7593114814137508E-2"/>
                </c:manualLayout>
              </c:layout>
              <c:dLblPos val="r"/>
              <c:showVal val="1"/>
            </c:dLbl>
            <c:dLbl>
              <c:idx val="8"/>
              <c:layout>
                <c:manualLayout>
                  <c:x val="-7.7030096475389692E-2"/>
                  <c:y val="-7.515075859420009E-2"/>
                </c:manualLayout>
              </c:layout>
              <c:dLblPos val="r"/>
              <c:showVal val="1"/>
            </c:dLbl>
            <c:dLbl>
              <c:idx val="10"/>
              <c:layout>
                <c:manualLayout>
                  <c:x val="-5.4056490801898463E-2"/>
                  <c:y val="-6.7918696209485971E-2"/>
                </c:manualLayout>
              </c:layout>
              <c:dLblPos val="r"/>
              <c:showVal val="1"/>
            </c:dLbl>
            <c:dLbl>
              <c:idx val="11"/>
              <c:layout>
                <c:manualLayout>
                  <c:x val="-7.9206188100300112E-2"/>
                  <c:y val="9.8626848473210224E-3"/>
                </c:manualLayout>
              </c:layout>
              <c:dLblPos val="r"/>
              <c:showVal val="1"/>
            </c:dLbl>
            <c:dLblPos val="t"/>
            <c:showVal val="1"/>
          </c:dLbls>
          <c:cat>
            <c:strRef>
              <c:f>ورقة1!$B$1:$M$1</c:f>
              <c:strCache>
                <c:ptCount val="12"/>
                <c:pt idx="0">
                  <c:v> 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ورقة1!$B$2:$M$2</c:f>
              <c:numCache>
                <c:formatCode>#,##0</c:formatCode>
                <c:ptCount val="12"/>
                <c:pt idx="0">
                  <c:v>17620</c:v>
                </c:pt>
                <c:pt idx="1">
                  <c:v>10415</c:v>
                </c:pt>
                <c:pt idx="2">
                  <c:v>7785</c:v>
                </c:pt>
                <c:pt idx="3">
                  <c:v>7320</c:v>
                </c:pt>
                <c:pt idx="4">
                  <c:v>9240</c:v>
                </c:pt>
                <c:pt idx="5">
                  <c:v>8150</c:v>
                </c:pt>
                <c:pt idx="6">
                  <c:v>4195</c:v>
                </c:pt>
                <c:pt idx="7">
                  <c:v>3310</c:v>
                </c:pt>
                <c:pt idx="8">
                  <c:v>6280</c:v>
                </c:pt>
                <c:pt idx="9">
                  <c:v>13117</c:v>
                </c:pt>
                <c:pt idx="10">
                  <c:v>14240</c:v>
                </c:pt>
                <c:pt idx="11">
                  <c:v>3265</c:v>
                </c:pt>
              </c:numCache>
            </c:numRef>
          </c:val>
          <c:smooth val="1"/>
        </c:ser>
        <c:dLbls>
          <c:showVal val="1"/>
        </c:dLbls>
        <c:marker val="1"/>
        <c:axId val="102076800"/>
        <c:axId val="102078336"/>
      </c:lineChart>
      <c:catAx>
        <c:axId val="102076800"/>
        <c:scaling>
          <c:orientation val="minMax"/>
        </c:scaling>
        <c:axPos val="b"/>
        <c:tickLblPos val="nextTo"/>
        <c:crossAx val="102078336"/>
        <c:crosses val="autoZero"/>
        <c:auto val="1"/>
        <c:lblAlgn val="ctr"/>
        <c:lblOffset val="100"/>
      </c:catAx>
      <c:valAx>
        <c:axId val="102078336"/>
        <c:scaling>
          <c:orientation val="minMax"/>
        </c:scaling>
        <c:axPos val="l"/>
        <c:numFmt formatCode="#,##0" sourceLinked="1"/>
        <c:tickLblPos val="nextTo"/>
        <c:crossAx val="102076800"/>
        <c:crosses val="autoZero"/>
        <c:crossBetween val="between"/>
      </c:valAx>
    </c:plotArea>
    <c:plotVisOnly val="1"/>
  </c:chart>
  <c:spPr>
    <a:ln>
      <a:noFill/>
    </a:ln>
  </c:spPr>
  <c:txPr>
    <a:bodyPr/>
    <a:lstStyle/>
    <a:p>
      <a:pPr>
        <a:defRPr sz="800">
          <a:cs typeface="+mn-cs"/>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99124061985069"/>
          <c:y val="0.13365573530377337"/>
          <c:w val="0.84833135061026899"/>
          <c:h val="0.50593073924011933"/>
        </c:manualLayout>
      </c:layout>
      <c:barChart>
        <c:barDir val="col"/>
        <c:grouping val="clustered"/>
        <c:ser>
          <c:idx val="0"/>
          <c:order val="0"/>
          <c:tx>
            <c:strRef>
              <c:f>Sheet1!$A$2</c:f>
              <c:strCache>
                <c:ptCount val="1"/>
                <c:pt idx="0">
                  <c:v>East</c:v>
                </c:pt>
              </c:strCache>
            </c:strRef>
          </c:tx>
          <c:spPr>
            <a:solidFill>
              <a:srgbClr val="9999FF"/>
            </a:solidFill>
            <a:ln w="12170">
              <a:solidFill>
                <a:srgbClr val="000000"/>
              </a:solidFill>
              <a:prstDash val="solid"/>
            </a:ln>
          </c:spPr>
          <c:cat>
            <c:strRef>
              <c:f>Sheet1!$B$1:$E$1</c:f>
              <c:strCache>
                <c:ptCount val="4"/>
                <c:pt idx="0">
                  <c:v>Mobile Phone </c:v>
                </c:pt>
                <c:pt idx="1">
                  <c:v>Computer</c:v>
                </c:pt>
                <c:pt idx="2">
                  <c:v>Telephone Line</c:v>
                </c:pt>
                <c:pt idx="3">
                  <c:v>Internet at Home</c:v>
                </c:pt>
              </c:strCache>
            </c:strRef>
          </c:cat>
          <c:val>
            <c:numRef>
              <c:f>Sheet1!$B$2:$E$2</c:f>
              <c:numCache>
                <c:formatCode>General</c:formatCode>
                <c:ptCount val="4"/>
                <c:pt idx="0">
                  <c:v>97.8</c:v>
                </c:pt>
                <c:pt idx="1">
                  <c:v>63.1</c:v>
                </c:pt>
                <c:pt idx="2">
                  <c:v>39.800000000000004</c:v>
                </c:pt>
                <c:pt idx="3">
                  <c:v>48.3</c:v>
                </c:pt>
              </c:numCache>
            </c:numRef>
          </c:val>
        </c:ser>
        <c:dLbls>
          <c:showVal val="1"/>
        </c:dLbls>
        <c:axId val="103093376"/>
        <c:axId val="103095296"/>
      </c:barChart>
      <c:catAx>
        <c:axId val="103093376"/>
        <c:scaling>
          <c:orientation val="minMax"/>
        </c:scaling>
        <c:axPos val="b"/>
        <c:title>
          <c:tx>
            <c:rich>
              <a:bodyPr/>
              <a:lstStyle/>
              <a:p>
                <a:pPr>
                  <a:defRPr sz="991" b="1" i="0" u="none" strike="noStrike" baseline="0">
                    <a:solidFill>
                      <a:srgbClr val="000000"/>
                    </a:solidFill>
                    <a:latin typeface="Calibri"/>
                    <a:ea typeface="Calibri"/>
                    <a:cs typeface="Calibri"/>
                  </a:defRPr>
                </a:pPr>
                <a:r>
                  <a:rPr lang="en-US" sz="778" b="1" i="0" u="none" strike="noStrike" baseline="0">
                    <a:solidFill>
                      <a:srgbClr val="000000"/>
                    </a:solidFill>
                    <a:latin typeface="Calibri"/>
                  </a:rPr>
                  <a:t>ICT Tools</a:t>
                </a:r>
              </a:p>
            </c:rich>
          </c:tx>
          <c:layout>
            <c:manualLayout>
              <c:xMode val="edge"/>
              <c:yMode val="edge"/>
              <c:x val="0.46719128285960781"/>
              <c:y val="0.84818451588122656"/>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03095296"/>
        <c:crosses val="autoZero"/>
        <c:auto val="1"/>
        <c:lblAlgn val="ctr"/>
        <c:lblOffset val="100"/>
        <c:tickLblSkip val="1"/>
        <c:tickMarkSkip val="1"/>
      </c:catAx>
      <c:valAx>
        <c:axId val="103095296"/>
        <c:scaling>
          <c:orientation val="minMax"/>
          <c:max val="100"/>
          <c:min val="0"/>
        </c:scaling>
        <c:axPos val="l"/>
        <c:title>
          <c:tx>
            <c:rich>
              <a:bodyPr/>
              <a:lstStyle/>
              <a:p>
                <a:pPr>
                  <a:defRPr sz="991" b="1" i="0" u="none" strike="noStrike" baseline="0">
                    <a:solidFill>
                      <a:srgbClr val="000000"/>
                    </a:solidFill>
                    <a:latin typeface="Calibri"/>
                    <a:ea typeface="Calibri"/>
                    <a:cs typeface="Calibri"/>
                  </a:defRPr>
                </a:pPr>
                <a:r>
                  <a:rPr lang="en-US" sz="778" b="1" i="0" u="none" strike="noStrike" baseline="0">
                    <a:solidFill>
                      <a:srgbClr val="000000"/>
                    </a:solidFill>
                    <a:latin typeface="Calibri"/>
                  </a:rPr>
                  <a:t>Percentage</a:t>
                </a:r>
              </a:p>
            </c:rich>
          </c:tx>
          <c:layout>
            <c:manualLayout>
              <c:xMode val="edge"/>
              <c:yMode val="edge"/>
              <c:x val="1.2342838869645042E-2"/>
              <c:y val="0.17177806550735089"/>
            </c:manualLayout>
          </c:layout>
          <c:spPr>
            <a:noFill/>
            <a:ln w="24336">
              <a:noFill/>
            </a:ln>
          </c:spPr>
        </c:title>
        <c:numFmt formatCode="General" sourceLinked="1"/>
        <c:tickLblPos val="nextTo"/>
        <c:spPr>
          <a:ln w="3042">
            <a:solidFill>
              <a:srgbClr val="000000"/>
            </a:solidFill>
            <a:prstDash val="solid"/>
          </a:ln>
        </c:spPr>
        <c:txPr>
          <a:bodyPr rot="0" vert="horz"/>
          <a:lstStyle/>
          <a:p>
            <a:pPr>
              <a:defRPr b="0"/>
            </a:pPr>
            <a:endParaRPr lang="ar-SA"/>
          </a:p>
        </c:txPr>
        <c:crossAx val="103093376"/>
        <c:crosses val="autoZero"/>
        <c:crossBetween val="between"/>
        <c:majorUnit val="10"/>
      </c:valAx>
      <c:spPr>
        <a:noFill/>
        <a:ln w="25166">
          <a:noFill/>
        </a:ln>
      </c:spPr>
    </c:plotArea>
    <c:plotVisOnly val="1"/>
    <c:dispBlanksAs val="gap"/>
  </c:chart>
  <c:spPr>
    <a:noFill/>
    <a:ln>
      <a:noFill/>
    </a:ln>
  </c:spPr>
  <c:txPr>
    <a:bodyPr/>
    <a:lstStyle/>
    <a:p>
      <a:pPr>
        <a:defRPr sz="782" b="1" i="0" u="none" strike="noStrike" baseline="0">
          <a:solidFill>
            <a:srgbClr val="000000"/>
          </a:solidFill>
          <a:latin typeface="Calibri"/>
          <a:ea typeface="Calibri"/>
          <a:cs typeface="+mn-cs"/>
        </a:defRPr>
      </a:pPr>
      <a:endParaRPr lang="ar-SA"/>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195121951219511"/>
          <c:y val="0.15554737330793808"/>
          <c:w val="0.85809312638582513"/>
          <c:h val="0.61224046228041651"/>
        </c:manualLayout>
      </c:layout>
      <c:barChart>
        <c:barDir val="col"/>
        <c:grouping val="clustered"/>
        <c:ser>
          <c:idx val="0"/>
          <c:order val="0"/>
          <c:tx>
            <c:strRef>
              <c:f>Sheet1!$B$1</c:f>
              <c:strCache>
                <c:ptCount val="1"/>
                <c:pt idx="0">
                  <c:v>الأراضي الفلسطينية Palestinian Territory</c:v>
                </c:pt>
              </c:strCache>
            </c:strRef>
          </c:tx>
          <c:spPr>
            <a:solidFill>
              <a:srgbClr val="9999FF"/>
            </a:solidFill>
            <a:ln w="12183">
              <a:solidFill>
                <a:srgbClr val="000000"/>
              </a:solidFill>
              <a:prstDash val="solid"/>
            </a:ln>
          </c:spPr>
          <c:cat>
            <c:numRef>
              <c:f>Sheet1!$A$2:$A$4</c:f>
              <c:numCache>
                <c:formatCode>General</c:formatCode>
                <c:ptCount val="3"/>
                <c:pt idx="0">
                  <c:v>2009</c:v>
                </c:pt>
                <c:pt idx="1">
                  <c:v>2010</c:v>
                </c:pt>
                <c:pt idx="2">
                  <c:v>2011</c:v>
                </c:pt>
              </c:numCache>
            </c:numRef>
          </c:cat>
          <c:val>
            <c:numRef>
              <c:f>Sheet1!$B$2:$B$4</c:f>
            </c:numRef>
          </c:val>
        </c:ser>
        <c:ser>
          <c:idx val="1"/>
          <c:order val="1"/>
          <c:tx>
            <c:strRef>
              <c:f>Sheet1!$C$1</c:f>
              <c:strCache>
                <c:ptCount val="1"/>
                <c:pt idx="0">
                  <c:v>West Bank</c:v>
                </c:pt>
              </c:strCache>
            </c:strRef>
          </c:tx>
          <c:spPr>
            <a:solidFill>
              <a:srgbClr val="993366"/>
            </a:solidFill>
            <a:ln w="12183">
              <a:solidFill>
                <a:srgbClr val="000000"/>
              </a:solidFill>
              <a:prstDash val="solid"/>
            </a:ln>
          </c:spPr>
          <c:cat>
            <c:numRef>
              <c:f>Sheet1!$A$2:$A$4</c:f>
              <c:numCache>
                <c:formatCode>General</c:formatCode>
                <c:ptCount val="3"/>
                <c:pt idx="0">
                  <c:v>2009</c:v>
                </c:pt>
                <c:pt idx="1">
                  <c:v>2010</c:v>
                </c:pt>
                <c:pt idx="2">
                  <c:v>2011</c:v>
                </c:pt>
              </c:numCache>
            </c:numRef>
          </c:cat>
          <c:val>
            <c:numRef>
              <c:f>Sheet1!$C$2:$C$4</c:f>
              <c:numCache>
                <c:formatCode>General</c:formatCode>
                <c:ptCount val="3"/>
                <c:pt idx="0">
                  <c:v>19.399999999999999</c:v>
                </c:pt>
                <c:pt idx="1">
                  <c:v>18.3</c:v>
                </c:pt>
                <c:pt idx="2">
                  <c:v>17.8</c:v>
                </c:pt>
              </c:numCache>
            </c:numRef>
          </c:val>
        </c:ser>
        <c:ser>
          <c:idx val="2"/>
          <c:order val="2"/>
          <c:tx>
            <c:strRef>
              <c:f>Sheet1!$D$1</c:f>
              <c:strCache>
                <c:ptCount val="1"/>
                <c:pt idx="0">
                  <c:v>Gaza Strip</c:v>
                </c:pt>
              </c:strCache>
            </c:strRef>
          </c:tx>
          <c:spPr>
            <a:solidFill>
              <a:srgbClr val="FFFFCC"/>
            </a:solidFill>
            <a:ln w="12183">
              <a:solidFill>
                <a:srgbClr val="000000"/>
              </a:solidFill>
              <a:prstDash val="solid"/>
            </a:ln>
          </c:spPr>
          <c:dLbls>
            <c:numFmt formatCode="#,##0.0" sourceLinked="0"/>
            <c:dLblPos val="outEnd"/>
            <c:showVal val="1"/>
          </c:dLbls>
          <c:cat>
            <c:numRef>
              <c:f>Sheet1!$A$2:$A$4</c:f>
              <c:numCache>
                <c:formatCode>General</c:formatCode>
                <c:ptCount val="3"/>
                <c:pt idx="0">
                  <c:v>2009</c:v>
                </c:pt>
                <c:pt idx="1">
                  <c:v>2010</c:v>
                </c:pt>
                <c:pt idx="2">
                  <c:v>2011</c:v>
                </c:pt>
              </c:numCache>
            </c:numRef>
          </c:cat>
          <c:val>
            <c:numRef>
              <c:f>Sheet1!$D$2:$D$4</c:f>
              <c:numCache>
                <c:formatCode>General</c:formatCode>
                <c:ptCount val="3"/>
                <c:pt idx="0">
                  <c:v>38.300000000000004</c:v>
                </c:pt>
                <c:pt idx="1">
                  <c:v>38</c:v>
                </c:pt>
                <c:pt idx="2">
                  <c:v>38.800000000000004</c:v>
                </c:pt>
              </c:numCache>
            </c:numRef>
          </c:val>
        </c:ser>
        <c:dLbls>
          <c:showVal val="1"/>
        </c:dLbls>
        <c:axId val="103479168"/>
        <c:axId val="107057152"/>
      </c:barChart>
      <c:catAx>
        <c:axId val="103479168"/>
        <c:scaling>
          <c:orientation val="minMax"/>
        </c:scaling>
        <c:axPos val="b"/>
        <c:title>
          <c:tx>
            <c:rich>
              <a:bodyPr/>
              <a:lstStyle/>
              <a:p>
                <a:pPr>
                  <a:defRPr sz="760" b="1" i="0" u="none" strike="noStrike" baseline="0">
                    <a:solidFill>
                      <a:srgbClr val="000000"/>
                    </a:solidFill>
                    <a:latin typeface="Arial"/>
                    <a:ea typeface="Arial"/>
                    <a:cs typeface="Arial"/>
                  </a:defRPr>
                </a:pPr>
                <a:r>
                  <a:rPr lang="en-GB"/>
                  <a:t>Year</a:t>
                </a:r>
              </a:p>
            </c:rich>
          </c:tx>
          <c:layout>
            <c:manualLayout>
              <c:xMode val="edge"/>
              <c:yMode val="edge"/>
              <c:x val="0.46784916378206765"/>
              <c:y val="0.88385616031572656"/>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07057152"/>
        <c:crosses val="autoZero"/>
        <c:auto val="1"/>
        <c:lblAlgn val="ctr"/>
        <c:lblOffset val="100"/>
        <c:tickLblSkip val="1"/>
        <c:tickMarkSkip val="1"/>
      </c:catAx>
      <c:valAx>
        <c:axId val="107057152"/>
        <c:scaling>
          <c:orientation val="minMax"/>
        </c:scaling>
        <c:axPos val="l"/>
        <c:title>
          <c:tx>
            <c:rich>
              <a:bodyPr/>
              <a:lstStyle/>
              <a:p>
                <a:pPr>
                  <a:defRPr sz="760" b="1" i="0" u="none" strike="noStrike" baseline="0">
                    <a:solidFill>
                      <a:srgbClr val="000000"/>
                    </a:solidFill>
                    <a:latin typeface="Arial"/>
                    <a:ea typeface="Arial"/>
                    <a:cs typeface="Arial"/>
                  </a:defRPr>
                </a:pPr>
                <a:r>
                  <a:rPr lang="en-GB"/>
                  <a:t>Poverty Rates </a:t>
                </a:r>
              </a:p>
            </c:rich>
          </c:tx>
          <c:layout>
            <c:manualLayout>
              <c:xMode val="edge"/>
              <c:yMode val="edge"/>
              <c:x val="2.4390429457187363E-2"/>
              <c:y val="0.16818131310228571"/>
            </c:manualLayout>
          </c:layout>
          <c:spPr>
            <a:noFill/>
            <a:ln w="24361">
              <a:noFill/>
            </a:ln>
          </c:spPr>
        </c:title>
        <c:numFmt formatCode="General" sourceLinked="1"/>
        <c:tickLblPos val="nextTo"/>
        <c:spPr>
          <a:ln w="3044">
            <a:solidFill>
              <a:srgbClr val="000000"/>
            </a:solidFill>
            <a:prstDash val="solid"/>
          </a:ln>
        </c:spPr>
        <c:txPr>
          <a:bodyPr rot="0" vert="horz"/>
          <a:lstStyle/>
          <a:p>
            <a:pPr>
              <a:defRPr/>
            </a:pPr>
            <a:endParaRPr lang="ar-SA"/>
          </a:p>
        </c:txPr>
        <c:crossAx val="103479168"/>
        <c:crosses val="autoZero"/>
        <c:crossBetween val="between"/>
      </c:valAx>
      <c:spPr>
        <a:noFill/>
        <a:ln w="25395">
          <a:noFill/>
        </a:ln>
      </c:spPr>
    </c:plotArea>
    <c:legend>
      <c:legendPos val="t"/>
      <c:layout>
        <c:manualLayout>
          <c:xMode val="edge"/>
          <c:yMode val="edge"/>
          <c:x val="6.2958144724663018E-2"/>
          <c:y val="1.9445562005479245E-2"/>
          <c:w val="0.90300125527787889"/>
          <c:h val="0.12904496426997719"/>
        </c:manualLayout>
      </c:layout>
      <c:spPr>
        <a:noFill/>
        <a:ln w="3044">
          <a:noFill/>
          <a:prstDash val="solid"/>
        </a:ln>
      </c:spPr>
    </c:legend>
    <c:plotVisOnly val="1"/>
    <c:dispBlanksAs val="gap"/>
  </c:chart>
  <c:spPr>
    <a:noFill/>
    <a:ln>
      <a:noFill/>
    </a:ln>
  </c:spPr>
  <c:txPr>
    <a:bodyPr/>
    <a:lstStyle/>
    <a:p>
      <a:pPr>
        <a:defRPr sz="775" b="0" i="0" u="none" strike="noStrike" baseline="0">
          <a:solidFill>
            <a:srgbClr val="000000"/>
          </a:solidFill>
          <a:latin typeface="Arial"/>
          <a:ea typeface="Arial"/>
          <a:cs typeface="Arial"/>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6731276777587041E-2"/>
          <c:y val="8.6125692621755623E-2"/>
          <c:w val="0.90211470905135116"/>
          <c:h val="0.62887932950209779"/>
        </c:manualLayout>
      </c:layout>
      <c:barChart>
        <c:barDir val="col"/>
        <c:grouping val="clustered"/>
        <c:ser>
          <c:idx val="0"/>
          <c:order val="0"/>
          <c:tx>
            <c:strRef>
              <c:f>Sheet1!$B$1</c:f>
              <c:strCache>
                <c:ptCount val="1"/>
                <c:pt idx="0">
                  <c:v>متوسط كثافة السكن  Average Housing Density</c:v>
                </c:pt>
              </c:strCache>
            </c:strRef>
          </c:tx>
          <c:dLbls>
            <c:dLbl>
              <c:idx val="6"/>
              <c:layout/>
              <c:tx>
                <c:rich>
                  <a:bodyPr/>
                  <a:lstStyle/>
                  <a:p>
                    <a:r>
                      <a:rPr lang="en-US"/>
                      <a:t>1,271</a:t>
                    </a:r>
                  </a:p>
                </c:rich>
              </c:tx>
              <c:dLblPos val="outEnd"/>
              <c:showVal val="1"/>
            </c:dLbl>
            <c:dLblPos val="outEnd"/>
            <c:showVal val="1"/>
          </c:dLbls>
          <c:cat>
            <c:strRef>
              <c:f>Sheet1!$A$2:$A$12</c:f>
              <c:strCache>
                <c:ptCount val="11"/>
                <c:pt idx="0">
                  <c:v>Nablus</c:v>
                </c:pt>
                <c:pt idx="1">
                  <c:v>Hebron</c:v>
                </c:pt>
                <c:pt idx="2">
                  <c:v>Ramallah &amp; Al Bireh</c:v>
                </c:pt>
                <c:pt idx="3">
                  <c:v> Jenin</c:v>
                </c:pt>
                <c:pt idx="4">
                  <c:v>Qalqiliya</c:v>
                </c:pt>
                <c:pt idx="5">
                  <c:v>Tulkarm</c:v>
                </c:pt>
                <c:pt idx="6">
                  <c:v>Bethlehem</c:v>
                </c:pt>
                <c:pt idx="7">
                  <c:v>Salfit</c:v>
                </c:pt>
                <c:pt idx="8">
                  <c:v>Jericho &amp; Al Aghwar</c:v>
                </c:pt>
                <c:pt idx="9">
                  <c:v>Tubas</c:v>
                </c:pt>
                <c:pt idx="10">
                  <c:v> Jerusalem</c:v>
                </c:pt>
              </c:strCache>
            </c:strRef>
          </c:cat>
          <c:val>
            <c:numRef>
              <c:f>Sheet1!$B$2:$B$12</c:f>
              <c:numCache>
                <c:formatCode>#,##0</c:formatCode>
                <c:ptCount val="11"/>
                <c:pt idx="0">
                  <c:v>3066</c:v>
                </c:pt>
                <c:pt idx="1">
                  <c:v>3061</c:v>
                </c:pt>
                <c:pt idx="2">
                  <c:v>2421</c:v>
                </c:pt>
                <c:pt idx="3">
                  <c:v>2235</c:v>
                </c:pt>
                <c:pt idx="4">
                  <c:v>1522</c:v>
                </c:pt>
                <c:pt idx="5">
                  <c:v>1441</c:v>
                </c:pt>
                <c:pt idx="6">
                  <c:v>1271</c:v>
                </c:pt>
                <c:pt idx="7">
                  <c:v>1156</c:v>
                </c:pt>
                <c:pt idx="8">
                  <c:v>747</c:v>
                </c:pt>
                <c:pt idx="9">
                  <c:v>712</c:v>
                </c:pt>
                <c:pt idx="10">
                  <c:v>698</c:v>
                </c:pt>
              </c:numCache>
            </c:numRef>
          </c:val>
        </c:ser>
        <c:axId val="107036672"/>
        <c:axId val="107038208"/>
      </c:barChart>
      <c:catAx>
        <c:axId val="107036672"/>
        <c:scaling>
          <c:orientation val="minMax"/>
        </c:scaling>
        <c:axPos val="b"/>
        <c:tickLblPos val="nextTo"/>
        <c:txPr>
          <a:bodyPr rot="1380000"/>
          <a:lstStyle/>
          <a:p>
            <a:pPr>
              <a:defRPr/>
            </a:pPr>
            <a:endParaRPr lang="ar-SA"/>
          </a:p>
        </c:txPr>
        <c:crossAx val="107038208"/>
        <c:crosses val="autoZero"/>
        <c:auto val="1"/>
        <c:lblAlgn val="ctr"/>
        <c:lblOffset val="100"/>
      </c:catAx>
      <c:valAx>
        <c:axId val="107038208"/>
        <c:scaling>
          <c:orientation val="minMax"/>
          <c:max val="3200"/>
          <c:min val="0"/>
        </c:scaling>
        <c:axPos val="l"/>
        <c:numFmt formatCode="#,##0" sourceLinked="0"/>
        <c:tickLblPos val="nextTo"/>
        <c:crossAx val="107036672"/>
        <c:crosses val="autoZero"/>
        <c:crossBetween val="between"/>
        <c:majorUnit val="400"/>
      </c:valAx>
    </c:plotArea>
    <c:plotVisOnly val="1"/>
  </c:chart>
  <c:spPr>
    <a:ln>
      <a:noFill/>
    </a:ln>
  </c:spPr>
  <c:txPr>
    <a:bodyPr/>
    <a:lstStyle/>
    <a:p>
      <a:pPr>
        <a:defRPr sz="800"/>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3772706377804743E-2"/>
          <c:y val="0.13275568842155652"/>
          <c:w val="0.87545206113941643"/>
          <c:h val="0.68262154730660185"/>
        </c:manualLayout>
      </c:layout>
      <c:lineChart>
        <c:grouping val="standard"/>
        <c:ser>
          <c:idx val="0"/>
          <c:order val="0"/>
          <c:tx>
            <c:strRef>
              <c:f>Sheet1!$A$2</c:f>
              <c:strCache>
                <c:ptCount val="1"/>
                <c:pt idx="0">
                  <c:v>Full Employment</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Pos val="t"/>
            <c:showVal val="1"/>
          </c:dLbls>
          <c:cat>
            <c:strRef>
              <c:f>Sheet1!$B$1:$F$1</c:f>
              <c:strCache>
                <c:ptCount val="5"/>
                <c:pt idx="0">
                  <c:v>15-24</c:v>
                </c:pt>
                <c:pt idx="1">
                  <c:v>25-34</c:v>
                </c:pt>
                <c:pt idx="2">
                  <c:v>35-44</c:v>
                </c:pt>
                <c:pt idx="3">
                  <c:v>45-54</c:v>
                </c:pt>
                <c:pt idx="4">
                  <c:v>55+</c:v>
                </c:pt>
              </c:strCache>
            </c:strRef>
          </c:cat>
          <c:val>
            <c:numRef>
              <c:f>Sheet1!$B$2:$F$2</c:f>
              <c:numCache>
                <c:formatCode>0.0</c:formatCode>
                <c:ptCount val="5"/>
                <c:pt idx="0">
                  <c:v>51.8</c:v>
                </c:pt>
                <c:pt idx="1">
                  <c:v>67.5</c:v>
                </c:pt>
                <c:pt idx="2">
                  <c:v>82.7</c:v>
                </c:pt>
                <c:pt idx="3">
                  <c:v>83.5</c:v>
                </c:pt>
                <c:pt idx="4">
                  <c:v>88.7</c:v>
                </c:pt>
              </c:numCache>
            </c:numRef>
          </c:val>
          <c:smooth val="1"/>
        </c:ser>
        <c:ser>
          <c:idx val="1"/>
          <c:order val="1"/>
          <c:tx>
            <c:strRef>
              <c:f>Sheet1!$A$3</c:f>
              <c:strCache>
                <c:ptCount val="1"/>
                <c:pt idx="0">
                  <c:v>Underemployment</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3.7845761926818725E-2"/>
                  <c:y val="-5.1785401824772904E-2"/>
                </c:manualLayout>
              </c:layout>
              <c:dLblPos val="r"/>
              <c:showVal val="1"/>
            </c:dLbl>
            <c:dLbl>
              <c:idx val="1"/>
              <c:layout>
                <c:manualLayout>
                  <c:x val="-3.7845761926818725E-2"/>
                  <c:y val="-4.3848893888263969E-2"/>
                </c:manualLayout>
              </c:layout>
              <c:dLblPos val="r"/>
              <c:showVal val="1"/>
            </c:dLbl>
            <c:dLbl>
              <c:idx val="2"/>
              <c:layout>
                <c:manualLayout>
                  <c:x val="-6.7227867279488721E-2"/>
                  <c:y val="-1.7582238902750832E-2"/>
                </c:manualLayout>
              </c:layout>
              <c:dLblPos val="r"/>
              <c:showVal val="1"/>
            </c:dLbl>
            <c:dLbl>
              <c:idx val="3"/>
              <c:layout>
                <c:manualLayout>
                  <c:x val="-7.0167746744430923E-2"/>
                  <c:y val="-2.2570556554231506E-2"/>
                </c:manualLayout>
              </c:layout>
              <c:dLblPos val="r"/>
              <c:showVal val="1"/>
            </c:dLbl>
            <c:dLbl>
              <c:idx val="4"/>
              <c:layout>
                <c:manualLayout>
                  <c:x val="-5.4930523390459033E-3"/>
                  <c:y val="2.3690788651418598E-3"/>
                </c:manualLayout>
              </c:layout>
              <c:dLblPos val="r"/>
              <c:showVal val="1"/>
            </c:dLbl>
            <c:dLblPos val="t"/>
            <c:showVal val="1"/>
          </c:dLbls>
          <c:cat>
            <c:strRef>
              <c:f>Sheet1!$B$1:$F$1</c:f>
              <c:strCache>
                <c:ptCount val="5"/>
                <c:pt idx="0">
                  <c:v>15-24</c:v>
                </c:pt>
                <c:pt idx="1">
                  <c:v>25-34</c:v>
                </c:pt>
                <c:pt idx="2">
                  <c:v>35-44</c:v>
                </c:pt>
                <c:pt idx="3">
                  <c:v>45-54</c:v>
                </c:pt>
                <c:pt idx="4">
                  <c:v>55+</c:v>
                </c:pt>
              </c:strCache>
            </c:strRef>
          </c:cat>
          <c:val>
            <c:numRef>
              <c:f>Sheet1!$B$3:$F$3</c:f>
              <c:numCache>
                <c:formatCode>0.0</c:formatCode>
                <c:ptCount val="5"/>
                <c:pt idx="0">
                  <c:v>7.2</c:v>
                </c:pt>
                <c:pt idx="1">
                  <c:v>7.3</c:v>
                </c:pt>
                <c:pt idx="2">
                  <c:v>5.2</c:v>
                </c:pt>
                <c:pt idx="3">
                  <c:v>4.4000000000000004</c:v>
                </c:pt>
                <c:pt idx="4">
                  <c:v>1.9000000000000001</c:v>
                </c:pt>
              </c:numCache>
            </c:numRef>
          </c:val>
          <c:smooth val="1"/>
        </c:ser>
        <c:ser>
          <c:idx val="2"/>
          <c:order val="2"/>
          <c:tx>
            <c:strRef>
              <c:f>Sheet1!$A$4</c:f>
              <c:strCache>
                <c:ptCount val="1"/>
                <c:pt idx="0">
                  <c:v>Unemployment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8.4790016978810681E-2"/>
                  <c:y val="-2.6450613661417492E-2"/>
                </c:manualLayout>
              </c:layout>
              <c:dLblPos val="r"/>
              <c:showVal val="1"/>
            </c:dLbl>
            <c:dLblPos val="t"/>
            <c:showVal val="1"/>
          </c:dLbls>
          <c:cat>
            <c:strRef>
              <c:f>Sheet1!$B$1:$F$1</c:f>
              <c:strCache>
                <c:ptCount val="5"/>
                <c:pt idx="0">
                  <c:v>15-24</c:v>
                </c:pt>
                <c:pt idx="1">
                  <c:v>25-34</c:v>
                </c:pt>
                <c:pt idx="2">
                  <c:v>35-44</c:v>
                </c:pt>
                <c:pt idx="3">
                  <c:v>45-54</c:v>
                </c:pt>
                <c:pt idx="4">
                  <c:v>55+</c:v>
                </c:pt>
              </c:strCache>
            </c:strRef>
          </c:cat>
          <c:val>
            <c:numRef>
              <c:f>Sheet1!$B$4:$F$4</c:f>
              <c:numCache>
                <c:formatCode>0.0</c:formatCode>
                <c:ptCount val="5"/>
                <c:pt idx="0">
                  <c:v>41</c:v>
                </c:pt>
                <c:pt idx="1">
                  <c:v>25.2</c:v>
                </c:pt>
                <c:pt idx="2">
                  <c:v>12.1</c:v>
                </c:pt>
                <c:pt idx="3">
                  <c:v>12.1</c:v>
                </c:pt>
                <c:pt idx="4">
                  <c:v>9.4</c:v>
                </c:pt>
              </c:numCache>
            </c:numRef>
          </c:val>
          <c:smooth val="1"/>
        </c:ser>
        <c:dLbls>
          <c:showVal val="1"/>
        </c:dLbls>
        <c:marker val="1"/>
        <c:axId val="114735360"/>
        <c:axId val="114749824"/>
      </c:lineChart>
      <c:catAx>
        <c:axId val="114735360"/>
        <c:scaling>
          <c:orientation val="minMax"/>
        </c:scaling>
        <c:axPos val="b"/>
        <c:title>
          <c:tx>
            <c:rich>
              <a:bodyPr/>
              <a:lstStyle/>
              <a:p>
                <a:pPr>
                  <a:defRPr sz="800" b="1" i="0" u="none" strike="noStrike" baseline="0">
                    <a:solidFill>
                      <a:srgbClr val="000000"/>
                    </a:solidFill>
                    <a:latin typeface="Arial"/>
                    <a:ea typeface="Arial"/>
                    <a:cs typeface="Arial"/>
                  </a:defRPr>
                </a:pPr>
                <a:r>
                  <a:rPr lang="en-US" sz="800"/>
                  <a:t>Age Groups</a:t>
                </a:r>
              </a:p>
            </c:rich>
          </c:tx>
          <c:layout>
            <c:manualLayout>
              <c:xMode val="edge"/>
              <c:yMode val="edge"/>
              <c:x val="0.39056530801297484"/>
              <c:y val="0.91230158730158761"/>
            </c:manualLayout>
          </c:layout>
          <c:spPr>
            <a:noFill/>
            <a:ln w="25382">
              <a:noFill/>
            </a:ln>
          </c:spPr>
        </c:title>
        <c:numFmt formatCode="General" sourceLinked="1"/>
        <c:tickLblPos val="nextTo"/>
        <c:spPr>
          <a:ln w="3173">
            <a:solidFill>
              <a:srgbClr val="000000"/>
            </a:solidFill>
            <a:prstDash val="solid"/>
          </a:ln>
        </c:spPr>
        <c:txPr>
          <a:bodyPr rot="0" vert="horz"/>
          <a:lstStyle/>
          <a:p>
            <a:pPr rtl="0">
              <a:defRPr sz="700" b="0" i="0" u="none" strike="noStrike" baseline="0">
                <a:solidFill>
                  <a:srgbClr val="000000"/>
                </a:solidFill>
                <a:latin typeface="Arial"/>
                <a:ea typeface="Arial"/>
                <a:cs typeface="Arial"/>
              </a:defRPr>
            </a:pPr>
            <a:endParaRPr lang="ar-SA"/>
          </a:p>
        </c:txPr>
        <c:crossAx val="114749824"/>
        <c:crosses val="autoZero"/>
        <c:auto val="1"/>
        <c:lblAlgn val="ctr"/>
        <c:lblOffset val="100"/>
        <c:tickLblSkip val="1"/>
        <c:tickMarkSkip val="1"/>
      </c:catAx>
      <c:valAx>
        <c:axId val="114749824"/>
        <c:scaling>
          <c:orientation val="minMax"/>
          <c:max val="100"/>
          <c:min val="0"/>
        </c:scaling>
        <c:axPos val="l"/>
        <c:title>
          <c:tx>
            <c:rich>
              <a:bodyPr/>
              <a:lstStyle/>
              <a:p>
                <a:pPr>
                  <a:defRPr sz="800" b="1" i="0" u="none" strike="noStrike" baseline="0">
                    <a:solidFill>
                      <a:srgbClr val="000000"/>
                    </a:solidFill>
                    <a:latin typeface="Arial"/>
                    <a:ea typeface="Arial"/>
                    <a:cs typeface="Arial"/>
                  </a:defRPr>
                </a:pPr>
                <a:r>
                  <a:rPr lang="en-US" sz="800"/>
                  <a:t>Percent</a:t>
                </a:r>
              </a:p>
            </c:rich>
          </c:tx>
          <c:layout>
            <c:manualLayout>
              <c:xMode val="edge"/>
              <c:yMode val="edge"/>
              <c:x val="1.495446676157006E-2"/>
              <c:y val="0.25966983248331355"/>
            </c:manualLayout>
          </c:layout>
          <c:spPr>
            <a:noFill/>
            <a:ln w="25382">
              <a:noFill/>
            </a:ln>
          </c:spPr>
        </c:title>
        <c:numFmt formatCode="0" sourceLinked="0"/>
        <c:tickLblPos val="nextTo"/>
        <c:spPr>
          <a:ln w="3173">
            <a:solidFill>
              <a:srgbClr val="000000"/>
            </a:solidFill>
            <a:prstDash val="solid"/>
          </a:ln>
        </c:spPr>
        <c:txPr>
          <a:bodyPr rot="0" vert="horz"/>
          <a:lstStyle/>
          <a:p>
            <a:pPr>
              <a:defRPr sz="700" b="0" i="0" u="none" strike="noStrike" baseline="0">
                <a:solidFill>
                  <a:srgbClr val="000000"/>
                </a:solidFill>
                <a:latin typeface="Arial"/>
                <a:ea typeface="Arial"/>
                <a:cs typeface="Arial"/>
              </a:defRPr>
            </a:pPr>
            <a:endParaRPr lang="ar-SA"/>
          </a:p>
        </c:txPr>
        <c:crossAx val="114735360"/>
        <c:crosses val="autoZero"/>
        <c:crossBetween val="between"/>
        <c:majorUnit val="20"/>
        <c:minorUnit val="2"/>
      </c:valAx>
      <c:spPr>
        <a:noFill/>
        <a:ln w="25382">
          <a:noFill/>
        </a:ln>
      </c:spPr>
    </c:plotArea>
    <c:legend>
      <c:legendPos val="t"/>
      <c:layout>
        <c:manualLayout>
          <c:xMode val="edge"/>
          <c:yMode val="edge"/>
          <c:x val="2.5974025974026406E-2"/>
          <c:y val="1.1194029850746271E-2"/>
          <c:w val="0.89999995366045882"/>
          <c:h val="8.0327623624065966E-2"/>
        </c:manualLayout>
      </c:layou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noFill/>
    <a:ln w="3173">
      <a:noFill/>
      <a:prstDash val="solid"/>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43448224632299"/>
          <c:y val="8.3079172065517168E-2"/>
          <c:w val="0.84599814497539483"/>
          <c:h val="0.66552436412823868"/>
        </c:manualLayout>
      </c:layout>
      <c:barChart>
        <c:barDir val="col"/>
        <c:grouping val="clustered"/>
        <c:ser>
          <c:idx val="0"/>
          <c:order val="0"/>
          <c:tx>
            <c:strRef>
              <c:f>Sheet1!$B$1</c:f>
              <c:strCache>
                <c:ptCount val="1"/>
                <c:pt idx="0">
                  <c:v>2013</c:v>
                </c:pt>
              </c:strCache>
            </c:strRef>
          </c:tx>
          <c:dLbls>
            <c:dLbl>
              <c:idx val="1"/>
              <c:layout/>
              <c:tx>
                <c:rich>
                  <a:bodyPr/>
                  <a:lstStyle/>
                  <a:p>
                    <a:r>
                      <a:rPr lang="en-US"/>
                      <a:t> 5.5</a:t>
                    </a:r>
                  </a:p>
                </c:rich>
              </c:tx>
              <c:showVal val="1"/>
            </c:dLbl>
            <c:showVal val="1"/>
          </c:dLbls>
          <c:cat>
            <c:strRef>
              <c:f>Sheet1!$A$2:$A$4</c:f>
              <c:strCache>
                <c:ptCount val="3"/>
                <c:pt idx="0">
                  <c:v>Palestine</c:v>
                </c:pt>
                <c:pt idx="1">
                  <c:v>West Bank</c:v>
                </c:pt>
                <c:pt idx="2">
                  <c:v> Gaza Strip</c:v>
                </c:pt>
              </c:strCache>
            </c:strRef>
          </c:cat>
          <c:val>
            <c:numRef>
              <c:f>Sheet1!$B$2:$B$4</c:f>
              <c:numCache>
                <c:formatCode>_(* #,##0.0_);_(* \(#,##0.0\);_(* "-"??_);_(@_)</c:formatCode>
                <c:ptCount val="3"/>
                <c:pt idx="0">
                  <c:v>7.4556000000000004</c:v>
                </c:pt>
                <c:pt idx="1">
                  <c:v>5.4351000000000003</c:v>
                </c:pt>
                <c:pt idx="2">
                  <c:v>2.0205000000000002</c:v>
                </c:pt>
              </c:numCache>
            </c:numRef>
          </c:val>
        </c:ser>
        <c:ser>
          <c:idx val="1"/>
          <c:order val="1"/>
          <c:tx>
            <c:strRef>
              <c:f>Sheet1!$C$1</c:f>
              <c:strCache>
                <c:ptCount val="1"/>
                <c:pt idx="0">
                  <c:v>2012</c:v>
                </c:pt>
              </c:strCache>
            </c:strRef>
          </c:tx>
          <c:cat>
            <c:strRef>
              <c:f>Sheet1!$A$2:$A$4</c:f>
              <c:strCache>
                <c:ptCount val="3"/>
                <c:pt idx="0">
                  <c:v>Palestine</c:v>
                </c:pt>
                <c:pt idx="1">
                  <c:v>West Bank</c:v>
                </c:pt>
                <c:pt idx="2">
                  <c:v> Gaza Strip</c:v>
                </c:pt>
              </c:strCache>
            </c:strRef>
          </c:cat>
          <c:val>
            <c:numRef>
              <c:f>Sheet1!$C$2:$C$4</c:f>
              <c:numCache>
                <c:formatCode>_(* #,##0.0_);_(* \(#,##0.0\);_(* "-"??_);_(@_)</c:formatCode>
                <c:ptCount val="3"/>
                <c:pt idx="0">
                  <c:v>7.3147999999999955</c:v>
                </c:pt>
                <c:pt idx="1">
                  <c:v>5.4089999999999998</c:v>
                </c:pt>
                <c:pt idx="2">
                  <c:v>1.9057999999999906</c:v>
                </c:pt>
              </c:numCache>
            </c:numRef>
          </c:val>
        </c:ser>
        <c:ser>
          <c:idx val="2"/>
          <c:order val="2"/>
          <c:tx>
            <c:strRef>
              <c:f>Sheet1!$D$1</c:f>
              <c:strCache>
                <c:ptCount val="1"/>
                <c:pt idx="0">
                  <c:v>2011</c:v>
                </c:pt>
              </c:strCache>
            </c:strRef>
          </c:tx>
          <c:cat>
            <c:strRef>
              <c:f>Sheet1!$A$2:$A$4</c:f>
              <c:strCache>
                <c:ptCount val="3"/>
                <c:pt idx="0">
                  <c:v>Palestine</c:v>
                </c:pt>
                <c:pt idx="1">
                  <c:v>West Bank</c:v>
                </c:pt>
                <c:pt idx="2">
                  <c:v> Gaza Strip</c:v>
                </c:pt>
              </c:strCache>
            </c:strRef>
          </c:cat>
          <c:val>
            <c:numRef>
              <c:f>Sheet1!$D$2:$D$4</c:f>
              <c:numCache>
                <c:formatCode>_(* #,##0.0_);_(* \(#,##0.0\);_(* "-"??_);_(@_)</c:formatCode>
                <c:ptCount val="3"/>
                <c:pt idx="0">
                  <c:v>6.8822999999999999</c:v>
                </c:pt>
                <c:pt idx="1">
                  <c:v>5.1011999999999995</c:v>
                </c:pt>
                <c:pt idx="2">
                  <c:v>1.7810999999999895</c:v>
                </c:pt>
              </c:numCache>
            </c:numRef>
          </c:val>
        </c:ser>
        <c:dLbls>
          <c:showVal val="1"/>
        </c:dLbls>
        <c:axId val="102558720"/>
        <c:axId val="114762880"/>
      </c:barChart>
      <c:catAx>
        <c:axId val="102558720"/>
        <c:scaling>
          <c:orientation val="minMax"/>
        </c:scaling>
        <c:axPos val="b"/>
        <c:title>
          <c:tx>
            <c:rich>
              <a:bodyPr/>
              <a:lstStyle/>
              <a:p>
                <a:pPr>
                  <a:defRPr sz="796" b="1" i="0" u="none" strike="noStrike" baseline="0">
                    <a:solidFill>
                      <a:srgbClr val="000000"/>
                    </a:solidFill>
                    <a:latin typeface="Calibri"/>
                    <a:ea typeface="Calibri"/>
                    <a:cs typeface="Calibri"/>
                  </a:defRPr>
                </a:pPr>
                <a:r>
                  <a:rPr lang="en-GB"/>
                  <a:t>Region</a:t>
                </a:r>
              </a:p>
            </c:rich>
          </c:tx>
          <c:layout>
            <c:manualLayout>
              <c:xMode val="edge"/>
              <c:yMode val="edge"/>
              <c:x val="0.45856305345009429"/>
              <c:y val="0.86093641520616371"/>
            </c:manualLayout>
          </c:layout>
        </c:title>
        <c:numFmt formatCode="General" sourceLinked="1"/>
        <c:tickLblPos val="nextTo"/>
        <c:crossAx val="114762880"/>
        <c:crosses val="autoZero"/>
        <c:auto val="1"/>
        <c:lblAlgn val="ctr"/>
        <c:lblOffset val="100"/>
      </c:catAx>
      <c:valAx>
        <c:axId val="114762880"/>
        <c:scaling>
          <c:orientation val="minMax"/>
        </c:scaling>
        <c:axPos val="l"/>
        <c:title>
          <c:tx>
            <c:rich>
              <a:bodyPr/>
              <a:lstStyle/>
              <a:p>
                <a:pPr>
                  <a:defRPr sz="796" b="1" i="0" u="none" strike="noStrike" baseline="0">
                    <a:solidFill>
                      <a:srgbClr val="000000"/>
                    </a:solidFill>
                    <a:latin typeface="Calibri"/>
                    <a:ea typeface="Calibri"/>
                    <a:cs typeface="Calibri"/>
                  </a:defRPr>
                </a:pPr>
                <a:r>
                  <a:rPr lang="en-GB"/>
                  <a:t>Value</a:t>
                </a:r>
              </a:p>
            </c:rich>
          </c:tx>
          <c:layout/>
        </c:title>
        <c:numFmt formatCode="_(* #,##0.0_);_(* \(#,##0.0\);_(* &quot;-&quot;??_);_(@_)" sourceLinked="1"/>
        <c:tickLblPos val="nextTo"/>
        <c:crossAx val="102558720"/>
        <c:crosses val="autoZero"/>
        <c:crossBetween val="between"/>
      </c:valAx>
    </c:plotArea>
    <c:legend>
      <c:legendPos val="r"/>
      <c:layout>
        <c:manualLayout>
          <c:xMode val="edge"/>
          <c:yMode val="edge"/>
          <c:x val="0.48453332352147571"/>
          <c:y val="2.981220895775125E-2"/>
          <c:w val="0.49336080653470238"/>
          <c:h val="0.12095504191008491"/>
        </c:manualLayout>
      </c:layout>
    </c:legend>
    <c:plotVisOnly val="1"/>
    <c:dispBlanksAs val="gap"/>
  </c:chart>
  <c:txPr>
    <a:bodyPr/>
    <a:lstStyle/>
    <a:p>
      <a:pPr>
        <a:defRPr sz="800">
          <a:cs typeface="+mn-cs"/>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225419664268591"/>
          <c:y val="4.6913817198936933E-2"/>
          <c:w val="0.79616306954436356"/>
          <c:h val="0.75105768674677365"/>
        </c:manualLayout>
      </c:layout>
      <c:barChart>
        <c:barDir val="col"/>
        <c:grouping val="clustered"/>
        <c:ser>
          <c:idx val="0"/>
          <c:order val="0"/>
          <c:tx>
            <c:strRef>
              <c:f>Sheet1!$A$2</c:f>
              <c:strCache>
                <c:ptCount val="1"/>
                <c:pt idx="0">
                  <c:v>2011</c:v>
                </c:pt>
              </c:strCache>
            </c:strRef>
          </c:tx>
          <c:spPr>
            <a:solidFill>
              <a:srgbClr val="9999FF"/>
            </a:solidFill>
            <a:ln w="12527">
              <a:solidFill>
                <a:srgbClr val="000000"/>
              </a:solidFill>
              <a:prstDash val="solid"/>
            </a:ln>
          </c:spPr>
          <c:dLbls>
            <c:dLbl>
              <c:idx val="0"/>
              <c:layout>
                <c:manualLayout>
                  <c:x val="-1.4517824221644073E-2"/>
                  <c:y val="9.8657350629061807E-3"/>
                </c:manualLayout>
              </c:layout>
              <c:dLblPos val="outEnd"/>
              <c:showVal val="1"/>
            </c:dLbl>
            <c:dLbl>
              <c:idx val="1"/>
              <c:layout>
                <c:manualLayout>
                  <c:x val="-2.7021731692728812E-2"/>
                  <c:y val="-3.3910462290221038E-3"/>
                </c:manualLayout>
              </c:layout>
              <c:dLblPos val="outEnd"/>
              <c:showVal val="1"/>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Sheet1!$B$2:$C$2</c:f>
              <c:numCache>
                <c:formatCode>#,##0</c:formatCode>
                <c:ptCount val="2"/>
                <c:pt idx="0">
                  <c:v>17090</c:v>
                </c:pt>
                <c:pt idx="1">
                  <c:v>72022</c:v>
                </c:pt>
              </c:numCache>
            </c:numRef>
          </c:val>
        </c:ser>
        <c:ser>
          <c:idx val="1"/>
          <c:order val="1"/>
          <c:tx>
            <c:strRef>
              <c:f>Sheet1!$A$3</c:f>
              <c:strCache>
                <c:ptCount val="1"/>
                <c:pt idx="0">
                  <c:v>2012</c:v>
                </c:pt>
              </c:strCache>
            </c:strRef>
          </c:tx>
          <c:spPr>
            <a:solidFill>
              <a:srgbClr val="993366"/>
            </a:solidFill>
            <a:ln w="12527">
              <a:solidFill>
                <a:srgbClr val="000000"/>
              </a:solidFill>
              <a:prstDash val="solid"/>
            </a:ln>
          </c:spPr>
          <c:dLbls>
            <c:dLbl>
              <c:idx val="1"/>
              <c:layout>
                <c:manualLayout>
                  <c:x val="1.8071592254469645E-3"/>
                  <c:y val="2.7141178316517837E-3"/>
                </c:manualLayout>
              </c:layout>
              <c:dLblPos val="outEnd"/>
              <c:showVal val="1"/>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Sheet1!$B$3:$C$3</c:f>
              <c:numCache>
                <c:formatCode>General</c:formatCode>
                <c:ptCount val="2"/>
                <c:pt idx="0" formatCode="#,##0">
                  <c:v>16263</c:v>
                </c:pt>
                <c:pt idx="1">
                  <c:v>78724</c:v>
                </c:pt>
              </c:numCache>
            </c:numRef>
          </c:val>
        </c:ser>
        <c:ser>
          <c:idx val="2"/>
          <c:order val="2"/>
          <c:tx>
            <c:strRef>
              <c:f>Sheet1!$A$4</c:f>
              <c:strCache>
                <c:ptCount val="1"/>
                <c:pt idx="0">
                  <c:v>2013</c:v>
                </c:pt>
              </c:strCache>
            </c:strRef>
          </c:tx>
          <c:spPr>
            <a:solidFill>
              <a:srgbClr val="FFFFCC"/>
            </a:solidFill>
            <a:ln w="12527">
              <a:solidFill>
                <a:srgbClr val="000000"/>
              </a:solidFill>
              <a:prstDash val="solid"/>
            </a:ln>
          </c:spPr>
          <c:dLbls>
            <c:dLbl>
              <c:idx val="0"/>
              <c:layout>
                <c:manualLayout>
                  <c:x val="5.8428692037129134E-3"/>
                  <c:y val="3.3410931400960292E-3"/>
                </c:manualLayout>
              </c:layout>
              <c:dLblPos val="outEnd"/>
              <c:showVal val="1"/>
            </c:dLbl>
            <c:dLbl>
              <c:idx val="1"/>
              <c:layout>
                <c:manualLayout>
                  <c:x val="8.2410103551060505E-3"/>
                  <c:y val="2.999106608217385E-3"/>
                </c:manualLayout>
              </c:layout>
              <c:tx>
                <c:rich>
                  <a:bodyPr/>
                  <a:lstStyle/>
                  <a:p>
                    <a:r>
                      <a:rPr lang="en-US"/>
                      <a:t>79,566</a:t>
                    </a:r>
                  </a:p>
                </c:rich>
              </c:tx>
              <c:dLblPos val="outEnd"/>
            </c:dLbl>
            <c:spPr>
              <a:noFill/>
              <a:ln w="25045">
                <a:noFill/>
              </a:ln>
            </c:spPr>
            <c:txPr>
              <a:bodyPr/>
              <a:lstStyle/>
              <a:p>
                <a:pPr>
                  <a:defRPr sz="790" b="0" i="0" u="none" strike="noStrike" baseline="0">
                    <a:solidFill>
                      <a:srgbClr val="000000"/>
                    </a:solidFill>
                    <a:latin typeface="Arial"/>
                    <a:ea typeface="Arial"/>
                    <a:cs typeface="Arial"/>
                  </a:defRPr>
                </a:pPr>
                <a:endParaRPr lang="ar-SA"/>
              </a:p>
            </c:txPr>
            <c:showVal val="1"/>
          </c:dLbls>
          <c:cat>
            <c:strRef>
              <c:f>Sheet1!$B$1:$C$1</c:f>
              <c:strCache>
                <c:ptCount val="2"/>
                <c:pt idx="0">
                  <c:v>No. of Enterprises </c:v>
                </c:pt>
                <c:pt idx="1">
                  <c:v>No. of Employed Persons</c:v>
                </c:pt>
              </c:strCache>
            </c:strRef>
          </c:cat>
          <c:val>
            <c:numRef>
              <c:f>Sheet1!$B$4:$C$4</c:f>
              <c:numCache>
                <c:formatCode>0</c:formatCode>
                <c:ptCount val="2"/>
                <c:pt idx="0" formatCode="#,##0">
                  <c:v>16201</c:v>
                </c:pt>
                <c:pt idx="1">
                  <c:v>79566</c:v>
                </c:pt>
              </c:numCache>
            </c:numRef>
          </c:val>
        </c:ser>
        <c:dLbls>
          <c:showVal val="1"/>
        </c:dLbls>
        <c:axId val="75283840"/>
        <c:axId val="114824320"/>
      </c:barChart>
      <c:catAx>
        <c:axId val="75283840"/>
        <c:scaling>
          <c:orientation val="minMax"/>
        </c:scaling>
        <c:axPos val="b"/>
        <c:numFmt formatCode="General"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114824320"/>
        <c:crosses val="autoZero"/>
        <c:auto val="1"/>
        <c:lblAlgn val="ctr"/>
        <c:lblOffset val="100"/>
        <c:tickLblSkip val="1"/>
        <c:tickMarkSkip val="1"/>
      </c:catAx>
      <c:valAx>
        <c:axId val="114824320"/>
        <c:scaling>
          <c:orientation val="minMax"/>
        </c:scaling>
        <c:axPos val="l"/>
        <c:title>
          <c:tx>
            <c:rich>
              <a:bodyPr/>
              <a:lstStyle/>
              <a:p>
                <a:pPr>
                  <a:defRPr sz="785" b="1" i="0" u="none" strike="noStrike" baseline="0">
                    <a:solidFill>
                      <a:srgbClr val="000000"/>
                    </a:solidFill>
                    <a:latin typeface="Arial"/>
                    <a:ea typeface="Arial"/>
                    <a:cs typeface="Arial"/>
                  </a:defRPr>
                </a:pPr>
                <a:r>
                  <a:rPr lang="en-GB"/>
                  <a:t>Number</a:t>
                </a:r>
              </a:p>
            </c:rich>
          </c:tx>
          <c:layout>
            <c:manualLayout>
              <c:xMode val="edge"/>
              <c:yMode val="edge"/>
              <c:x val="2.6379038386625493E-2"/>
              <c:y val="0.25974024214715075"/>
            </c:manualLayout>
          </c:layout>
          <c:spPr>
            <a:noFill/>
            <a:ln w="25045">
              <a:noFill/>
            </a:ln>
          </c:spPr>
        </c:title>
        <c:numFmt formatCode="#,##0" sourceLinked="1"/>
        <c:tickLblPos val="nextTo"/>
        <c:spPr>
          <a:ln w="3127">
            <a:solidFill>
              <a:srgbClr val="000000"/>
            </a:solidFill>
            <a:prstDash val="solid"/>
          </a:ln>
        </c:spPr>
        <c:txPr>
          <a:bodyPr rot="0" vert="horz"/>
          <a:lstStyle/>
          <a:p>
            <a:pPr>
              <a:defRPr sz="790" b="0" i="0" u="none" strike="noStrike" baseline="0">
                <a:solidFill>
                  <a:srgbClr val="000000"/>
                </a:solidFill>
                <a:latin typeface="Arial"/>
                <a:ea typeface="Arial"/>
                <a:cs typeface="Arial"/>
              </a:defRPr>
            </a:pPr>
            <a:endParaRPr lang="ar-SA"/>
          </a:p>
        </c:txPr>
        <c:crossAx val="75283840"/>
        <c:crosses val="autoZero"/>
        <c:crossBetween val="between"/>
      </c:valAx>
      <c:spPr>
        <a:noFill/>
        <a:ln w="25395">
          <a:noFill/>
        </a:ln>
      </c:spPr>
    </c:plotArea>
    <c:legend>
      <c:legendPos val="t"/>
      <c:layout>
        <c:manualLayout>
          <c:xMode val="edge"/>
          <c:yMode val="edge"/>
          <c:x val="0.30012708265481824"/>
          <c:y val="0.10019337905342479"/>
          <c:w val="0.30822409972476683"/>
          <c:h val="0.14285733638134182"/>
        </c:manualLayout>
      </c:layout>
      <c:spPr>
        <a:noFill/>
        <a:ln w="3127">
          <a:solidFill>
            <a:srgbClr val="000000"/>
          </a:solidFill>
          <a:prstDash val="solid"/>
        </a:ln>
      </c:spPr>
      <c:txPr>
        <a:bodyPr/>
        <a:lstStyle/>
        <a:p>
          <a:pPr>
            <a:defRPr sz="726"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790" b="0" i="0" u="none" strike="noStrike" baseline="0">
          <a:solidFill>
            <a:srgbClr val="000000"/>
          </a:solidFill>
          <a:latin typeface="Arial"/>
          <a:ea typeface="Arial"/>
          <a:cs typeface="Arial"/>
        </a:defRPr>
      </a:pPr>
      <a:endParaRPr lang="ar-SA"/>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18442F-818A-4B3F-92CA-315E85BCB9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TotalTime>
  <Pages>22</Pages>
  <Words>4609</Words>
  <Characters>23853</Characters>
  <Application>Microsoft Office Word</Application>
  <DocSecurity>0</DocSecurity>
  <Lines>198</Lines>
  <Paragraphs>56</Paragraphs>
  <ScaleCrop>false</ScaleCrop>
  <HeadingPairs>
    <vt:vector size="2" baseType="variant">
      <vt:variant>
        <vt:lpstr>Title</vt:lpstr>
      </vt:variant>
      <vt:variant>
        <vt:i4>1</vt:i4>
      </vt:variant>
    </vt:vector>
  </HeadingPairs>
  <TitlesOfParts>
    <vt:vector size="1" baseType="lpstr">
      <vt:lpstr>Land Use</vt:lpstr>
    </vt:vector>
  </TitlesOfParts>
  <Company>PCBS</Company>
  <LinksUpToDate>false</LinksUpToDate>
  <CharactersWithSpaces>28406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Use</dc:title>
  <dc:creator>YOUSEF</dc:creator>
  <cp:lastModifiedBy>maen</cp:lastModifiedBy>
  <cp:revision>158</cp:revision>
  <cp:lastPrinted>2014-12-15T08:17:00Z</cp:lastPrinted>
  <dcterms:created xsi:type="dcterms:W3CDTF">2014-12-04T08:47:00Z</dcterms:created>
  <dcterms:modified xsi:type="dcterms:W3CDTF">2014-12-15T08:17:00Z</dcterms:modified>
</cp:coreProperties>
</file>