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Pr="002674E8" w:rsidRDefault="002674E8" w:rsidP="002674E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2674E8">
        <w:rPr>
          <w:rFonts w:ascii="Times New Roman" w:hAnsi="Times New Roman" w:cs="Times New Roman"/>
          <w:b/>
          <w:bCs/>
          <w:sz w:val="28"/>
          <w:szCs w:val="28"/>
        </w:rPr>
        <w:t>International Standard Classification of Education and Training</w:t>
      </w:r>
    </w:p>
    <w:p w:rsidR="00D7629C" w:rsidRPr="0043412C" w:rsidRDefault="00D7629C" w:rsidP="0043412C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412C">
        <w:rPr>
          <w:rFonts w:ascii="Times New Roman" w:hAnsi="Times New Roman" w:cs="Times New Roman"/>
          <w:b/>
          <w:bCs/>
          <w:sz w:val="24"/>
          <w:szCs w:val="24"/>
        </w:rPr>
        <w:t xml:space="preserve">Classification Name in Arabic : </w:t>
      </w:r>
      <w:r w:rsidR="0043412C" w:rsidRPr="0043412C">
        <w:rPr>
          <w:rFonts w:cs="Simplified Arabic"/>
          <w:sz w:val="24"/>
          <w:szCs w:val="24"/>
          <w:rtl/>
        </w:rPr>
        <w:t>دليل التصنيف الدولي المعياري للتخصصات</w:t>
      </w:r>
      <w:r w:rsidR="0043412C" w:rsidRPr="0043412C">
        <w:rPr>
          <w:rFonts w:cs="Simplified Arabic" w:hint="cs"/>
          <w:sz w:val="24"/>
          <w:szCs w:val="24"/>
          <w:rtl/>
        </w:rPr>
        <w:t xml:space="preserve"> </w:t>
      </w:r>
      <w:r w:rsidR="0043412C" w:rsidRPr="0043412C">
        <w:rPr>
          <w:rFonts w:cs="Simplified Arabic"/>
          <w:sz w:val="24"/>
          <w:szCs w:val="24"/>
          <w:rtl/>
        </w:rPr>
        <w:t>ومجالات التدريب</w:t>
      </w:r>
    </w:p>
    <w:p w:rsidR="00E7718C" w:rsidRPr="00E7718C" w:rsidRDefault="00D7629C" w:rsidP="00E7718C">
      <w:pPr>
        <w:jc w:val="right"/>
        <w:rPr>
          <w:rFonts w:hint="cs"/>
          <w:sz w:val="24"/>
          <w:szCs w:val="24"/>
          <w:rtl/>
        </w:rPr>
      </w:pPr>
      <w:r w:rsidRPr="00E7718C">
        <w:rPr>
          <w:rFonts w:ascii="Times New Roman" w:hAnsi="Times New Roman" w:cs="Times New Roman"/>
          <w:b/>
          <w:bCs/>
          <w:sz w:val="24"/>
          <w:szCs w:val="24"/>
        </w:rPr>
        <w:t xml:space="preserve">Classification Name in English:  </w:t>
      </w:r>
    </w:p>
    <w:p w:rsidR="00E7718C" w:rsidRPr="00E7718C" w:rsidRDefault="00E7718C" w:rsidP="00E7718C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7718C">
        <w:rPr>
          <w:rFonts w:ascii="Times New Roman" w:hAnsi="Times New Roman" w:cs="Times New Roman"/>
          <w:sz w:val="24"/>
          <w:szCs w:val="24"/>
        </w:rPr>
        <w:t xml:space="preserve">International Standard Classification of Education: Fields of Education and Training </w:t>
      </w:r>
    </w:p>
    <w:p w:rsidR="00D7629C" w:rsidRPr="007B2D61" w:rsidRDefault="00D7629C" w:rsidP="007B2D61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2D61">
        <w:rPr>
          <w:rFonts w:ascii="Times New Roman" w:hAnsi="Times New Roman" w:cs="Times New Roman"/>
          <w:b/>
          <w:bCs/>
          <w:sz w:val="24"/>
          <w:szCs w:val="24"/>
        </w:rPr>
        <w:t>Abbreviation of Classification Name:</w:t>
      </w:r>
      <w:r w:rsidRPr="007B2D61">
        <w:rPr>
          <w:rFonts w:ascii="Times New Roman" w:hAnsi="Times New Roman" w:cs="Times New Roman"/>
          <w:sz w:val="24"/>
          <w:szCs w:val="24"/>
        </w:rPr>
        <w:t xml:space="preserve"> ISCED </w:t>
      </w:r>
      <w:r w:rsidR="007B2D61" w:rsidRPr="007B2D61">
        <w:rPr>
          <w:rFonts w:ascii="Times New Roman" w:hAnsi="Times New Roman" w:cs="Times New Roman"/>
          <w:sz w:val="24"/>
          <w:szCs w:val="24"/>
        </w:rPr>
        <w:t>2011</w:t>
      </w:r>
    </w:p>
    <w:p w:rsidR="00D7629C" w:rsidRPr="005F2C20" w:rsidRDefault="00D7629C" w:rsidP="00090AF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5F2C20">
        <w:rPr>
          <w:rFonts w:ascii="Times New Roman" w:hAnsi="Times New Roman" w:cs="Times New Roman"/>
          <w:b/>
          <w:bCs/>
          <w:sz w:val="24"/>
          <w:szCs w:val="24"/>
        </w:rPr>
        <w:t>Edition and Publishing Year:</w:t>
      </w:r>
      <w:r w:rsidRPr="005F2C20">
        <w:rPr>
          <w:rFonts w:ascii="Times New Roman" w:hAnsi="Times New Roman" w:cs="Times New Roman"/>
          <w:sz w:val="24"/>
          <w:szCs w:val="24"/>
        </w:rPr>
        <w:t xml:space="preserve"> </w:t>
      </w:r>
      <w:r w:rsidR="00090AF2" w:rsidRPr="005F2C20">
        <w:rPr>
          <w:rFonts w:ascii="Times New Roman" w:hAnsi="Times New Roman" w:cs="Times New Roman"/>
          <w:sz w:val="24"/>
          <w:szCs w:val="24"/>
        </w:rPr>
        <w:t xml:space="preserve">April </w:t>
      </w:r>
      <w:r w:rsidRPr="005F2C20">
        <w:rPr>
          <w:rFonts w:ascii="Times New Roman" w:hAnsi="Times New Roman" w:cs="Times New Roman"/>
          <w:sz w:val="24"/>
          <w:szCs w:val="24"/>
        </w:rPr>
        <w:t>20</w:t>
      </w:r>
      <w:r w:rsidR="00090AF2" w:rsidRPr="005F2C20">
        <w:rPr>
          <w:rFonts w:ascii="Times New Roman" w:hAnsi="Times New Roman" w:cs="Times New Roman"/>
          <w:sz w:val="24"/>
          <w:szCs w:val="24"/>
        </w:rPr>
        <w:t>1</w:t>
      </w:r>
      <w:r w:rsidRPr="005F2C20">
        <w:rPr>
          <w:rFonts w:ascii="Times New Roman" w:hAnsi="Times New Roman" w:cs="Times New Roman"/>
          <w:sz w:val="24"/>
          <w:szCs w:val="24"/>
        </w:rPr>
        <w:t>7</w:t>
      </w:r>
    </w:p>
    <w:p w:rsidR="00D7629C" w:rsidRPr="005F2C20" w:rsidRDefault="00D7629C" w:rsidP="00FA2C0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C20">
        <w:rPr>
          <w:rFonts w:ascii="Times New Roman" w:hAnsi="Times New Roman" w:cs="Times New Roman"/>
          <w:b/>
          <w:bCs/>
          <w:sz w:val="24"/>
          <w:szCs w:val="24"/>
        </w:rPr>
        <w:t>A glimpse on  Classification</w:t>
      </w:r>
    </w:p>
    <w:p w:rsidR="00FA2C01" w:rsidRPr="005F2C20" w:rsidRDefault="00FA2C01" w:rsidP="00FA2C0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01" w:rsidRPr="005F2C20" w:rsidRDefault="004307B5" w:rsidP="00F4455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C20">
        <w:rPr>
          <w:rFonts w:ascii="Times New Roman" w:hAnsi="Times New Roman" w:cs="Times New Roman"/>
          <w:sz w:val="24"/>
          <w:szCs w:val="24"/>
        </w:rPr>
        <w:t xml:space="preserve">UNESCO </w:t>
      </w:r>
      <w:r w:rsidR="00294E44" w:rsidRPr="005F2C20">
        <w:rPr>
          <w:rFonts w:ascii="Times New Roman" w:hAnsi="Times New Roman" w:cs="Times New Roman"/>
          <w:sz w:val="24"/>
          <w:szCs w:val="24"/>
        </w:rPr>
        <w:t xml:space="preserve"> had prepared a</w:t>
      </w:r>
      <w:r w:rsidRPr="005F2C20">
        <w:rPr>
          <w:rFonts w:ascii="Times New Roman" w:hAnsi="Times New Roman" w:cs="Times New Roman"/>
          <w:sz w:val="24"/>
          <w:szCs w:val="24"/>
        </w:rPr>
        <w:t xml:space="preserve"> </w:t>
      </w:r>
      <w:r w:rsidR="00F4455C" w:rsidRPr="005F2C20">
        <w:rPr>
          <w:rFonts w:ascii="Times New Roman" w:hAnsi="Times New Roman" w:cs="Times New Roman"/>
          <w:sz w:val="24"/>
          <w:szCs w:val="24"/>
        </w:rPr>
        <w:t xml:space="preserve">standard </w:t>
      </w:r>
      <w:r w:rsidRPr="005F2C20">
        <w:rPr>
          <w:rFonts w:ascii="Times New Roman" w:hAnsi="Times New Roman" w:cs="Times New Roman"/>
          <w:sz w:val="24"/>
          <w:szCs w:val="24"/>
        </w:rPr>
        <w:t>classification of education</w:t>
      </w:r>
      <w:r w:rsidR="005F2C20" w:rsidRPr="005F2C20">
        <w:rPr>
          <w:rFonts w:ascii="Times New Roman" w:hAnsi="Times New Roman" w:cs="Times New Roman"/>
          <w:sz w:val="24"/>
          <w:szCs w:val="24"/>
        </w:rPr>
        <w:t xml:space="preserve"> </w:t>
      </w:r>
      <w:r w:rsidRPr="005F2C20">
        <w:rPr>
          <w:rFonts w:ascii="Times New Roman" w:hAnsi="Times New Roman" w:cs="Times New Roman"/>
          <w:sz w:val="24"/>
          <w:szCs w:val="24"/>
        </w:rPr>
        <w:t>for the compilation of statistics</w:t>
      </w:r>
      <w:r w:rsidR="00294E44" w:rsidRPr="005F2C20">
        <w:rPr>
          <w:rFonts w:ascii="Times New Roman" w:hAnsi="Times New Roman" w:cs="Times New Roman"/>
          <w:sz w:val="24"/>
          <w:szCs w:val="24"/>
        </w:rPr>
        <w:t xml:space="preserve"> known as (</w:t>
      </w:r>
      <w:r w:rsidR="005F2C20" w:rsidRPr="005F2C20">
        <w:rPr>
          <w:rFonts w:ascii="Times New Roman" w:hAnsi="Times New Roman" w:cs="Times New Roman"/>
          <w:sz w:val="24"/>
          <w:szCs w:val="24"/>
        </w:rPr>
        <w:t>International Standard Classification of Education: Fields of Education and Training 2013 Detailed field descriptions</w:t>
      </w:r>
      <w:r w:rsidR="00294E44" w:rsidRPr="005F2C20">
        <w:rPr>
          <w:rFonts w:ascii="Times New Roman" w:hAnsi="Times New Roman" w:cs="Times New Roman"/>
          <w:sz w:val="24"/>
          <w:szCs w:val="24"/>
        </w:rPr>
        <w:t>) to be a</w:t>
      </w:r>
      <w:r w:rsidRPr="005F2C20">
        <w:rPr>
          <w:rFonts w:ascii="Times New Roman" w:hAnsi="Times New Roman" w:cs="Times New Roman"/>
          <w:sz w:val="24"/>
          <w:szCs w:val="24"/>
        </w:rPr>
        <w:t xml:space="preserve"> </w:t>
      </w:r>
      <w:r w:rsidR="00294E44" w:rsidRPr="005F2C20">
        <w:rPr>
          <w:rFonts w:ascii="Times New Roman" w:hAnsi="Times New Roman" w:cs="Times New Roman"/>
          <w:sz w:val="24"/>
          <w:szCs w:val="24"/>
        </w:rPr>
        <w:t xml:space="preserve">precise tool for  collecting and coordinating </w:t>
      </w:r>
      <w:r w:rsidRPr="005F2C20">
        <w:rPr>
          <w:rFonts w:ascii="Times New Roman" w:hAnsi="Times New Roman" w:cs="Times New Roman"/>
          <w:sz w:val="24"/>
          <w:szCs w:val="24"/>
        </w:rPr>
        <w:t xml:space="preserve"> education</w:t>
      </w:r>
      <w:r w:rsidR="00294E44" w:rsidRPr="005F2C20">
        <w:rPr>
          <w:rFonts w:ascii="Times New Roman" w:hAnsi="Times New Roman" w:cs="Times New Roman"/>
          <w:sz w:val="24"/>
          <w:szCs w:val="24"/>
        </w:rPr>
        <w:t xml:space="preserve">al statistics , and to facilitating data </w:t>
      </w:r>
      <w:r w:rsidRPr="005F2C20">
        <w:rPr>
          <w:rFonts w:ascii="Times New Roman" w:hAnsi="Times New Roman" w:cs="Times New Roman"/>
          <w:sz w:val="24"/>
          <w:szCs w:val="24"/>
        </w:rPr>
        <w:t xml:space="preserve">collection and </w:t>
      </w:r>
      <w:r w:rsidR="00294E44" w:rsidRPr="005F2C20">
        <w:rPr>
          <w:rFonts w:ascii="Times New Roman" w:hAnsi="Times New Roman" w:cs="Times New Roman"/>
          <w:sz w:val="24"/>
          <w:szCs w:val="24"/>
        </w:rPr>
        <w:t xml:space="preserve">making </w:t>
      </w:r>
      <w:r w:rsidRPr="005F2C20">
        <w:rPr>
          <w:rFonts w:ascii="Times New Roman" w:hAnsi="Times New Roman" w:cs="Times New Roman"/>
          <w:sz w:val="24"/>
          <w:szCs w:val="24"/>
        </w:rPr>
        <w:t>comparison of inte</w:t>
      </w:r>
      <w:r w:rsidR="001413C4" w:rsidRPr="005F2C20">
        <w:rPr>
          <w:rFonts w:ascii="Times New Roman" w:hAnsi="Times New Roman" w:cs="Times New Roman"/>
          <w:sz w:val="24"/>
          <w:szCs w:val="24"/>
        </w:rPr>
        <w:t>rnational education statistics</w:t>
      </w:r>
      <w:r w:rsidR="00DF76A8" w:rsidRPr="005F2C20">
        <w:rPr>
          <w:rFonts w:ascii="Times New Roman" w:hAnsi="Times New Roman" w:cs="Times New Roman"/>
          <w:sz w:val="24"/>
          <w:szCs w:val="24"/>
        </w:rPr>
        <w:t>.</w:t>
      </w:r>
      <w:r w:rsidR="001413C4" w:rsidRPr="005F2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2AD" w:rsidRPr="002674E8" w:rsidRDefault="008722AD" w:rsidP="00FA2C01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A2C01" w:rsidRPr="005128D2" w:rsidRDefault="00FA2C01" w:rsidP="008722A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8D2">
        <w:rPr>
          <w:rFonts w:ascii="Times New Roman" w:hAnsi="Times New Roman" w:cs="Times New Roman"/>
          <w:b/>
          <w:bCs/>
          <w:sz w:val="24"/>
          <w:szCs w:val="24"/>
        </w:rPr>
        <w:t>Structural classification</w:t>
      </w:r>
      <w:r w:rsidRPr="005128D2">
        <w:rPr>
          <w:rFonts w:ascii="Times New Roman" w:hAnsi="Times New Roman" w:cs="Times New Roman"/>
          <w:sz w:val="24"/>
          <w:szCs w:val="24"/>
        </w:rPr>
        <w:t>:</w:t>
      </w:r>
    </w:p>
    <w:p w:rsidR="00FF0CF9" w:rsidRPr="00D56745" w:rsidRDefault="00FF0CF9" w:rsidP="00FF0CF9">
      <w:pPr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The classification is designed in a three-tiered hierarchy with wide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(top level), narrow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(level 2), detailed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(level 3), a four-digit coding system, 11 broad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, 29 narrow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, and about 80 detailed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s of education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a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nd training, and the detailed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field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s (the third hierarchical level of classification) were mainly devoted to use at the level of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tertiary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education, and the educational and vocational training programs and qualifications at the secondary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level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and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post secondary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non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tertiary 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levels. </w:t>
      </w:r>
    </w:p>
    <w:p w:rsidR="00AE3378" w:rsidRPr="001A5F40" w:rsidRDefault="00AE3378" w:rsidP="008722A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40">
        <w:rPr>
          <w:rFonts w:ascii="Times New Roman" w:hAnsi="Times New Roman" w:cs="Times New Roman"/>
          <w:b/>
          <w:bCs/>
          <w:sz w:val="24"/>
          <w:szCs w:val="24"/>
        </w:rPr>
        <w:t>Uses of classification</w:t>
      </w:r>
      <w:r w:rsidRPr="001A5F40">
        <w:rPr>
          <w:rFonts w:ascii="Times New Roman" w:hAnsi="Times New Roman" w:cs="Times New Roman"/>
          <w:sz w:val="24"/>
          <w:szCs w:val="24"/>
        </w:rPr>
        <w:t>:</w:t>
      </w:r>
    </w:p>
    <w:p w:rsidR="001A5F40" w:rsidRPr="00D56745" w:rsidRDefault="001A5F40" w:rsidP="001A5F40">
      <w:pPr>
        <w:bidi w:val="0"/>
        <w:spacing w:after="0"/>
        <w:rPr>
          <w:rFonts w:ascii="Times New Roman" w:hAnsi="Times New Roman" w:cs="Times New Roman"/>
          <w:sz w:val="24"/>
          <w:szCs w:val="24"/>
          <w:rtl/>
        </w:rPr>
      </w:pP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>This classification aims to achieve the following objectives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>:</w:t>
      </w:r>
      <w:r w:rsidRPr="00D56745">
        <w:rPr>
          <w:rFonts w:ascii="Times New Roman" w:hAnsi="Times New Roman" w:cs="Times New Roman"/>
          <w:sz w:val="24"/>
          <w:szCs w:val="24"/>
          <w:rtl/>
          <w:lang/>
        </w:rPr>
        <w:br/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>1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. 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>Establish a standard classification for the compilation of education statistics in Palestine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>.</w:t>
      </w:r>
      <w:r w:rsidRPr="00D56745">
        <w:rPr>
          <w:rFonts w:ascii="Times New Roman" w:hAnsi="Times New Roman" w:cs="Times New Roman"/>
          <w:sz w:val="24"/>
          <w:szCs w:val="24"/>
          <w:rtl/>
          <w:lang/>
        </w:rPr>
        <w:br/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 xml:space="preserve">2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. 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Use a nationally recognized classification of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>producers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 and users of education statistics in Palestine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>.</w:t>
      </w:r>
      <w:r w:rsidRPr="00D56745">
        <w:rPr>
          <w:rFonts w:ascii="Times New Roman" w:hAnsi="Times New Roman" w:cs="Times New Roman"/>
          <w:sz w:val="24"/>
          <w:szCs w:val="24"/>
          <w:rtl/>
          <w:lang/>
        </w:rPr>
        <w:br/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rtl/>
          <w:lang/>
        </w:rPr>
        <w:t xml:space="preserve">3 </w:t>
      </w:r>
      <w:r>
        <w:rPr>
          <w:rStyle w:val="tlid-translation"/>
          <w:rFonts w:ascii="Times New Roman" w:hAnsi="Times New Roman" w:cs="Times New Roman"/>
          <w:sz w:val="24"/>
          <w:szCs w:val="24"/>
          <w:lang/>
        </w:rPr>
        <w:t xml:space="preserve">. </w:t>
      </w:r>
      <w:r w:rsidRPr="00D56745">
        <w:rPr>
          <w:rStyle w:val="tlid-translation"/>
          <w:rFonts w:ascii="Times New Roman" w:hAnsi="Times New Roman" w:cs="Times New Roman"/>
          <w:sz w:val="24"/>
          <w:szCs w:val="24"/>
          <w:lang/>
        </w:rPr>
        <w:t>Use the classification for international comparisons, based on the International Standard Classification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3378" w:rsidRPr="002674E8" w:rsidRDefault="00AE3378" w:rsidP="00DF76A8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F76A8" w:rsidRPr="00542876" w:rsidRDefault="00DF76A8" w:rsidP="00AE337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876">
        <w:rPr>
          <w:rFonts w:ascii="Times New Roman" w:hAnsi="Times New Roman" w:cs="Times New Roman"/>
          <w:b/>
          <w:bCs/>
          <w:sz w:val="24"/>
          <w:szCs w:val="24"/>
        </w:rPr>
        <w:t>Name of International Standard Classification  on the Internet:</w:t>
      </w:r>
      <w:r w:rsidRPr="0054287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542876" w:rsidRPr="00542876" w:rsidRDefault="00542876" w:rsidP="00542876">
      <w:pPr>
        <w:bidi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542876">
        <w:rPr>
          <w:rFonts w:ascii="Times New Roman" w:hAnsi="Times New Roman" w:cs="Times New Roman"/>
          <w:sz w:val="24"/>
          <w:szCs w:val="24"/>
        </w:rPr>
        <w:t>International Standard Classification of Education: Fields of Education and Training 2013 Detailed field descriptions</w:t>
      </w:r>
    </w:p>
    <w:p w:rsidR="00DF76A8" w:rsidRPr="002674E8" w:rsidRDefault="00DF76A8" w:rsidP="0054287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F76A8" w:rsidRDefault="00C52E48" w:rsidP="00F954A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54AD">
        <w:rPr>
          <w:rFonts w:ascii="Times New Roman" w:hAnsi="Times New Roman" w:cs="Times New Roman"/>
          <w:b/>
          <w:bCs/>
          <w:sz w:val="24"/>
          <w:szCs w:val="24"/>
        </w:rPr>
        <w:t>Link of International Standard Classification  on the Internet:</w:t>
      </w:r>
      <w:r w:rsidRPr="00F954AD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F954AD" w:rsidRPr="00F954AD" w:rsidRDefault="00F954AD" w:rsidP="00F954AD">
      <w:p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hyperlink r:id="rId4" w:history="1">
        <w:r w:rsidRPr="00F954AD">
          <w:rPr>
            <w:rStyle w:val="Hyperlink"/>
            <w:rFonts w:ascii="Times New Roman" w:hAnsi="Times New Roman" w:cs="Times New Roman"/>
            <w:sz w:val="24"/>
            <w:szCs w:val="24"/>
          </w:rPr>
          <w:t>http://uis.unesco.org/sites/default/files/documents/international-standard-classification-of-education-fields-of-education-and-training-2013-detailed-field-descriptions-2015-en.pdf</w:t>
        </w:r>
      </w:hyperlink>
    </w:p>
    <w:p w:rsidR="00F954AD" w:rsidRDefault="00F954AD" w:rsidP="00DF76A8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2E48" w:rsidRPr="00F954AD" w:rsidRDefault="00C52E48" w:rsidP="00F954AD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4AD">
        <w:rPr>
          <w:rFonts w:ascii="Times New Roman" w:hAnsi="Times New Roman" w:cs="Times New Roman"/>
          <w:b/>
          <w:bCs/>
          <w:sz w:val="24"/>
          <w:szCs w:val="24"/>
        </w:rPr>
        <w:t>Date of commencement of the use of current version</w:t>
      </w:r>
      <w:r w:rsidRPr="00F954AD">
        <w:rPr>
          <w:rFonts w:ascii="Times New Roman" w:hAnsi="Times New Roman" w:cs="Times New Roman"/>
          <w:b/>
          <w:bCs/>
          <w:sz w:val="24"/>
          <w:szCs w:val="24"/>
          <w:rtl/>
        </w:rPr>
        <w:t>:</w:t>
      </w:r>
      <w:r w:rsidR="00F954AD" w:rsidRPr="00F954AD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DF76A8" w:rsidRPr="002674E8" w:rsidRDefault="00DF76A8" w:rsidP="00DF76A8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2E48" w:rsidRPr="00D608D8" w:rsidRDefault="00C52E48" w:rsidP="00DF76A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0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Previous International versions of standard of classification</w:t>
      </w:r>
      <w:r w:rsidRPr="00D608D8">
        <w:rPr>
          <w:rFonts w:ascii="Times New Roman" w:hAnsi="Times New Roman" w:cs="Times New Roman"/>
          <w:b/>
          <w:bCs/>
          <w:sz w:val="24"/>
          <w:szCs w:val="24"/>
          <w:rtl/>
        </w:rPr>
        <w:t>:</w:t>
      </w:r>
    </w:p>
    <w:p w:rsidR="00D608D8" w:rsidRPr="00D608D8" w:rsidRDefault="00D608D8" w:rsidP="00D608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08D8">
        <w:rPr>
          <w:rFonts w:ascii="Times New Roman" w:hAnsi="Times New Roman" w:cs="Times New Roman"/>
          <w:sz w:val="24"/>
          <w:szCs w:val="24"/>
        </w:rPr>
        <w:t>International Standard Classification of Education -1976</w:t>
      </w:r>
    </w:p>
    <w:p w:rsidR="00D608D8" w:rsidRPr="00D608D8" w:rsidRDefault="00D608D8" w:rsidP="00D608D8">
      <w:pPr>
        <w:bidi w:val="0"/>
        <w:jc w:val="both"/>
        <w:rPr>
          <w:rFonts w:ascii="Times New Roman" w:hAnsi="Times New Roman" w:cs="Times New Roman" w:hint="cs"/>
          <w:sz w:val="24"/>
          <w:szCs w:val="24"/>
          <w:rtl/>
        </w:rPr>
      </w:pPr>
      <w:r w:rsidRPr="00D608D8">
        <w:rPr>
          <w:rFonts w:ascii="Times New Roman" w:hAnsi="Times New Roman" w:cs="Times New Roman"/>
          <w:sz w:val="24"/>
          <w:szCs w:val="24"/>
        </w:rPr>
        <w:t>International Standard Classification of Education -1997</w:t>
      </w:r>
    </w:p>
    <w:p w:rsidR="006F7677" w:rsidRPr="002674E8" w:rsidRDefault="006F7677" w:rsidP="00DF76A8">
      <w:pPr>
        <w:bidi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7677" w:rsidRPr="002674E8" w:rsidSect="00DF76A8">
      <w:pgSz w:w="11906" w:h="16838"/>
      <w:pgMar w:top="1418" w:right="1418" w:bottom="1418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4307B5"/>
    <w:rsid w:val="000004D5"/>
    <w:rsid w:val="00001AAD"/>
    <w:rsid w:val="00004943"/>
    <w:rsid w:val="00004C76"/>
    <w:rsid w:val="00005AE7"/>
    <w:rsid w:val="00005CD4"/>
    <w:rsid w:val="00007C97"/>
    <w:rsid w:val="0001236C"/>
    <w:rsid w:val="000133C3"/>
    <w:rsid w:val="00013DF6"/>
    <w:rsid w:val="00013E06"/>
    <w:rsid w:val="00016EFD"/>
    <w:rsid w:val="000204B4"/>
    <w:rsid w:val="00021888"/>
    <w:rsid w:val="000242DC"/>
    <w:rsid w:val="000252BE"/>
    <w:rsid w:val="00030217"/>
    <w:rsid w:val="0003128B"/>
    <w:rsid w:val="00031C50"/>
    <w:rsid w:val="000366FA"/>
    <w:rsid w:val="000431F6"/>
    <w:rsid w:val="0004457E"/>
    <w:rsid w:val="00046EDD"/>
    <w:rsid w:val="00047C8E"/>
    <w:rsid w:val="00053007"/>
    <w:rsid w:val="00054868"/>
    <w:rsid w:val="00056A6A"/>
    <w:rsid w:val="00057C91"/>
    <w:rsid w:val="000630F6"/>
    <w:rsid w:val="000639E0"/>
    <w:rsid w:val="0006710E"/>
    <w:rsid w:val="00071807"/>
    <w:rsid w:val="00077AEB"/>
    <w:rsid w:val="00080530"/>
    <w:rsid w:val="00081886"/>
    <w:rsid w:val="00082B0B"/>
    <w:rsid w:val="00090862"/>
    <w:rsid w:val="00090AF2"/>
    <w:rsid w:val="000925C4"/>
    <w:rsid w:val="00092A41"/>
    <w:rsid w:val="00092BB9"/>
    <w:rsid w:val="000930C1"/>
    <w:rsid w:val="00094806"/>
    <w:rsid w:val="0009521D"/>
    <w:rsid w:val="00096EF7"/>
    <w:rsid w:val="00097859"/>
    <w:rsid w:val="00097D3D"/>
    <w:rsid w:val="000A32D3"/>
    <w:rsid w:val="000A66F7"/>
    <w:rsid w:val="000A6CC9"/>
    <w:rsid w:val="000B2000"/>
    <w:rsid w:val="000B3FC6"/>
    <w:rsid w:val="000B409A"/>
    <w:rsid w:val="000B43B3"/>
    <w:rsid w:val="000B544A"/>
    <w:rsid w:val="000C2B51"/>
    <w:rsid w:val="000C326D"/>
    <w:rsid w:val="000C56F3"/>
    <w:rsid w:val="000C5725"/>
    <w:rsid w:val="000C67EF"/>
    <w:rsid w:val="000D1D1F"/>
    <w:rsid w:val="000D2031"/>
    <w:rsid w:val="000D6FD4"/>
    <w:rsid w:val="000D6FE0"/>
    <w:rsid w:val="000E1CBE"/>
    <w:rsid w:val="000E469A"/>
    <w:rsid w:val="000E555F"/>
    <w:rsid w:val="000F05BB"/>
    <w:rsid w:val="000F0BF7"/>
    <w:rsid w:val="000F1A55"/>
    <w:rsid w:val="00101494"/>
    <w:rsid w:val="00105FD4"/>
    <w:rsid w:val="001068C7"/>
    <w:rsid w:val="00107E7E"/>
    <w:rsid w:val="001118A8"/>
    <w:rsid w:val="00112A0C"/>
    <w:rsid w:val="00120A63"/>
    <w:rsid w:val="00121613"/>
    <w:rsid w:val="00121780"/>
    <w:rsid w:val="00121A8A"/>
    <w:rsid w:val="0012228A"/>
    <w:rsid w:val="00123340"/>
    <w:rsid w:val="0012471A"/>
    <w:rsid w:val="001249E4"/>
    <w:rsid w:val="00124EA8"/>
    <w:rsid w:val="0012716C"/>
    <w:rsid w:val="0013025F"/>
    <w:rsid w:val="00130CA5"/>
    <w:rsid w:val="00130FBD"/>
    <w:rsid w:val="001310BD"/>
    <w:rsid w:val="00131C4D"/>
    <w:rsid w:val="00131E81"/>
    <w:rsid w:val="00132545"/>
    <w:rsid w:val="00133536"/>
    <w:rsid w:val="00134869"/>
    <w:rsid w:val="00141143"/>
    <w:rsid w:val="001413C4"/>
    <w:rsid w:val="00141834"/>
    <w:rsid w:val="00144375"/>
    <w:rsid w:val="001462B5"/>
    <w:rsid w:val="00146A13"/>
    <w:rsid w:val="00147410"/>
    <w:rsid w:val="00152E62"/>
    <w:rsid w:val="00155AE5"/>
    <w:rsid w:val="00162CFF"/>
    <w:rsid w:val="00165F7C"/>
    <w:rsid w:val="0016776D"/>
    <w:rsid w:val="0017048B"/>
    <w:rsid w:val="00173653"/>
    <w:rsid w:val="00176285"/>
    <w:rsid w:val="0018142C"/>
    <w:rsid w:val="00185CF0"/>
    <w:rsid w:val="00190C3B"/>
    <w:rsid w:val="0019140F"/>
    <w:rsid w:val="0019330D"/>
    <w:rsid w:val="00196E77"/>
    <w:rsid w:val="001A0B20"/>
    <w:rsid w:val="001A1251"/>
    <w:rsid w:val="001A1784"/>
    <w:rsid w:val="001A3272"/>
    <w:rsid w:val="001A5F40"/>
    <w:rsid w:val="001A6FD6"/>
    <w:rsid w:val="001B2AD7"/>
    <w:rsid w:val="001B3201"/>
    <w:rsid w:val="001B4136"/>
    <w:rsid w:val="001B4D33"/>
    <w:rsid w:val="001C02AA"/>
    <w:rsid w:val="001C4AA7"/>
    <w:rsid w:val="001C5561"/>
    <w:rsid w:val="001C5DE7"/>
    <w:rsid w:val="001C6598"/>
    <w:rsid w:val="001C7FA9"/>
    <w:rsid w:val="001D1A76"/>
    <w:rsid w:val="001D621E"/>
    <w:rsid w:val="001D7D77"/>
    <w:rsid w:val="001E035C"/>
    <w:rsid w:val="001E3F74"/>
    <w:rsid w:val="001E5C43"/>
    <w:rsid w:val="001E78CA"/>
    <w:rsid w:val="001E7BA4"/>
    <w:rsid w:val="001F2529"/>
    <w:rsid w:val="001F295F"/>
    <w:rsid w:val="001F2CFC"/>
    <w:rsid w:val="001F4289"/>
    <w:rsid w:val="001F57B3"/>
    <w:rsid w:val="001F5FC2"/>
    <w:rsid w:val="001F681C"/>
    <w:rsid w:val="002019D7"/>
    <w:rsid w:val="00203A76"/>
    <w:rsid w:val="00214E18"/>
    <w:rsid w:val="00215115"/>
    <w:rsid w:val="00216016"/>
    <w:rsid w:val="0021760C"/>
    <w:rsid w:val="002179E2"/>
    <w:rsid w:val="0022085D"/>
    <w:rsid w:val="00220DCB"/>
    <w:rsid w:val="002211C0"/>
    <w:rsid w:val="00234C0B"/>
    <w:rsid w:val="00237218"/>
    <w:rsid w:val="002378CC"/>
    <w:rsid w:val="00240E72"/>
    <w:rsid w:val="00243B8E"/>
    <w:rsid w:val="00244F78"/>
    <w:rsid w:val="00247322"/>
    <w:rsid w:val="0025192E"/>
    <w:rsid w:val="00251A08"/>
    <w:rsid w:val="00253BC5"/>
    <w:rsid w:val="00254E43"/>
    <w:rsid w:val="00255596"/>
    <w:rsid w:val="00255812"/>
    <w:rsid w:val="0026086E"/>
    <w:rsid w:val="00260B27"/>
    <w:rsid w:val="0026309F"/>
    <w:rsid w:val="00265472"/>
    <w:rsid w:val="002674E8"/>
    <w:rsid w:val="00267A3C"/>
    <w:rsid w:val="002701ED"/>
    <w:rsid w:val="002723AC"/>
    <w:rsid w:val="0027301B"/>
    <w:rsid w:val="00273877"/>
    <w:rsid w:val="00274E55"/>
    <w:rsid w:val="00275F7A"/>
    <w:rsid w:val="0027715D"/>
    <w:rsid w:val="0027732D"/>
    <w:rsid w:val="0028185D"/>
    <w:rsid w:val="00281884"/>
    <w:rsid w:val="00282149"/>
    <w:rsid w:val="00282216"/>
    <w:rsid w:val="002855FE"/>
    <w:rsid w:val="0028683B"/>
    <w:rsid w:val="00290178"/>
    <w:rsid w:val="002924D3"/>
    <w:rsid w:val="00292A8C"/>
    <w:rsid w:val="00294E44"/>
    <w:rsid w:val="002950A3"/>
    <w:rsid w:val="00295894"/>
    <w:rsid w:val="002A10E2"/>
    <w:rsid w:val="002A1E80"/>
    <w:rsid w:val="002A27A8"/>
    <w:rsid w:val="002A32BF"/>
    <w:rsid w:val="002A58AF"/>
    <w:rsid w:val="002A6A95"/>
    <w:rsid w:val="002A6F1B"/>
    <w:rsid w:val="002A6FA0"/>
    <w:rsid w:val="002A7DE7"/>
    <w:rsid w:val="002B3107"/>
    <w:rsid w:val="002B33A3"/>
    <w:rsid w:val="002B3B34"/>
    <w:rsid w:val="002B6B78"/>
    <w:rsid w:val="002C6BAF"/>
    <w:rsid w:val="002D11F1"/>
    <w:rsid w:val="002D1A05"/>
    <w:rsid w:val="002D271D"/>
    <w:rsid w:val="002D588B"/>
    <w:rsid w:val="002D79E5"/>
    <w:rsid w:val="002D7C8F"/>
    <w:rsid w:val="002E60E1"/>
    <w:rsid w:val="002E7391"/>
    <w:rsid w:val="002F04A0"/>
    <w:rsid w:val="002F13D7"/>
    <w:rsid w:val="002F37CF"/>
    <w:rsid w:val="002F4EDB"/>
    <w:rsid w:val="002F70F9"/>
    <w:rsid w:val="00300479"/>
    <w:rsid w:val="003012E5"/>
    <w:rsid w:val="0030294A"/>
    <w:rsid w:val="00302A16"/>
    <w:rsid w:val="00303654"/>
    <w:rsid w:val="003043BA"/>
    <w:rsid w:val="00305EA7"/>
    <w:rsid w:val="00305FCD"/>
    <w:rsid w:val="003100B8"/>
    <w:rsid w:val="003102C2"/>
    <w:rsid w:val="00312C39"/>
    <w:rsid w:val="00315127"/>
    <w:rsid w:val="00316B36"/>
    <w:rsid w:val="003213AF"/>
    <w:rsid w:val="0032151C"/>
    <w:rsid w:val="00321A9B"/>
    <w:rsid w:val="00322662"/>
    <w:rsid w:val="00322FD5"/>
    <w:rsid w:val="00323A90"/>
    <w:rsid w:val="00326F15"/>
    <w:rsid w:val="003329C3"/>
    <w:rsid w:val="00333BDB"/>
    <w:rsid w:val="00334C03"/>
    <w:rsid w:val="00336487"/>
    <w:rsid w:val="00336635"/>
    <w:rsid w:val="00341259"/>
    <w:rsid w:val="00344DB8"/>
    <w:rsid w:val="00346689"/>
    <w:rsid w:val="003467B0"/>
    <w:rsid w:val="003545E1"/>
    <w:rsid w:val="00356E9F"/>
    <w:rsid w:val="003625E7"/>
    <w:rsid w:val="003635D7"/>
    <w:rsid w:val="00364A92"/>
    <w:rsid w:val="0037043F"/>
    <w:rsid w:val="00372092"/>
    <w:rsid w:val="00373AA4"/>
    <w:rsid w:val="00382FDC"/>
    <w:rsid w:val="003838DB"/>
    <w:rsid w:val="00384301"/>
    <w:rsid w:val="0038682B"/>
    <w:rsid w:val="00391AE3"/>
    <w:rsid w:val="0039235C"/>
    <w:rsid w:val="00392FE0"/>
    <w:rsid w:val="003950B7"/>
    <w:rsid w:val="003950BC"/>
    <w:rsid w:val="00395AF5"/>
    <w:rsid w:val="003962E9"/>
    <w:rsid w:val="00396B21"/>
    <w:rsid w:val="00397CFF"/>
    <w:rsid w:val="003A3969"/>
    <w:rsid w:val="003A7E60"/>
    <w:rsid w:val="003B12A0"/>
    <w:rsid w:val="003B13D1"/>
    <w:rsid w:val="003B15B6"/>
    <w:rsid w:val="003B2D38"/>
    <w:rsid w:val="003B302F"/>
    <w:rsid w:val="003B4CFF"/>
    <w:rsid w:val="003B78D4"/>
    <w:rsid w:val="003C6753"/>
    <w:rsid w:val="003C67C2"/>
    <w:rsid w:val="003C76AF"/>
    <w:rsid w:val="003D12A3"/>
    <w:rsid w:val="003D233F"/>
    <w:rsid w:val="003D32C1"/>
    <w:rsid w:val="003D33D7"/>
    <w:rsid w:val="003D5F7E"/>
    <w:rsid w:val="003E4CB0"/>
    <w:rsid w:val="003F4CAA"/>
    <w:rsid w:val="003F6308"/>
    <w:rsid w:val="003F7D35"/>
    <w:rsid w:val="00400686"/>
    <w:rsid w:val="004031F5"/>
    <w:rsid w:val="00403E67"/>
    <w:rsid w:val="00404906"/>
    <w:rsid w:val="004051EF"/>
    <w:rsid w:val="00405215"/>
    <w:rsid w:val="00405C39"/>
    <w:rsid w:val="0040646F"/>
    <w:rsid w:val="00414B2A"/>
    <w:rsid w:val="00420825"/>
    <w:rsid w:val="00421287"/>
    <w:rsid w:val="00421668"/>
    <w:rsid w:val="00422B50"/>
    <w:rsid w:val="00425A4D"/>
    <w:rsid w:val="00426DEE"/>
    <w:rsid w:val="004301A6"/>
    <w:rsid w:val="004307B5"/>
    <w:rsid w:val="0043412C"/>
    <w:rsid w:val="00434315"/>
    <w:rsid w:val="00442963"/>
    <w:rsid w:val="0044362D"/>
    <w:rsid w:val="00444B80"/>
    <w:rsid w:val="004533D1"/>
    <w:rsid w:val="00455E2C"/>
    <w:rsid w:val="004569BA"/>
    <w:rsid w:val="00456D92"/>
    <w:rsid w:val="00456DC0"/>
    <w:rsid w:val="0045781F"/>
    <w:rsid w:val="0046086E"/>
    <w:rsid w:val="00471F9D"/>
    <w:rsid w:val="00480F9F"/>
    <w:rsid w:val="00483724"/>
    <w:rsid w:val="00483BEE"/>
    <w:rsid w:val="00485017"/>
    <w:rsid w:val="004862A2"/>
    <w:rsid w:val="0048654B"/>
    <w:rsid w:val="00490A13"/>
    <w:rsid w:val="00491EF4"/>
    <w:rsid w:val="00492EBF"/>
    <w:rsid w:val="00492FC6"/>
    <w:rsid w:val="0049432F"/>
    <w:rsid w:val="00494843"/>
    <w:rsid w:val="00495FCB"/>
    <w:rsid w:val="0049665F"/>
    <w:rsid w:val="00496ECE"/>
    <w:rsid w:val="004973DF"/>
    <w:rsid w:val="004A2D2A"/>
    <w:rsid w:val="004A2E10"/>
    <w:rsid w:val="004A4439"/>
    <w:rsid w:val="004A52D1"/>
    <w:rsid w:val="004A5CD1"/>
    <w:rsid w:val="004A7874"/>
    <w:rsid w:val="004B0498"/>
    <w:rsid w:val="004B2D40"/>
    <w:rsid w:val="004B69E1"/>
    <w:rsid w:val="004B6AE1"/>
    <w:rsid w:val="004B6D5F"/>
    <w:rsid w:val="004C0AD8"/>
    <w:rsid w:val="004C0C8E"/>
    <w:rsid w:val="004C11F4"/>
    <w:rsid w:val="004C1E99"/>
    <w:rsid w:val="004C4C92"/>
    <w:rsid w:val="004C7305"/>
    <w:rsid w:val="004D0274"/>
    <w:rsid w:val="004D0937"/>
    <w:rsid w:val="004D187F"/>
    <w:rsid w:val="004D2964"/>
    <w:rsid w:val="004D72D1"/>
    <w:rsid w:val="004D7412"/>
    <w:rsid w:val="004D77C7"/>
    <w:rsid w:val="004E1C97"/>
    <w:rsid w:val="004E4A9A"/>
    <w:rsid w:val="004E74CF"/>
    <w:rsid w:val="004F0687"/>
    <w:rsid w:val="004F1182"/>
    <w:rsid w:val="004F399F"/>
    <w:rsid w:val="004F5535"/>
    <w:rsid w:val="004F60A4"/>
    <w:rsid w:val="004F6108"/>
    <w:rsid w:val="004F71E7"/>
    <w:rsid w:val="00501C0C"/>
    <w:rsid w:val="005021E0"/>
    <w:rsid w:val="00502579"/>
    <w:rsid w:val="00506EF7"/>
    <w:rsid w:val="00507585"/>
    <w:rsid w:val="00510FC8"/>
    <w:rsid w:val="005128D2"/>
    <w:rsid w:val="005140BD"/>
    <w:rsid w:val="005141C8"/>
    <w:rsid w:val="00514236"/>
    <w:rsid w:val="00514705"/>
    <w:rsid w:val="00516355"/>
    <w:rsid w:val="0051744E"/>
    <w:rsid w:val="0052103E"/>
    <w:rsid w:val="00521396"/>
    <w:rsid w:val="005278C0"/>
    <w:rsid w:val="0052798C"/>
    <w:rsid w:val="00533D18"/>
    <w:rsid w:val="00534115"/>
    <w:rsid w:val="00542876"/>
    <w:rsid w:val="005434D7"/>
    <w:rsid w:val="005478D3"/>
    <w:rsid w:val="00550A04"/>
    <w:rsid w:val="005512A2"/>
    <w:rsid w:val="00553541"/>
    <w:rsid w:val="00553A89"/>
    <w:rsid w:val="00556240"/>
    <w:rsid w:val="005564E8"/>
    <w:rsid w:val="005618E7"/>
    <w:rsid w:val="00564469"/>
    <w:rsid w:val="0056546D"/>
    <w:rsid w:val="00570043"/>
    <w:rsid w:val="00574620"/>
    <w:rsid w:val="00575E3D"/>
    <w:rsid w:val="00577594"/>
    <w:rsid w:val="00577EFE"/>
    <w:rsid w:val="0058461B"/>
    <w:rsid w:val="00585D49"/>
    <w:rsid w:val="0058703D"/>
    <w:rsid w:val="005872AA"/>
    <w:rsid w:val="00587F13"/>
    <w:rsid w:val="005921F2"/>
    <w:rsid w:val="00592433"/>
    <w:rsid w:val="005959F0"/>
    <w:rsid w:val="005977E9"/>
    <w:rsid w:val="005A0177"/>
    <w:rsid w:val="005A0984"/>
    <w:rsid w:val="005B1256"/>
    <w:rsid w:val="005B3814"/>
    <w:rsid w:val="005B49B4"/>
    <w:rsid w:val="005C06FF"/>
    <w:rsid w:val="005C4F0C"/>
    <w:rsid w:val="005D0E14"/>
    <w:rsid w:val="005D1C59"/>
    <w:rsid w:val="005D2247"/>
    <w:rsid w:val="005D2FBB"/>
    <w:rsid w:val="005D42D0"/>
    <w:rsid w:val="005E0A9A"/>
    <w:rsid w:val="005E47F0"/>
    <w:rsid w:val="005E6E4F"/>
    <w:rsid w:val="005F0FB9"/>
    <w:rsid w:val="005F1574"/>
    <w:rsid w:val="005F2C20"/>
    <w:rsid w:val="005F3AC6"/>
    <w:rsid w:val="005F49F2"/>
    <w:rsid w:val="005F63FA"/>
    <w:rsid w:val="005F701D"/>
    <w:rsid w:val="0060265F"/>
    <w:rsid w:val="00602CBF"/>
    <w:rsid w:val="00603741"/>
    <w:rsid w:val="00604A89"/>
    <w:rsid w:val="00605332"/>
    <w:rsid w:val="00606368"/>
    <w:rsid w:val="00607479"/>
    <w:rsid w:val="00607AE5"/>
    <w:rsid w:val="00614F44"/>
    <w:rsid w:val="0061530F"/>
    <w:rsid w:val="00615ABA"/>
    <w:rsid w:val="00615F4B"/>
    <w:rsid w:val="00616E33"/>
    <w:rsid w:val="006224BD"/>
    <w:rsid w:val="00622E46"/>
    <w:rsid w:val="006343CF"/>
    <w:rsid w:val="006362CD"/>
    <w:rsid w:val="006366B1"/>
    <w:rsid w:val="00637EF0"/>
    <w:rsid w:val="00642746"/>
    <w:rsid w:val="0064335B"/>
    <w:rsid w:val="00647505"/>
    <w:rsid w:val="00651217"/>
    <w:rsid w:val="006522F6"/>
    <w:rsid w:val="006541F3"/>
    <w:rsid w:val="00654CE3"/>
    <w:rsid w:val="006555ED"/>
    <w:rsid w:val="006559ED"/>
    <w:rsid w:val="00655E7E"/>
    <w:rsid w:val="00656BA9"/>
    <w:rsid w:val="00657FD3"/>
    <w:rsid w:val="00660449"/>
    <w:rsid w:val="00662DA1"/>
    <w:rsid w:val="00663CC8"/>
    <w:rsid w:val="0067046E"/>
    <w:rsid w:val="00670ED2"/>
    <w:rsid w:val="006714FB"/>
    <w:rsid w:val="00671DE8"/>
    <w:rsid w:val="006735A3"/>
    <w:rsid w:val="006735C6"/>
    <w:rsid w:val="00675514"/>
    <w:rsid w:val="00675F52"/>
    <w:rsid w:val="006802BF"/>
    <w:rsid w:val="006806D2"/>
    <w:rsid w:val="006822D9"/>
    <w:rsid w:val="00682643"/>
    <w:rsid w:val="006842E5"/>
    <w:rsid w:val="006906FA"/>
    <w:rsid w:val="00691F3E"/>
    <w:rsid w:val="006944C4"/>
    <w:rsid w:val="00694FBE"/>
    <w:rsid w:val="00695D30"/>
    <w:rsid w:val="00696127"/>
    <w:rsid w:val="00696B97"/>
    <w:rsid w:val="006A4E8C"/>
    <w:rsid w:val="006A52EA"/>
    <w:rsid w:val="006A5367"/>
    <w:rsid w:val="006A5CEA"/>
    <w:rsid w:val="006B1930"/>
    <w:rsid w:val="006B1F82"/>
    <w:rsid w:val="006B3529"/>
    <w:rsid w:val="006B688B"/>
    <w:rsid w:val="006B772E"/>
    <w:rsid w:val="006C07F7"/>
    <w:rsid w:val="006C3B16"/>
    <w:rsid w:val="006C44B8"/>
    <w:rsid w:val="006C4E54"/>
    <w:rsid w:val="006C6D27"/>
    <w:rsid w:val="006D00FA"/>
    <w:rsid w:val="006D0AB6"/>
    <w:rsid w:val="006D0EEE"/>
    <w:rsid w:val="006D248C"/>
    <w:rsid w:val="006D33B4"/>
    <w:rsid w:val="006D348F"/>
    <w:rsid w:val="006D3CFC"/>
    <w:rsid w:val="006D55EE"/>
    <w:rsid w:val="006D5E3F"/>
    <w:rsid w:val="006E0621"/>
    <w:rsid w:val="006E406E"/>
    <w:rsid w:val="006E5A07"/>
    <w:rsid w:val="006E6DFE"/>
    <w:rsid w:val="006E6FB5"/>
    <w:rsid w:val="006F14DC"/>
    <w:rsid w:val="006F3D14"/>
    <w:rsid w:val="006F4601"/>
    <w:rsid w:val="006F6E12"/>
    <w:rsid w:val="006F6FA0"/>
    <w:rsid w:val="006F7677"/>
    <w:rsid w:val="007000C8"/>
    <w:rsid w:val="00700AAC"/>
    <w:rsid w:val="00700B62"/>
    <w:rsid w:val="00701976"/>
    <w:rsid w:val="00702020"/>
    <w:rsid w:val="00704417"/>
    <w:rsid w:val="00705931"/>
    <w:rsid w:val="00707AAE"/>
    <w:rsid w:val="00710C5D"/>
    <w:rsid w:val="00711AE8"/>
    <w:rsid w:val="007124A3"/>
    <w:rsid w:val="00712F46"/>
    <w:rsid w:val="00713AE4"/>
    <w:rsid w:val="007167EC"/>
    <w:rsid w:val="0071789E"/>
    <w:rsid w:val="0072100E"/>
    <w:rsid w:val="00721E1F"/>
    <w:rsid w:val="00726762"/>
    <w:rsid w:val="00730927"/>
    <w:rsid w:val="00730CBA"/>
    <w:rsid w:val="0073188D"/>
    <w:rsid w:val="007329F4"/>
    <w:rsid w:val="00735827"/>
    <w:rsid w:val="00735A47"/>
    <w:rsid w:val="00740CC8"/>
    <w:rsid w:val="00740F6A"/>
    <w:rsid w:val="007454CD"/>
    <w:rsid w:val="00745EE6"/>
    <w:rsid w:val="00750892"/>
    <w:rsid w:val="00750FDE"/>
    <w:rsid w:val="0075321E"/>
    <w:rsid w:val="00754655"/>
    <w:rsid w:val="0075749E"/>
    <w:rsid w:val="007574F2"/>
    <w:rsid w:val="007600E2"/>
    <w:rsid w:val="00761EE5"/>
    <w:rsid w:val="00761EEE"/>
    <w:rsid w:val="007627D0"/>
    <w:rsid w:val="00762895"/>
    <w:rsid w:val="0076292D"/>
    <w:rsid w:val="007665D7"/>
    <w:rsid w:val="007704DD"/>
    <w:rsid w:val="0077162E"/>
    <w:rsid w:val="00772231"/>
    <w:rsid w:val="007748EC"/>
    <w:rsid w:val="007768F3"/>
    <w:rsid w:val="00783106"/>
    <w:rsid w:val="007840D1"/>
    <w:rsid w:val="00785553"/>
    <w:rsid w:val="007931C3"/>
    <w:rsid w:val="007944F5"/>
    <w:rsid w:val="00796F39"/>
    <w:rsid w:val="007A124E"/>
    <w:rsid w:val="007A126F"/>
    <w:rsid w:val="007A2833"/>
    <w:rsid w:val="007A478B"/>
    <w:rsid w:val="007A7823"/>
    <w:rsid w:val="007B0A4A"/>
    <w:rsid w:val="007B116F"/>
    <w:rsid w:val="007B2D61"/>
    <w:rsid w:val="007B2F64"/>
    <w:rsid w:val="007B3A7A"/>
    <w:rsid w:val="007C2ACD"/>
    <w:rsid w:val="007C2D04"/>
    <w:rsid w:val="007C4B68"/>
    <w:rsid w:val="007C6A72"/>
    <w:rsid w:val="007C7D27"/>
    <w:rsid w:val="007D08BF"/>
    <w:rsid w:val="007D0903"/>
    <w:rsid w:val="007D0DEF"/>
    <w:rsid w:val="007D1A92"/>
    <w:rsid w:val="007D2091"/>
    <w:rsid w:val="007D427C"/>
    <w:rsid w:val="007D54F2"/>
    <w:rsid w:val="007E08F7"/>
    <w:rsid w:val="007E1424"/>
    <w:rsid w:val="007E40F9"/>
    <w:rsid w:val="007E5133"/>
    <w:rsid w:val="007F0511"/>
    <w:rsid w:val="007F2C0D"/>
    <w:rsid w:val="007F3ED3"/>
    <w:rsid w:val="007F4F91"/>
    <w:rsid w:val="00801F47"/>
    <w:rsid w:val="00802124"/>
    <w:rsid w:val="00803006"/>
    <w:rsid w:val="00803530"/>
    <w:rsid w:val="008036A2"/>
    <w:rsid w:val="008049FE"/>
    <w:rsid w:val="008065FC"/>
    <w:rsid w:val="00811616"/>
    <w:rsid w:val="00814E73"/>
    <w:rsid w:val="00816A55"/>
    <w:rsid w:val="00817B90"/>
    <w:rsid w:val="00822278"/>
    <w:rsid w:val="00822397"/>
    <w:rsid w:val="0082306E"/>
    <w:rsid w:val="00823E2D"/>
    <w:rsid w:val="0082454B"/>
    <w:rsid w:val="00827AFB"/>
    <w:rsid w:val="00827FB5"/>
    <w:rsid w:val="008307E0"/>
    <w:rsid w:val="00830B81"/>
    <w:rsid w:val="008356E9"/>
    <w:rsid w:val="008426F3"/>
    <w:rsid w:val="00843011"/>
    <w:rsid w:val="008435E5"/>
    <w:rsid w:val="00845610"/>
    <w:rsid w:val="00845712"/>
    <w:rsid w:val="008463B7"/>
    <w:rsid w:val="00850DE3"/>
    <w:rsid w:val="0085406E"/>
    <w:rsid w:val="008561D4"/>
    <w:rsid w:val="00857420"/>
    <w:rsid w:val="008606DC"/>
    <w:rsid w:val="00861954"/>
    <w:rsid w:val="00862338"/>
    <w:rsid w:val="00866AF4"/>
    <w:rsid w:val="008722AD"/>
    <w:rsid w:val="00875540"/>
    <w:rsid w:val="00875F6D"/>
    <w:rsid w:val="00876BED"/>
    <w:rsid w:val="00876C9B"/>
    <w:rsid w:val="00876D32"/>
    <w:rsid w:val="00880E0A"/>
    <w:rsid w:val="0088164E"/>
    <w:rsid w:val="0088544C"/>
    <w:rsid w:val="00885894"/>
    <w:rsid w:val="00885EF6"/>
    <w:rsid w:val="008876BD"/>
    <w:rsid w:val="008904FF"/>
    <w:rsid w:val="008944E7"/>
    <w:rsid w:val="00897128"/>
    <w:rsid w:val="008A1FD2"/>
    <w:rsid w:val="008A20E2"/>
    <w:rsid w:val="008A35DB"/>
    <w:rsid w:val="008A3890"/>
    <w:rsid w:val="008A3A5C"/>
    <w:rsid w:val="008A3BEF"/>
    <w:rsid w:val="008A4B17"/>
    <w:rsid w:val="008B0354"/>
    <w:rsid w:val="008B0547"/>
    <w:rsid w:val="008B18F4"/>
    <w:rsid w:val="008B1BCE"/>
    <w:rsid w:val="008B5B9A"/>
    <w:rsid w:val="008B741C"/>
    <w:rsid w:val="008B7AC7"/>
    <w:rsid w:val="008C1F24"/>
    <w:rsid w:val="008C2931"/>
    <w:rsid w:val="008C3E4C"/>
    <w:rsid w:val="008C49BF"/>
    <w:rsid w:val="008C7792"/>
    <w:rsid w:val="008D1724"/>
    <w:rsid w:val="008D5A30"/>
    <w:rsid w:val="008D5DCF"/>
    <w:rsid w:val="008D6080"/>
    <w:rsid w:val="008E147A"/>
    <w:rsid w:val="008E3ED2"/>
    <w:rsid w:val="008E4965"/>
    <w:rsid w:val="008E5DA9"/>
    <w:rsid w:val="008E66F2"/>
    <w:rsid w:val="008E674E"/>
    <w:rsid w:val="008E79F3"/>
    <w:rsid w:val="008E7B7B"/>
    <w:rsid w:val="008F5C69"/>
    <w:rsid w:val="008F5E72"/>
    <w:rsid w:val="0090247B"/>
    <w:rsid w:val="00902843"/>
    <w:rsid w:val="00902BAD"/>
    <w:rsid w:val="0090349E"/>
    <w:rsid w:val="00904047"/>
    <w:rsid w:val="0090600F"/>
    <w:rsid w:val="00910284"/>
    <w:rsid w:val="00911E6B"/>
    <w:rsid w:val="00914F69"/>
    <w:rsid w:val="00916618"/>
    <w:rsid w:val="00916FBA"/>
    <w:rsid w:val="00917068"/>
    <w:rsid w:val="009253AF"/>
    <w:rsid w:val="00925DE9"/>
    <w:rsid w:val="00927497"/>
    <w:rsid w:val="00930E1F"/>
    <w:rsid w:val="009343C0"/>
    <w:rsid w:val="0093482F"/>
    <w:rsid w:val="00934E10"/>
    <w:rsid w:val="009355B0"/>
    <w:rsid w:val="00941A67"/>
    <w:rsid w:val="00944D0C"/>
    <w:rsid w:val="00950825"/>
    <w:rsid w:val="009508DC"/>
    <w:rsid w:val="0095389A"/>
    <w:rsid w:val="00953E22"/>
    <w:rsid w:val="009542C0"/>
    <w:rsid w:val="009564F7"/>
    <w:rsid w:val="00957BA3"/>
    <w:rsid w:val="009606AA"/>
    <w:rsid w:val="009612A5"/>
    <w:rsid w:val="00961D79"/>
    <w:rsid w:val="00961EA7"/>
    <w:rsid w:val="00962ABF"/>
    <w:rsid w:val="009631C0"/>
    <w:rsid w:val="00963940"/>
    <w:rsid w:val="00964136"/>
    <w:rsid w:val="009655CC"/>
    <w:rsid w:val="00971868"/>
    <w:rsid w:val="009737C8"/>
    <w:rsid w:val="00974922"/>
    <w:rsid w:val="00975068"/>
    <w:rsid w:val="00975773"/>
    <w:rsid w:val="00975BC0"/>
    <w:rsid w:val="00975F33"/>
    <w:rsid w:val="00980BED"/>
    <w:rsid w:val="00985330"/>
    <w:rsid w:val="0099080D"/>
    <w:rsid w:val="0099235D"/>
    <w:rsid w:val="009923D6"/>
    <w:rsid w:val="0099322A"/>
    <w:rsid w:val="00994334"/>
    <w:rsid w:val="00994E53"/>
    <w:rsid w:val="009A76D2"/>
    <w:rsid w:val="009B15B6"/>
    <w:rsid w:val="009B26DA"/>
    <w:rsid w:val="009B3063"/>
    <w:rsid w:val="009B32B0"/>
    <w:rsid w:val="009B56A4"/>
    <w:rsid w:val="009B7790"/>
    <w:rsid w:val="009B7D53"/>
    <w:rsid w:val="009C1B61"/>
    <w:rsid w:val="009C305B"/>
    <w:rsid w:val="009C4D75"/>
    <w:rsid w:val="009C54B4"/>
    <w:rsid w:val="009C577E"/>
    <w:rsid w:val="009C64F0"/>
    <w:rsid w:val="009D2167"/>
    <w:rsid w:val="009D2613"/>
    <w:rsid w:val="009D7CFE"/>
    <w:rsid w:val="009E0E12"/>
    <w:rsid w:val="009E1181"/>
    <w:rsid w:val="009E363E"/>
    <w:rsid w:val="009E4926"/>
    <w:rsid w:val="009F0CA5"/>
    <w:rsid w:val="009F0F54"/>
    <w:rsid w:val="009F135B"/>
    <w:rsid w:val="009F5674"/>
    <w:rsid w:val="009F5917"/>
    <w:rsid w:val="009F5BE1"/>
    <w:rsid w:val="009F603B"/>
    <w:rsid w:val="009F71A9"/>
    <w:rsid w:val="00A044AB"/>
    <w:rsid w:val="00A04F14"/>
    <w:rsid w:val="00A05438"/>
    <w:rsid w:val="00A06747"/>
    <w:rsid w:val="00A10689"/>
    <w:rsid w:val="00A10B01"/>
    <w:rsid w:val="00A17E46"/>
    <w:rsid w:val="00A20380"/>
    <w:rsid w:val="00A214CB"/>
    <w:rsid w:val="00A22D83"/>
    <w:rsid w:val="00A2525C"/>
    <w:rsid w:val="00A25A77"/>
    <w:rsid w:val="00A27564"/>
    <w:rsid w:val="00A30867"/>
    <w:rsid w:val="00A3087C"/>
    <w:rsid w:val="00A33D3D"/>
    <w:rsid w:val="00A33D52"/>
    <w:rsid w:val="00A37360"/>
    <w:rsid w:val="00A40C05"/>
    <w:rsid w:val="00A41392"/>
    <w:rsid w:val="00A422BC"/>
    <w:rsid w:val="00A424E7"/>
    <w:rsid w:val="00A4257E"/>
    <w:rsid w:val="00A42A35"/>
    <w:rsid w:val="00A430A2"/>
    <w:rsid w:val="00A5153C"/>
    <w:rsid w:val="00A51EFD"/>
    <w:rsid w:val="00A53F95"/>
    <w:rsid w:val="00A60A0A"/>
    <w:rsid w:val="00A620A6"/>
    <w:rsid w:val="00A62A29"/>
    <w:rsid w:val="00A6441A"/>
    <w:rsid w:val="00A67244"/>
    <w:rsid w:val="00A719E1"/>
    <w:rsid w:val="00A7420D"/>
    <w:rsid w:val="00A76A0D"/>
    <w:rsid w:val="00A76C7D"/>
    <w:rsid w:val="00A8097E"/>
    <w:rsid w:val="00A80987"/>
    <w:rsid w:val="00A81B48"/>
    <w:rsid w:val="00A81E14"/>
    <w:rsid w:val="00A81E7C"/>
    <w:rsid w:val="00A830E9"/>
    <w:rsid w:val="00A858D9"/>
    <w:rsid w:val="00A91E33"/>
    <w:rsid w:val="00A91F76"/>
    <w:rsid w:val="00A93B7B"/>
    <w:rsid w:val="00A9467A"/>
    <w:rsid w:val="00A96BD0"/>
    <w:rsid w:val="00A97C15"/>
    <w:rsid w:val="00A97DE2"/>
    <w:rsid w:val="00AA10A0"/>
    <w:rsid w:val="00AA15F9"/>
    <w:rsid w:val="00AA531E"/>
    <w:rsid w:val="00AA5E2B"/>
    <w:rsid w:val="00AA6633"/>
    <w:rsid w:val="00AA6E3A"/>
    <w:rsid w:val="00AA6ECF"/>
    <w:rsid w:val="00AA7097"/>
    <w:rsid w:val="00AB1056"/>
    <w:rsid w:val="00AB2D9C"/>
    <w:rsid w:val="00AB3789"/>
    <w:rsid w:val="00AB386A"/>
    <w:rsid w:val="00AB6B2F"/>
    <w:rsid w:val="00AC1F18"/>
    <w:rsid w:val="00AC26A2"/>
    <w:rsid w:val="00AC37B2"/>
    <w:rsid w:val="00AC4AA4"/>
    <w:rsid w:val="00AC4CC8"/>
    <w:rsid w:val="00AC4CD2"/>
    <w:rsid w:val="00AC6BD8"/>
    <w:rsid w:val="00AD09BF"/>
    <w:rsid w:val="00AD0F50"/>
    <w:rsid w:val="00AD2483"/>
    <w:rsid w:val="00AD2FFB"/>
    <w:rsid w:val="00AD55A5"/>
    <w:rsid w:val="00AD7253"/>
    <w:rsid w:val="00AD7916"/>
    <w:rsid w:val="00AE18B6"/>
    <w:rsid w:val="00AE1C6E"/>
    <w:rsid w:val="00AE2B9A"/>
    <w:rsid w:val="00AE3378"/>
    <w:rsid w:val="00AE4972"/>
    <w:rsid w:val="00AE54EF"/>
    <w:rsid w:val="00AF41ED"/>
    <w:rsid w:val="00B02728"/>
    <w:rsid w:val="00B03B8A"/>
    <w:rsid w:val="00B046FF"/>
    <w:rsid w:val="00B04CAD"/>
    <w:rsid w:val="00B0604C"/>
    <w:rsid w:val="00B0675D"/>
    <w:rsid w:val="00B1089D"/>
    <w:rsid w:val="00B1317C"/>
    <w:rsid w:val="00B17880"/>
    <w:rsid w:val="00B17D22"/>
    <w:rsid w:val="00B20BBC"/>
    <w:rsid w:val="00B216CE"/>
    <w:rsid w:val="00B22867"/>
    <w:rsid w:val="00B241B2"/>
    <w:rsid w:val="00B271CC"/>
    <w:rsid w:val="00B27316"/>
    <w:rsid w:val="00B27B5A"/>
    <w:rsid w:val="00B307D3"/>
    <w:rsid w:val="00B30BA0"/>
    <w:rsid w:val="00B30C4F"/>
    <w:rsid w:val="00B31DE5"/>
    <w:rsid w:val="00B3218C"/>
    <w:rsid w:val="00B330FC"/>
    <w:rsid w:val="00B33E07"/>
    <w:rsid w:val="00B33F51"/>
    <w:rsid w:val="00B37905"/>
    <w:rsid w:val="00B4299D"/>
    <w:rsid w:val="00B44A27"/>
    <w:rsid w:val="00B464D3"/>
    <w:rsid w:val="00B47458"/>
    <w:rsid w:val="00B511B4"/>
    <w:rsid w:val="00B5217C"/>
    <w:rsid w:val="00B5279B"/>
    <w:rsid w:val="00B538FE"/>
    <w:rsid w:val="00B543A1"/>
    <w:rsid w:val="00B55265"/>
    <w:rsid w:val="00B57D9B"/>
    <w:rsid w:val="00B62184"/>
    <w:rsid w:val="00B65C78"/>
    <w:rsid w:val="00B75D4A"/>
    <w:rsid w:val="00B764B0"/>
    <w:rsid w:val="00B76F7D"/>
    <w:rsid w:val="00B772EC"/>
    <w:rsid w:val="00B77380"/>
    <w:rsid w:val="00B8336F"/>
    <w:rsid w:val="00B85444"/>
    <w:rsid w:val="00B86437"/>
    <w:rsid w:val="00B929A5"/>
    <w:rsid w:val="00B93792"/>
    <w:rsid w:val="00B93991"/>
    <w:rsid w:val="00B95BAF"/>
    <w:rsid w:val="00BA1613"/>
    <w:rsid w:val="00BA1A16"/>
    <w:rsid w:val="00BA6E35"/>
    <w:rsid w:val="00BA7403"/>
    <w:rsid w:val="00BB1C60"/>
    <w:rsid w:val="00BB3959"/>
    <w:rsid w:val="00BB3C47"/>
    <w:rsid w:val="00BB420B"/>
    <w:rsid w:val="00BB456D"/>
    <w:rsid w:val="00BB6519"/>
    <w:rsid w:val="00BB71F3"/>
    <w:rsid w:val="00BB77F4"/>
    <w:rsid w:val="00BC2950"/>
    <w:rsid w:val="00BC5279"/>
    <w:rsid w:val="00BC5808"/>
    <w:rsid w:val="00BC74AC"/>
    <w:rsid w:val="00BD0356"/>
    <w:rsid w:val="00BD1B5D"/>
    <w:rsid w:val="00BD2ACC"/>
    <w:rsid w:val="00BD2D26"/>
    <w:rsid w:val="00BD37B9"/>
    <w:rsid w:val="00BD74C7"/>
    <w:rsid w:val="00BE10A0"/>
    <w:rsid w:val="00BE1304"/>
    <w:rsid w:val="00BE526C"/>
    <w:rsid w:val="00BE5895"/>
    <w:rsid w:val="00BE67DC"/>
    <w:rsid w:val="00BE6FC5"/>
    <w:rsid w:val="00BF2356"/>
    <w:rsid w:val="00BF50F2"/>
    <w:rsid w:val="00BF7D07"/>
    <w:rsid w:val="00C028C6"/>
    <w:rsid w:val="00C05A11"/>
    <w:rsid w:val="00C05C3D"/>
    <w:rsid w:val="00C118AC"/>
    <w:rsid w:val="00C13218"/>
    <w:rsid w:val="00C13C5F"/>
    <w:rsid w:val="00C13E72"/>
    <w:rsid w:val="00C21266"/>
    <w:rsid w:val="00C212DA"/>
    <w:rsid w:val="00C21A85"/>
    <w:rsid w:val="00C253B8"/>
    <w:rsid w:val="00C2559D"/>
    <w:rsid w:val="00C26985"/>
    <w:rsid w:val="00C279CD"/>
    <w:rsid w:val="00C27FC3"/>
    <w:rsid w:val="00C312C1"/>
    <w:rsid w:val="00C313FA"/>
    <w:rsid w:val="00C3169E"/>
    <w:rsid w:val="00C31953"/>
    <w:rsid w:val="00C36772"/>
    <w:rsid w:val="00C36910"/>
    <w:rsid w:val="00C46452"/>
    <w:rsid w:val="00C47320"/>
    <w:rsid w:val="00C52E48"/>
    <w:rsid w:val="00C54FA1"/>
    <w:rsid w:val="00C572F4"/>
    <w:rsid w:val="00C60975"/>
    <w:rsid w:val="00C60FA8"/>
    <w:rsid w:val="00C6544B"/>
    <w:rsid w:val="00C66257"/>
    <w:rsid w:val="00C67FE0"/>
    <w:rsid w:val="00C702FB"/>
    <w:rsid w:val="00C708B0"/>
    <w:rsid w:val="00C7274E"/>
    <w:rsid w:val="00C739EE"/>
    <w:rsid w:val="00C76E62"/>
    <w:rsid w:val="00C804FF"/>
    <w:rsid w:val="00C807AA"/>
    <w:rsid w:val="00C80D33"/>
    <w:rsid w:val="00C84518"/>
    <w:rsid w:val="00C85D27"/>
    <w:rsid w:val="00C911B4"/>
    <w:rsid w:val="00C915BD"/>
    <w:rsid w:val="00C91D3C"/>
    <w:rsid w:val="00C92AD0"/>
    <w:rsid w:val="00C94704"/>
    <w:rsid w:val="00C96035"/>
    <w:rsid w:val="00C96500"/>
    <w:rsid w:val="00C96FA3"/>
    <w:rsid w:val="00CA0AE9"/>
    <w:rsid w:val="00CA2009"/>
    <w:rsid w:val="00CA3F93"/>
    <w:rsid w:val="00CA698F"/>
    <w:rsid w:val="00CA7841"/>
    <w:rsid w:val="00CB0C7D"/>
    <w:rsid w:val="00CB0FBE"/>
    <w:rsid w:val="00CB1995"/>
    <w:rsid w:val="00CB443C"/>
    <w:rsid w:val="00CB5038"/>
    <w:rsid w:val="00CB6033"/>
    <w:rsid w:val="00CB635E"/>
    <w:rsid w:val="00CC0683"/>
    <w:rsid w:val="00CC34F6"/>
    <w:rsid w:val="00CC40D1"/>
    <w:rsid w:val="00CC5C5F"/>
    <w:rsid w:val="00CC7006"/>
    <w:rsid w:val="00CD0809"/>
    <w:rsid w:val="00CD0895"/>
    <w:rsid w:val="00CE09E0"/>
    <w:rsid w:val="00CE1408"/>
    <w:rsid w:val="00CE30BD"/>
    <w:rsid w:val="00CE5297"/>
    <w:rsid w:val="00CE5A44"/>
    <w:rsid w:val="00CE5B99"/>
    <w:rsid w:val="00CF2747"/>
    <w:rsid w:val="00CF3239"/>
    <w:rsid w:val="00CF7A6E"/>
    <w:rsid w:val="00D01B63"/>
    <w:rsid w:val="00D03F14"/>
    <w:rsid w:val="00D04B10"/>
    <w:rsid w:val="00D10A17"/>
    <w:rsid w:val="00D13928"/>
    <w:rsid w:val="00D13F66"/>
    <w:rsid w:val="00D16349"/>
    <w:rsid w:val="00D20D5F"/>
    <w:rsid w:val="00D211A9"/>
    <w:rsid w:val="00D227AB"/>
    <w:rsid w:val="00D22CEB"/>
    <w:rsid w:val="00D25265"/>
    <w:rsid w:val="00D27823"/>
    <w:rsid w:val="00D27A86"/>
    <w:rsid w:val="00D31356"/>
    <w:rsid w:val="00D31DAE"/>
    <w:rsid w:val="00D347B6"/>
    <w:rsid w:val="00D35169"/>
    <w:rsid w:val="00D43BFF"/>
    <w:rsid w:val="00D46F8E"/>
    <w:rsid w:val="00D51457"/>
    <w:rsid w:val="00D51B4F"/>
    <w:rsid w:val="00D51BD2"/>
    <w:rsid w:val="00D56C6A"/>
    <w:rsid w:val="00D608D8"/>
    <w:rsid w:val="00D6153F"/>
    <w:rsid w:val="00D6363F"/>
    <w:rsid w:val="00D6783D"/>
    <w:rsid w:val="00D679CB"/>
    <w:rsid w:val="00D760E6"/>
    <w:rsid w:val="00D7629C"/>
    <w:rsid w:val="00D81E45"/>
    <w:rsid w:val="00D821B3"/>
    <w:rsid w:val="00D83585"/>
    <w:rsid w:val="00D84FD8"/>
    <w:rsid w:val="00D85226"/>
    <w:rsid w:val="00D928DA"/>
    <w:rsid w:val="00D928F3"/>
    <w:rsid w:val="00D94171"/>
    <w:rsid w:val="00D95367"/>
    <w:rsid w:val="00DA1BD4"/>
    <w:rsid w:val="00DA1E11"/>
    <w:rsid w:val="00DA2354"/>
    <w:rsid w:val="00DA2DF3"/>
    <w:rsid w:val="00DA4211"/>
    <w:rsid w:val="00DA4A49"/>
    <w:rsid w:val="00DA68A7"/>
    <w:rsid w:val="00DB129A"/>
    <w:rsid w:val="00DB1363"/>
    <w:rsid w:val="00DB144C"/>
    <w:rsid w:val="00DB6DD5"/>
    <w:rsid w:val="00DB703E"/>
    <w:rsid w:val="00DB788C"/>
    <w:rsid w:val="00DB7B67"/>
    <w:rsid w:val="00DC01BE"/>
    <w:rsid w:val="00DC3B5F"/>
    <w:rsid w:val="00DC6706"/>
    <w:rsid w:val="00DC690C"/>
    <w:rsid w:val="00DD05D4"/>
    <w:rsid w:val="00DD35D6"/>
    <w:rsid w:val="00DD45AC"/>
    <w:rsid w:val="00DD5780"/>
    <w:rsid w:val="00DD6562"/>
    <w:rsid w:val="00DE00CD"/>
    <w:rsid w:val="00DE3670"/>
    <w:rsid w:val="00DE36A0"/>
    <w:rsid w:val="00DE3E4B"/>
    <w:rsid w:val="00DE498B"/>
    <w:rsid w:val="00DE51FF"/>
    <w:rsid w:val="00DE727E"/>
    <w:rsid w:val="00DE7DBE"/>
    <w:rsid w:val="00DF24BB"/>
    <w:rsid w:val="00DF513D"/>
    <w:rsid w:val="00DF76A8"/>
    <w:rsid w:val="00E02A96"/>
    <w:rsid w:val="00E0447D"/>
    <w:rsid w:val="00E0511B"/>
    <w:rsid w:val="00E146E4"/>
    <w:rsid w:val="00E14EC6"/>
    <w:rsid w:val="00E1582B"/>
    <w:rsid w:val="00E169D5"/>
    <w:rsid w:val="00E21D94"/>
    <w:rsid w:val="00E247A8"/>
    <w:rsid w:val="00E24A96"/>
    <w:rsid w:val="00E257A5"/>
    <w:rsid w:val="00E264A0"/>
    <w:rsid w:val="00E26ED8"/>
    <w:rsid w:val="00E26FA8"/>
    <w:rsid w:val="00E27BBA"/>
    <w:rsid w:val="00E30026"/>
    <w:rsid w:val="00E30082"/>
    <w:rsid w:val="00E304D9"/>
    <w:rsid w:val="00E35E80"/>
    <w:rsid w:val="00E36104"/>
    <w:rsid w:val="00E37524"/>
    <w:rsid w:val="00E42CCA"/>
    <w:rsid w:val="00E45DF3"/>
    <w:rsid w:val="00E47E0F"/>
    <w:rsid w:val="00E52E5A"/>
    <w:rsid w:val="00E55890"/>
    <w:rsid w:val="00E56020"/>
    <w:rsid w:val="00E56AB9"/>
    <w:rsid w:val="00E61A14"/>
    <w:rsid w:val="00E622EE"/>
    <w:rsid w:val="00E659E9"/>
    <w:rsid w:val="00E67EFE"/>
    <w:rsid w:val="00E72D39"/>
    <w:rsid w:val="00E75099"/>
    <w:rsid w:val="00E7718C"/>
    <w:rsid w:val="00E801C2"/>
    <w:rsid w:val="00E8069A"/>
    <w:rsid w:val="00E81FEB"/>
    <w:rsid w:val="00E829E3"/>
    <w:rsid w:val="00E83286"/>
    <w:rsid w:val="00E833A1"/>
    <w:rsid w:val="00E86821"/>
    <w:rsid w:val="00E86E6C"/>
    <w:rsid w:val="00E9086E"/>
    <w:rsid w:val="00E93E54"/>
    <w:rsid w:val="00E9655A"/>
    <w:rsid w:val="00E966A3"/>
    <w:rsid w:val="00EA033A"/>
    <w:rsid w:val="00EA1F00"/>
    <w:rsid w:val="00EA33F7"/>
    <w:rsid w:val="00EA4BE8"/>
    <w:rsid w:val="00EA5695"/>
    <w:rsid w:val="00EA64C4"/>
    <w:rsid w:val="00EA6DDE"/>
    <w:rsid w:val="00EA7610"/>
    <w:rsid w:val="00EA76A6"/>
    <w:rsid w:val="00EA7E93"/>
    <w:rsid w:val="00EB063F"/>
    <w:rsid w:val="00EB18E6"/>
    <w:rsid w:val="00EB4315"/>
    <w:rsid w:val="00EB45D9"/>
    <w:rsid w:val="00EB493F"/>
    <w:rsid w:val="00EB4A91"/>
    <w:rsid w:val="00EB4F48"/>
    <w:rsid w:val="00EB5F1C"/>
    <w:rsid w:val="00EB68BF"/>
    <w:rsid w:val="00EC0992"/>
    <w:rsid w:val="00EC33DE"/>
    <w:rsid w:val="00EC3FD6"/>
    <w:rsid w:val="00EC4B36"/>
    <w:rsid w:val="00EC7653"/>
    <w:rsid w:val="00ED3690"/>
    <w:rsid w:val="00ED3963"/>
    <w:rsid w:val="00ED528E"/>
    <w:rsid w:val="00ED60A9"/>
    <w:rsid w:val="00EE0824"/>
    <w:rsid w:val="00EE083F"/>
    <w:rsid w:val="00EE0C9E"/>
    <w:rsid w:val="00EE12BD"/>
    <w:rsid w:val="00EE1576"/>
    <w:rsid w:val="00EE5190"/>
    <w:rsid w:val="00EE56E4"/>
    <w:rsid w:val="00EF4830"/>
    <w:rsid w:val="00EF5566"/>
    <w:rsid w:val="00F02F72"/>
    <w:rsid w:val="00F04347"/>
    <w:rsid w:val="00F046DA"/>
    <w:rsid w:val="00F066FE"/>
    <w:rsid w:val="00F07856"/>
    <w:rsid w:val="00F13032"/>
    <w:rsid w:val="00F16219"/>
    <w:rsid w:val="00F1679E"/>
    <w:rsid w:val="00F16F14"/>
    <w:rsid w:val="00F20B1A"/>
    <w:rsid w:val="00F27311"/>
    <w:rsid w:val="00F27853"/>
    <w:rsid w:val="00F311F0"/>
    <w:rsid w:val="00F31E05"/>
    <w:rsid w:val="00F33E2C"/>
    <w:rsid w:val="00F35023"/>
    <w:rsid w:val="00F378CD"/>
    <w:rsid w:val="00F37B89"/>
    <w:rsid w:val="00F37FAD"/>
    <w:rsid w:val="00F41BD6"/>
    <w:rsid w:val="00F42566"/>
    <w:rsid w:val="00F4455C"/>
    <w:rsid w:val="00F53199"/>
    <w:rsid w:val="00F53CC2"/>
    <w:rsid w:val="00F547C6"/>
    <w:rsid w:val="00F54C95"/>
    <w:rsid w:val="00F56719"/>
    <w:rsid w:val="00F56D1D"/>
    <w:rsid w:val="00F66344"/>
    <w:rsid w:val="00F67985"/>
    <w:rsid w:val="00F67C26"/>
    <w:rsid w:val="00F70ECC"/>
    <w:rsid w:val="00F75C19"/>
    <w:rsid w:val="00F76665"/>
    <w:rsid w:val="00F77046"/>
    <w:rsid w:val="00F77521"/>
    <w:rsid w:val="00F77DA2"/>
    <w:rsid w:val="00F82E08"/>
    <w:rsid w:val="00F85B76"/>
    <w:rsid w:val="00F87B28"/>
    <w:rsid w:val="00F90A37"/>
    <w:rsid w:val="00F924EA"/>
    <w:rsid w:val="00F954AD"/>
    <w:rsid w:val="00FA0EF2"/>
    <w:rsid w:val="00FA1C7B"/>
    <w:rsid w:val="00FA2C01"/>
    <w:rsid w:val="00FA3796"/>
    <w:rsid w:val="00FA512B"/>
    <w:rsid w:val="00FB0509"/>
    <w:rsid w:val="00FB1EF9"/>
    <w:rsid w:val="00FB2725"/>
    <w:rsid w:val="00FB3CFC"/>
    <w:rsid w:val="00FB731C"/>
    <w:rsid w:val="00FC4792"/>
    <w:rsid w:val="00FC5CC5"/>
    <w:rsid w:val="00FD17C8"/>
    <w:rsid w:val="00FD217F"/>
    <w:rsid w:val="00FD27FF"/>
    <w:rsid w:val="00FD4EBC"/>
    <w:rsid w:val="00FD5345"/>
    <w:rsid w:val="00FD7F91"/>
    <w:rsid w:val="00FE186E"/>
    <w:rsid w:val="00FE1B02"/>
    <w:rsid w:val="00FE1F1F"/>
    <w:rsid w:val="00FE345D"/>
    <w:rsid w:val="00FE6763"/>
    <w:rsid w:val="00FE73E2"/>
    <w:rsid w:val="00FF0CF9"/>
    <w:rsid w:val="00FF1D60"/>
    <w:rsid w:val="00FF3ED1"/>
    <w:rsid w:val="00FF66AF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7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6A8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FF0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Links>
    <vt:vector size="6" baseType="variant"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http://uis.unesco.org/sites/default/files/documents/international-standard-classification-of-education-fields-of-education-and-training-2013-detailed-field-descriptions-2015-en.pdf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maherit</cp:lastModifiedBy>
  <cp:revision>2</cp:revision>
  <dcterms:created xsi:type="dcterms:W3CDTF">2019-02-06T06:50:00Z</dcterms:created>
  <dcterms:modified xsi:type="dcterms:W3CDTF">2019-02-06T06:50:00Z</dcterms:modified>
</cp:coreProperties>
</file>