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896" w:rsidRPr="00933896" w:rsidRDefault="00AB0933" w:rsidP="00A350D1">
      <w:pPr>
        <w:jc w:val="center"/>
        <w:rPr>
          <w:rFonts w:ascii="Simplified Arabic" w:hAnsi="Simplified Arabic" w:cs="Simplified Arabic"/>
          <w:b/>
          <w:bCs/>
          <w:color w:val="000000"/>
          <w:sz w:val="28"/>
          <w:szCs w:val="28"/>
          <w:rtl/>
        </w:rPr>
      </w:pPr>
      <w:r>
        <w:rPr>
          <w:rFonts w:ascii="Simplified Arabic" w:hAnsi="Simplified Arabic" w:cs="Simplified Arabic" w:hint="cs"/>
          <w:b/>
          <w:bCs/>
          <w:sz w:val="28"/>
          <w:szCs w:val="28"/>
          <w:rtl/>
        </w:rPr>
        <w:t>علا عوض:</w:t>
      </w:r>
      <w:r>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ت</w:t>
      </w:r>
      <w:r w:rsidR="00933896" w:rsidRPr="00933896">
        <w:rPr>
          <w:rFonts w:ascii="Simplified Arabic" w:hAnsi="Simplified Arabic" w:cs="Simplified Arabic"/>
          <w:b/>
          <w:bCs/>
          <w:sz w:val="28"/>
          <w:szCs w:val="28"/>
          <w:rtl/>
        </w:rPr>
        <w:t>ستعرض أوضاع الشباب في المجتمع الفلسطيني</w:t>
      </w:r>
      <w:r w:rsidR="00933896" w:rsidRPr="00933896">
        <w:rPr>
          <w:rFonts w:ascii="Simplified Arabic" w:hAnsi="Simplified Arabic" w:cs="Simplified Arabic"/>
          <w:b/>
          <w:bCs/>
          <w:color w:val="000000"/>
          <w:sz w:val="28"/>
          <w:szCs w:val="28"/>
          <w:rtl/>
        </w:rPr>
        <w:t xml:space="preserve"> عشية اليوم العالمي للشباب، 12/08/</w:t>
      </w:r>
      <w:r w:rsidR="00A350D1">
        <w:rPr>
          <w:rFonts w:ascii="Simplified Arabic" w:hAnsi="Simplified Arabic" w:cs="Simplified Arabic" w:hint="cs"/>
          <w:b/>
          <w:bCs/>
          <w:color w:val="000000"/>
          <w:sz w:val="28"/>
          <w:szCs w:val="28"/>
          <w:rtl/>
        </w:rPr>
        <w:t>2017</w:t>
      </w:r>
    </w:p>
    <w:p w:rsidR="00933896" w:rsidRPr="00933896" w:rsidRDefault="00933896" w:rsidP="00933896">
      <w:pPr>
        <w:jc w:val="center"/>
        <w:rPr>
          <w:rFonts w:ascii="Simplified Arabic" w:hAnsi="Simplified Arabic" w:cs="Simplified Arabic"/>
          <w:b/>
          <w:bCs/>
          <w:color w:val="000000"/>
          <w:sz w:val="32"/>
          <w:szCs w:val="32"/>
        </w:rPr>
      </w:pPr>
      <w:r w:rsidRPr="00933896">
        <w:rPr>
          <w:rFonts w:ascii="Simplified Arabic" w:hAnsi="Simplified Arabic" w:cs="Simplified Arabic"/>
          <w:b/>
          <w:bCs/>
          <w:color w:val="000000"/>
          <w:sz w:val="32"/>
          <w:szCs w:val="32"/>
          <w:rtl/>
        </w:rPr>
        <w:t xml:space="preserve">تحت </w:t>
      </w:r>
      <w:r w:rsidR="00030937">
        <w:rPr>
          <w:rFonts w:ascii="Simplified Arabic" w:hAnsi="Simplified Arabic" w:cs="Simplified Arabic"/>
          <w:b/>
          <w:bCs/>
          <w:sz w:val="32"/>
          <w:szCs w:val="32"/>
          <w:rtl/>
        </w:rPr>
        <w:t>شعار</w:t>
      </w:r>
      <w:r>
        <w:rPr>
          <w:rFonts w:ascii="Simplified Arabic" w:hAnsi="Simplified Arabic" w:cs="Simplified Arabic" w:hint="cs"/>
          <w:b/>
          <w:bCs/>
          <w:sz w:val="32"/>
          <w:szCs w:val="32"/>
          <w:rtl/>
        </w:rPr>
        <w:t>"</w:t>
      </w:r>
      <w:r w:rsidRPr="00933896">
        <w:rPr>
          <w:rFonts w:ascii="Simplified Arabic" w:hAnsi="Simplified Arabic" w:cs="Simplified Arabic"/>
          <w:b/>
          <w:bCs/>
          <w:sz w:val="32"/>
          <w:szCs w:val="32"/>
          <w:rtl/>
        </w:rPr>
        <w:t>الشباب والسلم والأمن الدوليين</w:t>
      </w:r>
      <w:r>
        <w:rPr>
          <w:rFonts w:ascii="Simplified Arabic" w:hAnsi="Simplified Arabic" w:cs="Simplified Arabic" w:hint="cs"/>
          <w:b/>
          <w:bCs/>
          <w:sz w:val="32"/>
          <w:szCs w:val="32"/>
          <w:rtl/>
        </w:rPr>
        <w:t>"</w:t>
      </w:r>
    </w:p>
    <w:p w:rsidR="00933896" w:rsidRPr="00030937" w:rsidRDefault="00933896" w:rsidP="00933896">
      <w:pPr>
        <w:rPr>
          <w:rFonts w:ascii="Simplified Arabic" w:hAnsi="Simplified Arabic" w:cs="Simplified Arabic"/>
          <w:b/>
          <w:bCs/>
          <w:rtl/>
        </w:rPr>
      </w:pPr>
    </w:p>
    <w:p w:rsidR="00933896" w:rsidRPr="00933896" w:rsidRDefault="00AB0933" w:rsidP="00AB0933">
      <w:pPr>
        <w:jc w:val="both"/>
        <w:rPr>
          <w:rFonts w:ascii="Simplified Arabic" w:hAnsi="Simplified Arabic" w:cs="Simplified Arabic"/>
          <w:snapToGrid w:val="0"/>
          <w:rtl/>
          <w:lang w:eastAsia="en-US"/>
        </w:rPr>
      </w:pPr>
      <w:r>
        <w:rPr>
          <w:rFonts w:ascii="Simplified Arabic" w:hAnsi="Simplified Arabic" w:cs="Simplified Arabic" w:hint="cs"/>
          <w:snapToGrid w:val="0"/>
          <w:rtl/>
          <w:lang w:eastAsia="en-US"/>
        </w:rPr>
        <w:t xml:space="preserve">استعرضت السيدة علا عوض، رئيس الإحصاء الفلسطيني/ المدير الوطني للتعداد أوضاع الشباب في المجتمع الفلسطيني، عشية اليوم العالمي للشباب،12/08/2017، مشيرة أن </w:t>
      </w:r>
      <w:r w:rsidR="00933896" w:rsidRPr="00933896">
        <w:rPr>
          <w:rFonts w:ascii="Simplified Arabic" w:hAnsi="Simplified Arabic" w:cs="Simplified Arabic"/>
          <w:snapToGrid w:val="0"/>
          <w:rtl/>
          <w:lang w:eastAsia="en-US"/>
        </w:rPr>
        <w:t>مجلس الأمن الدولي</w:t>
      </w:r>
      <w:r w:rsidRPr="00AB0933">
        <w:rPr>
          <w:rFonts w:ascii="Simplified Arabic" w:hAnsi="Simplified Arabic" w:cs="Simplified Arabic"/>
          <w:snapToGrid w:val="0"/>
          <w:rtl/>
          <w:lang w:eastAsia="en-US"/>
        </w:rPr>
        <w:t xml:space="preserve"> </w:t>
      </w:r>
      <w:r w:rsidRPr="00933896">
        <w:rPr>
          <w:rFonts w:ascii="Simplified Arabic" w:hAnsi="Simplified Arabic" w:cs="Simplified Arabic"/>
          <w:snapToGrid w:val="0"/>
          <w:rtl/>
          <w:lang w:eastAsia="en-US"/>
        </w:rPr>
        <w:t>اعتمد</w:t>
      </w:r>
      <w:r w:rsidR="00933896" w:rsidRPr="00933896">
        <w:rPr>
          <w:rFonts w:ascii="Simplified Arabic" w:hAnsi="Simplified Arabic" w:cs="Simplified Arabic"/>
          <w:snapToGrid w:val="0"/>
          <w:rtl/>
          <w:lang w:eastAsia="en-US"/>
        </w:rPr>
        <w:t xml:space="preserve"> بالإجماع في التاسع من كانون الأول/ديسمبر القرار رقم 2250 حول "الشباب والسلم والأمن" الذي يعد الأول من نوعه، بهدف تعزيز مشاركة الشباب في هذين المجالين وحث الدول الأعضاء على النظر في السبل الكفيلة بزيادة التمثيل الشامل للشباب في عمليات صنع القرارات على جميع المستويات لمنع نشوب النزاعات وحلها.</w:t>
      </w:r>
    </w:p>
    <w:p w:rsidR="00933896" w:rsidRPr="00933896" w:rsidRDefault="00933896" w:rsidP="00933896">
      <w:pPr>
        <w:jc w:val="both"/>
        <w:rPr>
          <w:rFonts w:ascii="Simplified Arabic" w:hAnsi="Simplified Arabic" w:cs="Simplified Arabic"/>
          <w:snapToGrid w:val="0"/>
          <w:sz w:val="16"/>
          <w:szCs w:val="16"/>
          <w:lang w:eastAsia="en-US"/>
        </w:rPr>
      </w:pPr>
    </w:p>
    <w:p w:rsidR="00933896" w:rsidRPr="00933896" w:rsidRDefault="00933896" w:rsidP="00933896">
      <w:pPr>
        <w:pStyle w:val="Header"/>
        <w:rPr>
          <w:rFonts w:ascii="Simplified Arabic" w:hAnsi="Simplified Arabic" w:cs="Simplified Arabic"/>
          <w:b/>
          <w:bCs/>
          <w:sz w:val="25"/>
          <w:szCs w:val="25"/>
          <w:rtl/>
        </w:rPr>
      </w:pPr>
      <w:r w:rsidRPr="00933896">
        <w:rPr>
          <w:rFonts w:ascii="Simplified Arabic" w:hAnsi="Simplified Arabic" w:cs="Simplified Arabic"/>
          <w:b/>
          <w:bCs/>
          <w:sz w:val="25"/>
          <w:szCs w:val="25"/>
          <w:rtl/>
        </w:rPr>
        <w:t>3 أفراد من كل 10 في المجتمع الفلسطيني هم من الشباب</w:t>
      </w:r>
    </w:p>
    <w:p w:rsidR="00933896" w:rsidRPr="00933896" w:rsidRDefault="00933896" w:rsidP="00933896">
      <w:pPr>
        <w:pStyle w:val="Header"/>
        <w:jc w:val="lowKashida"/>
        <w:rPr>
          <w:rFonts w:ascii="Simplified Arabic" w:hAnsi="Simplified Arabic" w:cs="Simplified Arabic"/>
          <w:sz w:val="24"/>
          <w:szCs w:val="24"/>
          <w:rtl/>
        </w:rPr>
      </w:pPr>
      <w:r w:rsidRPr="00933896">
        <w:rPr>
          <w:rFonts w:ascii="Simplified Arabic" w:hAnsi="Simplified Arabic" w:cs="Simplified Arabic"/>
          <w:sz w:val="24"/>
          <w:szCs w:val="24"/>
          <w:rtl/>
        </w:rPr>
        <w:t xml:space="preserve">بلغت نسبة  الشباب (15-29) سنة في فلسطين 30% من إجمالي السكان، يتوزعون بواقع 36% في الفئة العمرية (15-19) سنة و64% في الفئة العمرية (20-29) سنة،  وبلغت نسبة الجنس بين الشباب 104 ذكور لكل 100 أنثى، علما بان تقديرات عدد السكان في فلسطين منتصف العام 2017 تشير إلى أن إجمالي عدد السكان بلغ نحو 4.95 مليون.  </w:t>
      </w:r>
    </w:p>
    <w:p w:rsidR="00933896" w:rsidRPr="00933896" w:rsidRDefault="00933896" w:rsidP="00933896">
      <w:pPr>
        <w:pStyle w:val="Header"/>
        <w:jc w:val="lowKashida"/>
        <w:rPr>
          <w:rFonts w:ascii="Simplified Arabic" w:hAnsi="Simplified Arabic" w:cs="Simplified Arabic"/>
          <w:sz w:val="24"/>
          <w:szCs w:val="24"/>
          <w:rtl/>
        </w:rPr>
      </w:pPr>
    </w:p>
    <w:p w:rsidR="00933896" w:rsidRPr="00933896" w:rsidRDefault="00933896" w:rsidP="00933896">
      <w:pPr>
        <w:pStyle w:val="Header"/>
        <w:jc w:val="center"/>
        <w:rPr>
          <w:rFonts w:ascii="Simplified Arabic" w:hAnsi="Simplified Arabic" w:cs="Simplified Arabic"/>
          <w:sz w:val="25"/>
          <w:szCs w:val="25"/>
          <w:rtl/>
        </w:rPr>
      </w:pPr>
      <w:r w:rsidRPr="00933896">
        <w:rPr>
          <w:rFonts w:ascii="Simplified Arabic" w:hAnsi="Simplified Arabic" w:cs="Simplified Arabic"/>
          <w:b/>
          <w:bCs/>
          <w:sz w:val="25"/>
          <w:szCs w:val="25"/>
          <w:rtl/>
        </w:rPr>
        <w:t>الهرم السكاني في فلسطين تقديرات منتصف عام، 2017</w:t>
      </w:r>
    </w:p>
    <w:tbl>
      <w:tblPr>
        <w:tblStyle w:val="TableGrid"/>
        <w:bidiVisual/>
        <w:tblW w:w="0" w:type="auto"/>
        <w:jc w:val="center"/>
        <w:tblLook w:val="04A0"/>
      </w:tblPr>
      <w:tblGrid>
        <w:gridCol w:w="5001"/>
      </w:tblGrid>
      <w:tr w:rsidR="00933896" w:rsidRPr="00933896" w:rsidTr="00933896">
        <w:trPr>
          <w:jc w:val="center"/>
        </w:trPr>
        <w:tc>
          <w:tcPr>
            <w:tcW w:w="4964" w:type="dxa"/>
          </w:tcPr>
          <w:p w:rsidR="00933896" w:rsidRPr="00933896" w:rsidRDefault="00933896" w:rsidP="00933896">
            <w:pPr>
              <w:pStyle w:val="Header"/>
              <w:jc w:val="center"/>
              <w:rPr>
                <w:rFonts w:ascii="Simplified Arabic" w:hAnsi="Simplified Arabic" w:cs="Simplified Arabic"/>
                <w:b/>
                <w:bCs/>
                <w:sz w:val="24"/>
                <w:szCs w:val="24"/>
                <w:rtl/>
              </w:rPr>
            </w:pPr>
            <w:r w:rsidRPr="00933896">
              <w:rPr>
                <w:rFonts w:ascii="Simplified Arabic" w:hAnsi="Simplified Arabic" w:cs="Simplified Arabic"/>
                <w:b/>
                <w:bCs/>
                <w:noProof/>
                <w:sz w:val="24"/>
                <w:szCs w:val="24"/>
                <w:rtl/>
              </w:rPr>
              <w:drawing>
                <wp:inline distT="0" distB="0" distL="0" distR="0">
                  <wp:extent cx="3019425" cy="2486025"/>
                  <wp:effectExtent l="19050" t="0" r="0" b="0"/>
                  <wp:docPr id="3"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bl>
    <w:p w:rsidR="00933896" w:rsidRPr="00933896" w:rsidRDefault="00933896" w:rsidP="00933896">
      <w:pPr>
        <w:pStyle w:val="Header"/>
        <w:jc w:val="lowKashida"/>
        <w:rPr>
          <w:rFonts w:ascii="Simplified Arabic" w:hAnsi="Simplified Arabic" w:cs="Simplified Arabic"/>
          <w:b/>
          <w:bCs/>
          <w:sz w:val="16"/>
          <w:szCs w:val="16"/>
          <w:rtl/>
        </w:rPr>
      </w:pPr>
    </w:p>
    <w:p w:rsidR="00933896" w:rsidRPr="00933896" w:rsidRDefault="00933896" w:rsidP="00933896">
      <w:pPr>
        <w:pStyle w:val="Heading4"/>
        <w:jc w:val="left"/>
        <w:rPr>
          <w:rFonts w:ascii="Simplified Arabic" w:hAnsi="Simplified Arabic"/>
          <w:snapToGrid w:val="0"/>
          <w:sz w:val="25"/>
          <w:szCs w:val="25"/>
          <w:rtl/>
          <w:lang w:eastAsia="en-US"/>
        </w:rPr>
      </w:pPr>
      <w:r w:rsidRPr="00933896">
        <w:rPr>
          <w:rFonts w:ascii="Simplified Arabic" w:hAnsi="Simplified Arabic"/>
          <w:snapToGrid w:val="0"/>
          <w:sz w:val="25"/>
          <w:szCs w:val="25"/>
          <w:rtl/>
          <w:lang w:eastAsia="en-US"/>
        </w:rPr>
        <w:t>7 من كل 10 أسر في فلسطين لديها شاب واحد على الاقل</w:t>
      </w:r>
    </w:p>
    <w:p w:rsidR="00933896" w:rsidRPr="00933896" w:rsidRDefault="00933896" w:rsidP="00933896">
      <w:pPr>
        <w:jc w:val="both"/>
        <w:rPr>
          <w:rFonts w:ascii="Simplified Arabic" w:hAnsi="Simplified Arabic" w:cs="Simplified Arabic"/>
          <w:snapToGrid w:val="0"/>
          <w:rtl/>
          <w:lang w:eastAsia="en-US"/>
        </w:rPr>
      </w:pPr>
      <w:r w:rsidRPr="00933896">
        <w:rPr>
          <w:rFonts w:ascii="Simplified Arabic" w:hAnsi="Simplified Arabic" w:cs="Simplified Arabic"/>
          <w:snapToGrid w:val="0"/>
          <w:rtl/>
          <w:lang w:eastAsia="en-US"/>
        </w:rPr>
        <w:t xml:space="preserve">تشير بيانات مسح الشباب الفلسطيني 2015 الى أن نسبة الأسر التي يرأسها شباب (15-29) سنة 14% بواقع 13% في الضفة الغربية و17% في قطاع غزة.  كما أشارت البيانات إلى أن 72% من الأسر لديها شاب واحد على الأقل، بواقع 71% في الضفة الغربية و74% في قطاع غزة.  </w:t>
      </w:r>
    </w:p>
    <w:p w:rsidR="00933896" w:rsidRPr="00933896" w:rsidRDefault="00933896" w:rsidP="00933896">
      <w:pPr>
        <w:pStyle w:val="Heading1"/>
        <w:jc w:val="center"/>
        <w:rPr>
          <w:rFonts w:ascii="Simplified Arabic" w:hAnsi="Simplified Arabic" w:cs="Simplified Arabic"/>
          <w:sz w:val="16"/>
          <w:szCs w:val="16"/>
          <w:rtl/>
        </w:rPr>
      </w:pPr>
      <w:bookmarkStart w:id="0" w:name="OLE_LINK1"/>
      <w:bookmarkStart w:id="1" w:name="OLE_LINK2"/>
    </w:p>
    <w:p w:rsidR="00933896" w:rsidRPr="00933896" w:rsidRDefault="00933896" w:rsidP="00933896">
      <w:pPr>
        <w:pStyle w:val="Heading4"/>
        <w:jc w:val="left"/>
        <w:rPr>
          <w:rFonts w:ascii="Simplified Arabic" w:hAnsi="Simplified Arabic"/>
          <w:snapToGrid w:val="0"/>
          <w:sz w:val="25"/>
          <w:szCs w:val="25"/>
          <w:rtl/>
          <w:lang w:eastAsia="en-US"/>
        </w:rPr>
      </w:pPr>
      <w:r w:rsidRPr="00933896">
        <w:rPr>
          <w:rFonts w:ascii="Simplified Arabic" w:hAnsi="Simplified Arabic"/>
          <w:snapToGrid w:val="0"/>
          <w:sz w:val="25"/>
          <w:szCs w:val="25"/>
          <w:rtl/>
          <w:lang w:eastAsia="en-US"/>
        </w:rPr>
        <w:t>بطالة مرتفعة بين الشباب</w:t>
      </w:r>
    </w:p>
    <w:p w:rsidR="00933896" w:rsidRPr="00933896" w:rsidRDefault="00933896" w:rsidP="00933896">
      <w:pPr>
        <w:jc w:val="both"/>
        <w:rPr>
          <w:rFonts w:ascii="Simplified Arabic" w:hAnsi="Simplified Arabic" w:cs="Simplified Arabic"/>
          <w:rtl/>
        </w:rPr>
      </w:pPr>
      <w:r w:rsidRPr="00933896">
        <w:rPr>
          <w:rFonts w:ascii="Simplified Arabic" w:hAnsi="Simplified Arabic" w:cs="Simplified Arabic"/>
          <w:rtl/>
        </w:rPr>
        <w:t xml:space="preserve">بلغ معدل البطالة بين الشباب (15-29) سنة 40% من بين الشباب المشاركين في القوى العاملة، وقد سجل أعلى معدل للبطالة بين الأفراد في الفئة العمرية (20-24) سنة بواقع </w:t>
      </w:r>
      <w:r w:rsidRPr="00933896">
        <w:rPr>
          <w:rFonts w:ascii="Simplified Arabic" w:hAnsi="Simplified Arabic" w:cs="Simplified Arabic"/>
        </w:rPr>
        <w:t>44</w:t>
      </w:r>
      <w:r w:rsidRPr="00933896">
        <w:rPr>
          <w:rFonts w:ascii="Simplified Arabic" w:hAnsi="Simplified Arabic" w:cs="Simplified Arabic"/>
          <w:rtl/>
        </w:rPr>
        <w:t xml:space="preserve">% مقابل 36% بين الأفراد (25-29) سنة.  </w:t>
      </w:r>
    </w:p>
    <w:p w:rsidR="00933896" w:rsidRPr="00030937" w:rsidRDefault="00933896" w:rsidP="00933896">
      <w:pPr>
        <w:jc w:val="both"/>
        <w:rPr>
          <w:rFonts w:ascii="Simplified Arabic" w:hAnsi="Simplified Arabic" w:cs="Simplified Arabic"/>
          <w:sz w:val="16"/>
          <w:szCs w:val="16"/>
          <w:rtl/>
        </w:rPr>
      </w:pPr>
    </w:p>
    <w:p w:rsidR="00933896" w:rsidRPr="00933896" w:rsidRDefault="00933896" w:rsidP="00933896">
      <w:pPr>
        <w:pStyle w:val="Heading4"/>
        <w:jc w:val="left"/>
        <w:rPr>
          <w:rFonts w:ascii="Simplified Arabic" w:hAnsi="Simplified Arabic"/>
          <w:snapToGrid w:val="0"/>
          <w:sz w:val="25"/>
          <w:szCs w:val="25"/>
          <w:rtl/>
          <w:lang w:eastAsia="en-US"/>
        </w:rPr>
      </w:pPr>
      <w:r w:rsidRPr="00933896">
        <w:rPr>
          <w:rFonts w:ascii="Simplified Arabic" w:hAnsi="Simplified Arabic"/>
          <w:snapToGrid w:val="0"/>
          <w:sz w:val="25"/>
          <w:szCs w:val="25"/>
          <w:rtl/>
          <w:lang w:eastAsia="en-US"/>
        </w:rPr>
        <w:t>بطالة الخرجين الشباب تجاوزت 50%</w:t>
      </w:r>
    </w:p>
    <w:p w:rsidR="00933896" w:rsidRPr="00933896" w:rsidRDefault="00933896" w:rsidP="00933896">
      <w:pPr>
        <w:jc w:val="both"/>
        <w:rPr>
          <w:rFonts w:ascii="Simplified Arabic" w:hAnsi="Simplified Arabic" w:cs="Simplified Arabic"/>
          <w:rtl/>
        </w:rPr>
      </w:pPr>
      <w:r w:rsidRPr="00933896">
        <w:rPr>
          <w:rFonts w:ascii="Simplified Arabic" w:hAnsi="Simplified Arabic" w:cs="Simplified Arabic"/>
          <w:rtl/>
        </w:rPr>
        <w:t xml:space="preserve">بلغ معدل البطالة بين الخريجين الشباب 53% خلال الربع الاول 2017 (36% للذكور و69% للاناث)، ليسجل الخريجون من تخصص العلوم الطبيعية أعلى معدل بطالة إذ بلغ </w:t>
      </w:r>
      <w:r w:rsidRPr="00933896">
        <w:rPr>
          <w:rFonts w:ascii="Simplified Arabic" w:hAnsi="Simplified Arabic" w:cs="Simplified Arabic"/>
        </w:rPr>
        <w:t>70</w:t>
      </w:r>
      <w:r w:rsidRPr="00933896">
        <w:rPr>
          <w:rFonts w:ascii="Simplified Arabic" w:hAnsi="Simplified Arabic" w:cs="Simplified Arabic"/>
          <w:rtl/>
        </w:rPr>
        <w:t xml:space="preserve">% (48% للذكور و78% للاناث)، بينما سجل الخريجون من تخصص الصحة أدنى معدل بطالة إذ بلغ </w:t>
      </w:r>
      <w:r w:rsidRPr="00933896">
        <w:rPr>
          <w:rFonts w:ascii="Simplified Arabic" w:hAnsi="Simplified Arabic" w:cs="Simplified Arabic"/>
        </w:rPr>
        <w:t>32</w:t>
      </w:r>
      <w:r w:rsidRPr="00933896">
        <w:rPr>
          <w:rFonts w:ascii="Simplified Arabic" w:hAnsi="Simplified Arabic" w:cs="Simplified Arabic"/>
          <w:rtl/>
        </w:rPr>
        <w:t>% (19% للذكور و49% للاناث).</w:t>
      </w:r>
    </w:p>
    <w:p w:rsidR="00933896" w:rsidRPr="00030937" w:rsidRDefault="00933896" w:rsidP="00933896">
      <w:pPr>
        <w:jc w:val="both"/>
        <w:rPr>
          <w:rFonts w:ascii="Simplified Arabic" w:hAnsi="Simplified Arabic" w:cs="Simplified Arabic"/>
          <w:sz w:val="16"/>
          <w:szCs w:val="16"/>
          <w:rtl/>
        </w:rPr>
      </w:pPr>
    </w:p>
    <w:p w:rsidR="00933896" w:rsidRPr="00933896" w:rsidRDefault="00933896" w:rsidP="00933896">
      <w:pPr>
        <w:rPr>
          <w:rFonts w:ascii="Simplified Arabic" w:hAnsi="Simplified Arabic" w:cs="Simplified Arabic"/>
          <w:b/>
          <w:bCs/>
          <w:snapToGrid w:val="0"/>
          <w:sz w:val="25"/>
          <w:szCs w:val="25"/>
          <w:rtl/>
          <w:lang w:eastAsia="en-US"/>
        </w:rPr>
      </w:pPr>
      <w:r w:rsidRPr="00933896">
        <w:rPr>
          <w:rFonts w:ascii="Simplified Arabic" w:hAnsi="Simplified Arabic" w:cs="Simplified Arabic"/>
          <w:b/>
          <w:bCs/>
          <w:noProof/>
          <w:sz w:val="25"/>
          <w:szCs w:val="25"/>
          <w:rtl/>
        </w:rPr>
        <w:t>16% من الشباب اكملوا الانتقال من التعليم الى سوق العمل،</w:t>
      </w:r>
      <w:r w:rsidRPr="00933896">
        <w:rPr>
          <w:rFonts w:ascii="Simplified Arabic" w:hAnsi="Simplified Arabic" w:cs="Simplified Arabic"/>
          <w:b/>
          <w:bCs/>
          <w:snapToGrid w:val="0"/>
          <w:sz w:val="25"/>
          <w:szCs w:val="25"/>
          <w:rtl/>
          <w:lang w:eastAsia="en-US"/>
        </w:rPr>
        <w:t xml:space="preserve"> 2015</w:t>
      </w:r>
    </w:p>
    <w:p w:rsidR="00933896" w:rsidRPr="00933896" w:rsidRDefault="00933896" w:rsidP="00933896">
      <w:pPr>
        <w:jc w:val="both"/>
        <w:rPr>
          <w:rFonts w:ascii="Simplified Arabic" w:hAnsi="Simplified Arabic" w:cs="Simplified Arabic"/>
          <w:snapToGrid w:val="0"/>
          <w:rtl/>
          <w:lang w:eastAsia="en-US"/>
        </w:rPr>
      </w:pPr>
      <w:r w:rsidRPr="00933896">
        <w:rPr>
          <w:rFonts w:ascii="Simplified Arabic" w:hAnsi="Simplified Arabic" w:cs="Simplified Arabic"/>
          <w:snapToGrid w:val="0"/>
          <w:rtl/>
          <w:lang w:eastAsia="en-US"/>
        </w:rPr>
        <w:t>بينت نتائج المسح إلى أن أقلية من الشباب 16% أتم الانتقال إلى عمل مستقر أو مرضي في العام 2015 مقارنة مع 15% في عام 2013 (28% للذكور، 4% للاناث في العام 2015)،  وزادت نسبة مشاركة الشباب في الانتقال بين العامين 2013 والعام 2015 من 39% في العام 2013 الى 42% في العام 2015 (25% للذكور، 59% للاناث).</w:t>
      </w:r>
    </w:p>
    <w:p w:rsidR="00933896" w:rsidRPr="00933896" w:rsidRDefault="00933896" w:rsidP="00933896">
      <w:pPr>
        <w:jc w:val="both"/>
        <w:rPr>
          <w:rFonts w:ascii="Simplified Arabic" w:hAnsi="Simplified Arabic" w:cs="Simplified Arabic"/>
          <w:snapToGrid w:val="0"/>
          <w:sz w:val="16"/>
          <w:szCs w:val="16"/>
          <w:rtl/>
          <w:lang w:eastAsia="en-US"/>
        </w:rPr>
      </w:pPr>
    </w:p>
    <w:p w:rsidR="00933896" w:rsidRPr="00933896" w:rsidRDefault="00933896" w:rsidP="00933896">
      <w:pPr>
        <w:autoSpaceDE w:val="0"/>
        <w:autoSpaceDN w:val="0"/>
        <w:adjustRightInd w:val="0"/>
        <w:rPr>
          <w:rFonts w:ascii="Simplified Arabic" w:hAnsi="Simplified Arabic" w:cs="Simplified Arabic"/>
          <w:b/>
          <w:bCs/>
          <w:noProof/>
          <w:sz w:val="25"/>
          <w:szCs w:val="25"/>
          <w:rtl/>
        </w:rPr>
      </w:pPr>
      <w:r w:rsidRPr="00933896">
        <w:rPr>
          <w:rFonts w:ascii="Simplified Arabic" w:hAnsi="Simplified Arabic" w:cs="Simplified Arabic"/>
          <w:b/>
          <w:bCs/>
          <w:noProof/>
          <w:sz w:val="25"/>
          <w:szCs w:val="25"/>
        </w:rPr>
        <w:t>27</w:t>
      </w:r>
      <w:r w:rsidRPr="00933896">
        <w:rPr>
          <w:rFonts w:ascii="Simplified Arabic" w:hAnsi="Simplified Arabic" w:cs="Simplified Arabic"/>
          <w:b/>
          <w:bCs/>
          <w:noProof/>
          <w:sz w:val="25"/>
          <w:szCs w:val="25"/>
          <w:rtl/>
        </w:rPr>
        <w:t>% من الشباب يعملون في قطاع التجارة والمطاعم والفنادق</w:t>
      </w:r>
    </w:p>
    <w:p w:rsidR="00933896" w:rsidRPr="00933896" w:rsidRDefault="00933896" w:rsidP="00933896">
      <w:pPr>
        <w:pStyle w:val="BodyText"/>
        <w:jc w:val="both"/>
        <w:rPr>
          <w:rFonts w:ascii="Simplified Arabic" w:hAnsi="Simplified Arabic"/>
          <w:sz w:val="24"/>
          <w:szCs w:val="24"/>
          <w:rtl/>
        </w:rPr>
      </w:pPr>
      <w:r w:rsidRPr="00933896">
        <w:rPr>
          <w:rFonts w:ascii="Simplified Arabic" w:hAnsi="Simplified Arabic"/>
          <w:sz w:val="24"/>
          <w:szCs w:val="24"/>
          <w:rtl/>
        </w:rPr>
        <w:t xml:space="preserve">بلغت نسبة الشباب العاملين في قطاع الخدمات 24% في الربع الاول 2017 (17% للذكور و76% اناث) مقابل 27% يعملون في قطاع التجارة والمطاعم والفنادق (30% للذكور و7% للاناث)، و18% في قطاع البناء والتشييد (21% للذكور و1% للاناث)، 17% من الشباب العاملين يعملون في الصناعة (18% من الذكور و8% من بين الاناث العاملات)، في حين بلغت نسبة العاملين في قطاع الزراعة 8% (8% للذكور و7% للاناث)   </w:t>
      </w:r>
    </w:p>
    <w:p w:rsidR="00933896" w:rsidRPr="00933896" w:rsidRDefault="00933896" w:rsidP="00933896">
      <w:pPr>
        <w:jc w:val="both"/>
        <w:rPr>
          <w:rFonts w:ascii="Simplified Arabic" w:hAnsi="Simplified Arabic" w:cs="Simplified Arabic"/>
          <w:b/>
          <w:bCs/>
          <w:noProof/>
          <w:sz w:val="16"/>
          <w:szCs w:val="16"/>
          <w:rtl/>
        </w:rPr>
      </w:pPr>
      <w:r w:rsidRPr="00933896">
        <w:rPr>
          <w:rFonts w:ascii="Simplified Arabic" w:hAnsi="Simplified Arabic" w:cs="Simplified Arabic"/>
          <w:sz w:val="16"/>
          <w:szCs w:val="16"/>
          <w:rtl/>
        </w:rPr>
        <w:t xml:space="preserve"> </w:t>
      </w:r>
    </w:p>
    <w:p w:rsidR="00933896" w:rsidRPr="00933896" w:rsidRDefault="00933896" w:rsidP="00933896">
      <w:pPr>
        <w:pStyle w:val="BodyText"/>
        <w:jc w:val="left"/>
        <w:rPr>
          <w:rFonts w:ascii="Simplified Arabic" w:hAnsi="Simplified Arabic"/>
          <w:b/>
          <w:bCs/>
          <w:noProof/>
          <w:snapToGrid/>
          <w:sz w:val="25"/>
          <w:szCs w:val="25"/>
          <w:rtl/>
          <w:lang w:eastAsia="ar-SA"/>
        </w:rPr>
      </w:pPr>
      <w:r w:rsidRPr="00933896">
        <w:rPr>
          <w:rFonts w:ascii="Simplified Arabic" w:hAnsi="Simplified Arabic"/>
          <w:b/>
          <w:bCs/>
          <w:noProof/>
          <w:snapToGrid/>
          <w:sz w:val="25"/>
          <w:szCs w:val="25"/>
          <w:rtl/>
          <w:lang w:eastAsia="ar-SA"/>
        </w:rPr>
        <w:t xml:space="preserve">أكثر من نصف الشباب (15-29) سنة في قطاع غزة سيشاركون بأي استحقاق انتخابي </w:t>
      </w:r>
    </w:p>
    <w:p w:rsidR="00933896" w:rsidRPr="00933896" w:rsidRDefault="00933896" w:rsidP="00933896">
      <w:pPr>
        <w:pStyle w:val="BodyText"/>
        <w:jc w:val="both"/>
        <w:rPr>
          <w:rFonts w:ascii="Simplified Arabic" w:hAnsi="Simplified Arabic"/>
          <w:noProof/>
          <w:snapToGrid/>
          <w:sz w:val="24"/>
          <w:szCs w:val="24"/>
          <w:rtl/>
          <w:lang w:eastAsia="ar-SA"/>
        </w:rPr>
      </w:pPr>
      <w:r w:rsidRPr="00933896">
        <w:rPr>
          <w:rFonts w:ascii="Simplified Arabic" w:hAnsi="Simplified Arabic"/>
          <w:noProof/>
          <w:snapToGrid/>
          <w:sz w:val="24"/>
          <w:szCs w:val="24"/>
          <w:rtl/>
          <w:lang w:eastAsia="ar-SA"/>
        </w:rPr>
        <w:t>وحول امكانية المشاركة باي استحقاق انتخابي أفاد 40% من الشباب (15-29) سنة انهم سيشاركون بذلك (29% في الضفة الغربية و57% في قطاع غزة)،  في حين أفاد 29% انهم ربما يشاركوا و13% ربما لا يشاركوا و18% قطعاً انهم لن يشاركوا (16% في الضفة الغربية و21% في قطاع غزة) بناءً على نتائج مسح الشباب الفلسطيني 2015.</w:t>
      </w:r>
    </w:p>
    <w:p w:rsidR="00933896" w:rsidRPr="00933896" w:rsidRDefault="00933896" w:rsidP="00933896">
      <w:pPr>
        <w:pStyle w:val="BodyText"/>
        <w:jc w:val="both"/>
        <w:rPr>
          <w:rFonts w:ascii="Simplified Arabic" w:hAnsi="Simplified Arabic"/>
          <w:noProof/>
          <w:snapToGrid/>
          <w:sz w:val="16"/>
          <w:szCs w:val="16"/>
          <w:rtl/>
          <w:lang w:eastAsia="ar-SA"/>
        </w:rPr>
      </w:pPr>
    </w:p>
    <w:p w:rsidR="00933896" w:rsidRPr="00933896" w:rsidRDefault="00933896" w:rsidP="00933896">
      <w:pPr>
        <w:pStyle w:val="BodyText"/>
        <w:jc w:val="left"/>
        <w:rPr>
          <w:rFonts w:ascii="Simplified Arabic" w:hAnsi="Simplified Arabic"/>
          <w:b/>
          <w:bCs/>
          <w:noProof/>
          <w:snapToGrid/>
          <w:sz w:val="25"/>
          <w:szCs w:val="25"/>
          <w:rtl/>
          <w:lang w:eastAsia="ar-SA"/>
        </w:rPr>
      </w:pPr>
      <w:r w:rsidRPr="00933896">
        <w:rPr>
          <w:rFonts w:ascii="Simplified Arabic" w:hAnsi="Simplified Arabic"/>
          <w:b/>
          <w:bCs/>
          <w:noProof/>
          <w:snapToGrid/>
          <w:sz w:val="25"/>
          <w:szCs w:val="25"/>
          <w:rtl/>
          <w:lang w:eastAsia="ar-SA"/>
        </w:rPr>
        <w:t>8 شباب من بين كل 10 يرون أن انهاء الاحتلال وبناء الدولة هي القضية ذات الاولوية الأولى في المجتمع الفلسطيني</w:t>
      </w:r>
    </w:p>
    <w:p w:rsidR="00933896" w:rsidRDefault="00933896" w:rsidP="00933896">
      <w:pPr>
        <w:pStyle w:val="BodyText"/>
        <w:jc w:val="both"/>
        <w:rPr>
          <w:rFonts w:ascii="Simplified Arabic" w:hAnsi="Simplified Arabic"/>
          <w:noProof/>
          <w:sz w:val="24"/>
          <w:szCs w:val="24"/>
          <w:rtl/>
        </w:rPr>
      </w:pPr>
      <w:r w:rsidRPr="00933896">
        <w:rPr>
          <w:rFonts w:ascii="Simplified Arabic" w:hAnsi="Simplified Arabic"/>
          <w:noProof/>
          <w:sz w:val="24"/>
          <w:szCs w:val="24"/>
          <w:rtl/>
        </w:rPr>
        <w:t xml:space="preserve">وحول القضايا ذات الاولوية لدى الشباب الفلسطيني اشارت نتلئج مسح الشباب ان 79% من الشباب </w:t>
      </w:r>
      <w:r w:rsidRPr="00933896">
        <w:rPr>
          <w:rFonts w:ascii="Simplified Arabic" w:hAnsi="Simplified Arabic"/>
          <w:sz w:val="24"/>
          <w:szCs w:val="24"/>
          <w:rtl/>
        </w:rPr>
        <w:t xml:space="preserve">(15-29) سنة </w:t>
      </w:r>
      <w:r w:rsidRPr="00933896">
        <w:rPr>
          <w:rFonts w:ascii="Simplified Arabic" w:hAnsi="Simplified Arabic"/>
          <w:noProof/>
          <w:sz w:val="24"/>
          <w:szCs w:val="24"/>
          <w:rtl/>
        </w:rPr>
        <w:t xml:space="preserve">يرون ان انهاء الاحتلال وبناء الدولة هي القضية الرئيسية ذات الاولوية الأولى لدى المجتمع الفلسطيني وجاءت قضية رفع مستوى المعيشة بالمرتبة الثانية بنسبة 7% ومن الملاحظ ان هناك اجماع على تلك الاولويات وعلى مستوى الشباب في الضفة الغربية وقطاع غزة لدى الشباب الذكور والاناث على حد سواء. </w:t>
      </w:r>
    </w:p>
    <w:p w:rsidR="00030937" w:rsidRPr="00933896" w:rsidRDefault="00030937" w:rsidP="00933896">
      <w:pPr>
        <w:pStyle w:val="BodyText"/>
        <w:jc w:val="both"/>
        <w:rPr>
          <w:rFonts w:ascii="Simplified Arabic" w:hAnsi="Simplified Arabic"/>
          <w:noProof/>
          <w:sz w:val="24"/>
          <w:szCs w:val="24"/>
          <w:rtl/>
        </w:rPr>
      </w:pPr>
    </w:p>
    <w:p w:rsidR="00933896" w:rsidRPr="00933896" w:rsidRDefault="00933896" w:rsidP="00933896">
      <w:pPr>
        <w:pStyle w:val="BodyText"/>
        <w:jc w:val="both"/>
        <w:rPr>
          <w:rFonts w:ascii="Simplified Arabic" w:hAnsi="Simplified Arabic"/>
          <w:noProof/>
          <w:snapToGrid/>
          <w:sz w:val="16"/>
          <w:szCs w:val="16"/>
          <w:rtl/>
          <w:lang w:eastAsia="ar-SA"/>
        </w:rPr>
      </w:pPr>
    </w:p>
    <w:p w:rsidR="00933896" w:rsidRPr="00933896" w:rsidRDefault="00933896" w:rsidP="00933896">
      <w:pPr>
        <w:pStyle w:val="Header"/>
        <w:rPr>
          <w:rFonts w:ascii="Simplified Arabic" w:hAnsi="Simplified Arabic" w:cs="Simplified Arabic"/>
          <w:b/>
          <w:bCs/>
          <w:sz w:val="25"/>
          <w:szCs w:val="25"/>
          <w:rtl/>
        </w:rPr>
      </w:pPr>
      <w:r w:rsidRPr="00933896">
        <w:rPr>
          <w:rFonts w:ascii="Simplified Arabic" w:hAnsi="Simplified Arabic" w:cs="Simplified Arabic"/>
          <w:b/>
          <w:bCs/>
          <w:sz w:val="25"/>
          <w:szCs w:val="25"/>
          <w:rtl/>
        </w:rPr>
        <w:lastRenderedPageBreak/>
        <w:t>38% من الشباب (15-29) سنة ملتحقون في التعليم</w:t>
      </w:r>
    </w:p>
    <w:p w:rsidR="00933896" w:rsidRPr="00933896" w:rsidRDefault="00933896" w:rsidP="00933896">
      <w:pPr>
        <w:jc w:val="both"/>
        <w:rPr>
          <w:rFonts w:ascii="Simplified Arabic" w:hAnsi="Simplified Arabic" w:cs="Simplified Arabic"/>
          <w:rtl/>
        </w:rPr>
      </w:pPr>
      <w:r w:rsidRPr="00933896">
        <w:rPr>
          <w:rFonts w:ascii="Simplified Arabic" w:hAnsi="Simplified Arabic" w:cs="Simplified Arabic"/>
          <w:rtl/>
        </w:rPr>
        <w:t>تظهر الإحصاءات المتو</w:t>
      </w:r>
      <w:r>
        <w:rPr>
          <w:rFonts w:ascii="Simplified Arabic" w:hAnsi="Simplified Arabic" w:cs="Simplified Arabic"/>
          <w:rtl/>
        </w:rPr>
        <w:t>فرة لعام 2016 أن 38% من الشباب</w:t>
      </w:r>
      <w:r w:rsidRPr="00933896">
        <w:rPr>
          <w:rFonts w:ascii="Simplified Arabic" w:hAnsi="Simplified Arabic" w:cs="Simplified Arabic"/>
          <w:rtl/>
        </w:rPr>
        <w:t xml:space="preserve"> (15-29) سنة ملتحقون بالتعليم بواقع 82% من الشباب ضمن الفئة العمرية (15-17) سنة، و45% للفئة العمرية (18-22) سنة و8% في الفئة العمرية (23-29) سنة. كما تشير الإحصاءات إلى أن معدلات التسرب الاجمالية (الذين تركوا التعليم قبل انهاء المرحلة التعليمية التي التحقوا بها) بين الشباب (15-29) سنة في فلسطين قد بلغت 34% (42% للذكور و27% للإناث). هذا وبلغت نسبة التسرب من المرحلة الثانوية في العام الدراسي 2014/2015 بين الشباب (15-29) سنة في فلسطين 2.0% (2.1% للذكور و1.8% للإناث).</w:t>
      </w:r>
    </w:p>
    <w:p w:rsidR="00933896" w:rsidRPr="00933896" w:rsidRDefault="00933896" w:rsidP="00933896">
      <w:pPr>
        <w:jc w:val="both"/>
        <w:rPr>
          <w:rFonts w:ascii="Simplified Arabic" w:hAnsi="Simplified Arabic" w:cs="Simplified Arabic"/>
          <w:sz w:val="16"/>
          <w:szCs w:val="16"/>
          <w:rtl/>
        </w:rPr>
      </w:pPr>
    </w:p>
    <w:bookmarkEnd w:id="0"/>
    <w:bookmarkEnd w:id="1"/>
    <w:p w:rsidR="00933896" w:rsidRPr="00933896" w:rsidRDefault="00933896" w:rsidP="00030937">
      <w:pPr>
        <w:pStyle w:val="Heading1"/>
        <w:rPr>
          <w:rFonts w:ascii="Simplified Arabic" w:hAnsi="Simplified Arabic" w:cs="Simplified Arabic"/>
          <w:sz w:val="25"/>
          <w:szCs w:val="25"/>
        </w:rPr>
      </w:pPr>
      <w:r w:rsidRPr="00933896">
        <w:rPr>
          <w:rFonts w:ascii="Simplified Arabic" w:hAnsi="Simplified Arabic" w:cs="Simplified Arabic"/>
          <w:sz w:val="25"/>
          <w:szCs w:val="25"/>
          <w:rtl/>
        </w:rPr>
        <w:t>4 من بين كل 100 شاب لديهم صعوبة/ إعاقة</w:t>
      </w:r>
    </w:p>
    <w:p w:rsidR="00933896" w:rsidRPr="00933896" w:rsidRDefault="00933896" w:rsidP="00933896">
      <w:pPr>
        <w:jc w:val="both"/>
        <w:rPr>
          <w:rFonts w:ascii="Simplified Arabic" w:hAnsi="Simplified Arabic" w:cs="Simplified Arabic"/>
          <w:noProof/>
          <w:rtl/>
        </w:rPr>
      </w:pPr>
      <w:r w:rsidRPr="00933896">
        <w:rPr>
          <w:rFonts w:ascii="Simplified Arabic" w:hAnsi="Simplified Arabic" w:cs="Simplified Arabic"/>
          <w:noProof/>
          <w:rtl/>
        </w:rPr>
        <w:t>تشير بيانات مسح الشباب الفلسطيني 2015 إلى ان نسبة الشباب (15-29) سنة الذين لديهم صعوبة / إعاقة قد بلغت 3.6%، بواقع 3.7% في الض</w:t>
      </w:r>
      <w:r w:rsidR="00030937">
        <w:rPr>
          <w:rFonts w:ascii="Simplified Arabic" w:hAnsi="Simplified Arabic" w:cs="Simplified Arabic"/>
          <w:noProof/>
          <w:rtl/>
        </w:rPr>
        <w:t xml:space="preserve">فة الغربية و3.6% في قطاع غزة. </w:t>
      </w:r>
      <w:r w:rsidRPr="00933896">
        <w:rPr>
          <w:rFonts w:ascii="Simplified Arabic" w:hAnsi="Simplified Arabic" w:cs="Simplified Arabic"/>
          <w:noProof/>
          <w:rtl/>
        </w:rPr>
        <w:t>كما بلغت نسبة الصعوبة / الاعاقة لدى الذكور الشباب 4.9% مقابل 2.3% لدى الاناث الشابات</w:t>
      </w:r>
    </w:p>
    <w:p w:rsidR="00933896" w:rsidRPr="00933896" w:rsidRDefault="00933896" w:rsidP="00933896">
      <w:pPr>
        <w:jc w:val="both"/>
        <w:rPr>
          <w:rFonts w:ascii="Simplified Arabic" w:hAnsi="Simplified Arabic" w:cs="Simplified Arabic"/>
          <w:sz w:val="16"/>
          <w:szCs w:val="16"/>
          <w:highlight w:val="yellow"/>
          <w:rtl/>
        </w:rPr>
      </w:pPr>
    </w:p>
    <w:p w:rsidR="00933896" w:rsidRPr="00933896" w:rsidRDefault="00933896" w:rsidP="00933896">
      <w:pPr>
        <w:pStyle w:val="Heading4"/>
        <w:jc w:val="center"/>
        <w:rPr>
          <w:rFonts w:ascii="Simplified Arabic" w:hAnsi="Simplified Arabic"/>
          <w:sz w:val="25"/>
          <w:szCs w:val="25"/>
          <w:rtl/>
        </w:rPr>
      </w:pPr>
      <w:r w:rsidRPr="00933896">
        <w:rPr>
          <w:rFonts w:ascii="Simplified Arabic" w:hAnsi="Simplified Arabic"/>
          <w:sz w:val="25"/>
          <w:szCs w:val="25"/>
          <w:rtl/>
        </w:rPr>
        <w:t>نسبة الشباب (15-29) سنة حسب وجود صعوبة/ إعاقة والجنس والمنطقة، 2015</w:t>
      </w:r>
    </w:p>
    <w:tbl>
      <w:tblPr>
        <w:bidiVisual/>
        <w:tblW w:w="4649" w:type="dxa"/>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000"/>
      </w:tblPr>
      <w:tblGrid>
        <w:gridCol w:w="1167"/>
        <w:gridCol w:w="1458"/>
        <w:gridCol w:w="1131"/>
        <w:gridCol w:w="893"/>
      </w:tblGrid>
      <w:tr w:rsidR="00933896" w:rsidRPr="00933896" w:rsidTr="00030937">
        <w:trPr>
          <w:jc w:val="center"/>
        </w:trPr>
        <w:tc>
          <w:tcPr>
            <w:tcW w:w="1134" w:type="dxa"/>
            <w:vAlign w:val="center"/>
          </w:tcPr>
          <w:p w:rsidR="00933896" w:rsidRPr="00933896" w:rsidRDefault="00933896" w:rsidP="00103E34">
            <w:pPr>
              <w:jc w:val="center"/>
              <w:rPr>
                <w:rFonts w:ascii="Simplified Arabic" w:hAnsi="Simplified Arabic" w:cs="Simplified Arabic"/>
                <w:b/>
                <w:bCs/>
                <w:rtl/>
              </w:rPr>
            </w:pPr>
            <w:r w:rsidRPr="00933896">
              <w:rPr>
                <w:rFonts w:ascii="Simplified Arabic" w:hAnsi="Simplified Arabic" w:cs="Simplified Arabic"/>
                <w:b/>
                <w:bCs/>
                <w:rtl/>
              </w:rPr>
              <w:t>الجنس</w:t>
            </w:r>
          </w:p>
        </w:tc>
        <w:tc>
          <w:tcPr>
            <w:tcW w:w="1418" w:type="dxa"/>
            <w:vAlign w:val="center"/>
          </w:tcPr>
          <w:p w:rsidR="00933896" w:rsidRPr="00933896" w:rsidRDefault="00933896" w:rsidP="00103E34">
            <w:pPr>
              <w:pStyle w:val="Heading4"/>
              <w:jc w:val="center"/>
              <w:rPr>
                <w:rFonts w:ascii="Simplified Arabic" w:hAnsi="Simplified Arabic"/>
                <w:rtl/>
              </w:rPr>
            </w:pPr>
            <w:r w:rsidRPr="00933896">
              <w:rPr>
                <w:rFonts w:ascii="Simplified Arabic" w:hAnsi="Simplified Arabic"/>
                <w:rtl/>
              </w:rPr>
              <w:t>فلسطين</w:t>
            </w:r>
          </w:p>
        </w:tc>
        <w:tc>
          <w:tcPr>
            <w:tcW w:w="1100" w:type="dxa"/>
            <w:vAlign w:val="center"/>
          </w:tcPr>
          <w:p w:rsidR="00933896" w:rsidRPr="00933896" w:rsidRDefault="00933896" w:rsidP="00103E34">
            <w:pPr>
              <w:jc w:val="center"/>
              <w:rPr>
                <w:rFonts w:ascii="Simplified Arabic" w:hAnsi="Simplified Arabic" w:cs="Simplified Arabic"/>
                <w:b/>
                <w:bCs/>
                <w:rtl/>
              </w:rPr>
            </w:pPr>
            <w:r w:rsidRPr="00933896">
              <w:rPr>
                <w:rFonts w:ascii="Simplified Arabic" w:hAnsi="Simplified Arabic" w:cs="Simplified Arabic"/>
                <w:b/>
                <w:bCs/>
                <w:rtl/>
              </w:rPr>
              <w:t>الضفة الغربية</w:t>
            </w:r>
          </w:p>
        </w:tc>
        <w:tc>
          <w:tcPr>
            <w:tcW w:w="868" w:type="dxa"/>
            <w:vAlign w:val="center"/>
          </w:tcPr>
          <w:p w:rsidR="00933896" w:rsidRPr="00933896" w:rsidRDefault="00933896" w:rsidP="00103E34">
            <w:pPr>
              <w:pStyle w:val="Heading4"/>
              <w:jc w:val="center"/>
              <w:rPr>
                <w:rFonts w:ascii="Simplified Arabic" w:hAnsi="Simplified Arabic"/>
                <w:rtl/>
              </w:rPr>
            </w:pPr>
            <w:r w:rsidRPr="00933896">
              <w:rPr>
                <w:rFonts w:ascii="Simplified Arabic" w:hAnsi="Simplified Arabic"/>
                <w:rtl/>
              </w:rPr>
              <w:t>قطاع غزة</w:t>
            </w:r>
          </w:p>
        </w:tc>
      </w:tr>
      <w:tr w:rsidR="00933896" w:rsidRPr="00933896" w:rsidTr="00030937">
        <w:trPr>
          <w:jc w:val="center"/>
        </w:trPr>
        <w:tc>
          <w:tcPr>
            <w:tcW w:w="1134" w:type="dxa"/>
            <w:vAlign w:val="center"/>
          </w:tcPr>
          <w:p w:rsidR="00933896" w:rsidRPr="00933896" w:rsidRDefault="00933896" w:rsidP="00103E34">
            <w:pPr>
              <w:rPr>
                <w:rFonts w:ascii="Simplified Arabic" w:hAnsi="Simplified Arabic" w:cs="Simplified Arabic"/>
                <w:b/>
                <w:bCs/>
                <w:rtl/>
              </w:rPr>
            </w:pPr>
            <w:r w:rsidRPr="00933896">
              <w:rPr>
                <w:rFonts w:ascii="Simplified Arabic" w:hAnsi="Simplified Arabic" w:cs="Simplified Arabic"/>
                <w:b/>
                <w:bCs/>
                <w:rtl/>
              </w:rPr>
              <w:t>كلا الجنسين</w:t>
            </w:r>
          </w:p>
        </w:tc>
        <w:tc>
          <w:tcPr>
            <w:tcW w:w="1418" w:type="dxa"/>
            <w:vAlign w:val="center"/>
          </w:tcPr>
          <w:p w:rsidR="00933896" w:rsidRPr="00933896" w:rsidRDefault="00933896" w:rsidP="00103E34">
            <w:pPr>
              <w:pStyle w:val="Heading4"/>
              <w:jc w:val="left"/>
              <w:rPr>
                <w:rFonts w:ascii="Simplified Arabic" w:hAnsi="Simplified Arabic"/>
                <w:b w:val="0"/>
                <w:bCs w:val="0"/>
                <w:rtl/>
              </w:rPr>
            </w:pPr>
            <w:r w:rsidRPr="00933896">
              <w:rPr>
                <w:rFonts w:ascii="Simplified Arabic" w:hAnsi="Simplified Arabic"/>
                <w:b w:val="0"/>
                <w:bCs w:val="0"/>
                <w:rtl/>
              </w:rPr>
              <w:t>3.6</w:t>
            </w:r>
          </w:p>
        </w:tc>
        <w:tc>
          <w:tcPr>
            <w:tcW w:w="1100" w:type="dxa"/>
            <w:vAlign w:val="center"/>
          </w:tcPr>
          <w:p w:rsidR="00933896" w:rsidRPr="00933896" w:rsidRDefault="00933896" w:rsidP="00103E34">
            <w:pPr>
              <w:rPr>
                <w:rFonts w:ascii="Simplified Arabic" w:hAnsi="Simplified Arabic" w:cs="Simplified Arabic"/>
                <w:rtl/>
              </w:rPr>
            </w:pPr>
            <w:r w:rsidRPr="00933896">
              <w:rPr>
                <w:rFonts w:ascii="Simplified Arabic" w:hAnsi="Simplified Arabic" w:cs="Simplified Arabic"/>
                <w:rtl/>
              </w:rPr>
              <w:t>3.7</w:t>
            </w:r>
          </w:p>
        </w:tc>
        <w:tc>
          <w:tcPr>
            <w:tcW w:w="868" w:type="dxa"/>
            <w:vAlign w:val="center"/>
          </w:tcPr>
          <w:p w:rsidR="00933896" w:rsidRPr="00933896" w:rsidRDefault="00933896" w:rsidP="00103E34">
            <w:pPr>
              <w:pStyle w:val="Heading4"/>
              <w:jc w:val="left"/>
              <w:rPr>
                <w:rFonts w:ascii="Simplified Arabic" w:hAnsi="Simplified Arabic"/>
                <w:b w:val="0"/>
                <w:bCs w:val="0"/>
                <w:rtl/>
              </w:rPr>
            </w:pPr>
            <w:r w:rsidRPr="00933896">
              <w:rPr>
                <w:rFonts w:ascii="Simplified Arabic" w:hAnsi="Simplified Arabic"/>
                <w:b w:val="0"/>
                <w:bCs w:val="0"/>
                <w:rtl/>
              </w:rPr>
              <w:t>3.6</w:t>
            </w:r>
          </w:p>
        </w:tc>
      </w:tr>
      <w:tr w:rsidR="00933896" w:rsidRPr="00933896" w:rsidTr="00030937">
        <w:trPr>
          <w:jc w:val="center"/>
        </w:trPr>
        <w:tc>
          <w:tcPr>
            <w:tcW w:w="1134" w:type="dxa"/>
          </w:tcPr>
          <w:p w:rsidR="00933896" w:rsidRPr="00933896" w:rsidRDefault="00933896" w:rsidP="00103E34">
            <w:pPr>
              <w:jc w:val="both"/>
              <w:rPr>
                <w:rFonts w:ascii="Simplified Arabic" w:hAnsi="Simplified Arabic" w:cs="Simplified Arabic"/>
                <w:b/>
                <w:bCs/>
                <w:rtl/>
              </w:rPr>
            </w:pPr>
            <w:r w:rsidRPr="00933896">
              <w:rPr>
                <w:rFonts w:ascii="Simplified Arabic" w:hAnsi="Simplified Arabic" w:cs="Simplified Arabic"/>
                <w:b/>
                <w:bCs/>
                <w:rtl/>
              </w:rPr>
              <w:t>ذكور</w:t>
            </w:r>
          </w:p>
        </w:tc>
        <w:tc>
          <w:tcPr>
            <w:tcW w:w="1418" w:type="dxa"/>
            <w:vAlign w:val="center"/>
          </w:tcPr>
          <w:p w:rsidR="00933896" w:rsidRPr="00933896" w:rsidRDefault="00933896" w:rsidP="00103E34">
            <w:pPr>
              <w:rPr>
                <w:rFonts w:ascii="Simplified Arabic" w:hAnsi="Simplified Arabic" w:cs="Simplified Arabic"/>
                <w:rtl/>
              </w:rPr>
            </w:pPr>
            <w:r w:rsidRPr="00933896">
              <w:rPr>
                <w:rFonts w:ascii="Simplified Arabic" w:hAnsi="Simplified Arabic" w:cs="Simplified Arabic"/>
                <w:rtl/>
              </w:rPr>
              <w:t>4.9</w:t>
            </w:r>
          </w:p>
        </w:tc>
        <w:tc>
          <w:tcPr>
            <w:tcW w:w="1100" w:type="dxa"/>
            <w:vAlign w:val="center"/>
          </w:tcPr>
          <w:p w:rsidR="00933896" w:rsidRPr="00933896" w:rsidRDefault="00933896" w:rsidP="00103E34">
            <w:pPr>
              <w:rPr>
                <w:rFonts w:ascii="Simplified Arabic" w:hAnsi="Simplified Arabic" w:cs="Simplified Arabic"/>
                <w:rtl/>
              </w:rPr>
            </w:pPr>
            <w:r w:rsidRPr="00933896">
              <w:rPr>
                <w:rFonts w:ascii="Simplified Arabic" w:hAnsi="Simplified Arabic" w:cs="Simplified Arabic"/>
                <w:rtl/>
              </w:rPr>
              <w:t>4.6</w:t>
            </w:r>
          </w:p>
        </w:tc>
        <w:tc>
          <w:tcPr>
            <w:tcW w:w="868" w:type="dxa"/>
            <w:vAlign w:val="center"/>
          </w:tcPr>
          <w:p w:rsidR="00933896" w:rsidRPr="00933896" w:rsidRDefault="00933896" w:rsidP="00103E34">
            <w:pPr>
              <w:rPr>
                <w:rFonts w:ascii="Simplified Arabic" w:hAnsi="Simplified Arabic" w:cs="Simplified Arabic"/>
                <w:rtl/>
              </w:rPr>
            </w:pPr>
            <w:r w:rsidRPr="00933896">
              <w:rPr>
                <w:rFonts w:ascii="Simplified Arabic" w:hAnsi="Simplified Arabic" w:cs="Simplified Arabic"/>
                <w:rtl/>
              </w:rPr>
              <w:t>5.3</w:t>
            </w:r>
          </w:p>
        </w:tc>
      </w:tr>
      <w:tr w:rsidR="00933896" w:rsidRPr="00933896" w:rsidTr="00030937">
        <w:trPr>
          <w:jc w:val="center"/>
        </w:trPr>
        <w:tc>
          <w:tcPr>
            <w:tcW w:w="1134" w:type="dxa"/>
          </w:tcPr>
          <w:p w:rsidR="00933896" w:rsidRPr="00933896" w:rsidRDefault="00933896" w:rsidP="00103E34">
            <w:pPr>
              <w:jc w:val="both"/>
              <w:rPr>
                <w:rFonts w:ascii="Simplified Arabic" w:hAnsi="Simplified Arabic" w:cs="Simplified Arabic"/>
                <w:b/>
                <w:bCs/>
                <w:rtl/>
              </w:rPr>
            </w:pPr>
            <w:r w:rsidRPr="00933896">
              <w:rPr>
                <w:rFonts w:ascii="Simplified Arabic" w:hAnsi="Simplified Arabic" w:cs="Simplified Arabic"/>
                <w:b/>
                <w:bCs/>
                <w:rtl/>
              </w:rPr>
              <w:t>إناث</w:t>
            </w:r>
          </w:p>
        </w:tc>
        <w:tc>
          <w:tcPr>
            <w:tcW w:w="1418" w:type="dxa"/>
            <w:vAlign w:val="center"/>
          </w:tcPr>
          <w:p w:rsidR="00933896" w:rsidRPr="00933896" w:rsidRDefault="00933896" w:rsidP="00103E34">
            <w:pPr>
              <w:rPr>
                <w:rFonts w:ascii="Simplified Arabic" w:hAnsi="Simplified Arabic" w:cs="Simplified Arabic"/>
                <w:rtl/>
              </w:rPr>
            </w:pPr>
            <w:r w:rsidRPr="00933896">
              <w:rPr>
                <w:rFonts w:ascii="Simplified Arabic" w:hAnsi="Simplified Arabic" w:cs="Simplified Arabic"/>
                <w:rtl/>
              </w:rPr>
              <w:t>2.3</w:t>
            </w:r>
          </w:p>
        </w:tc>
        <w:tc>
          <w:tcPr>
            <w:tcW w:w="1100" w:type="dxa"/>
            <w:vAlign w:val="center"/>
          </w:tcPr>
          <w:p w:rsidR="00933896" w:rsidRPr="00933896" w:rsidRDefault="00933896" w:rsidP="00103E34">
            <w:pPr>
              <w:rPr>
                <w:rFonts w:ascii="Simplified Arabic" w:hAnsi="Simplified Arabic" w:cs="Simplified Arabic"/>
                <w:rtl/>
              </w:rPr>
            </w:pPr>
            <w:r w:rsidRPr="00933896">
              <w:rPr>
                <w:rFonts w:ascii="Simplified Arabic" w:hAnsi="Simplified Arabic" w:cs="Simplified Arabic"/>
                <w:rtl/>
              </w:rPr>
              <w:t>2.7</w:t>
            </w:r>
          </w:p>
        </w:tc>
        <w:tc>
          <w:tcPr>
            <w:tcW w:w="868" w:type="dxa"/>
            <w:vAlign w:val="center"/>
          </w:tcPr>
          <w:p w:rsidR="00933896" w:rsidRPr="00933896" w:rsidRDefault="00933896" w:rsidP="00103E34">
            <w:pPr>
              <w:rPr>
                <w:rFonts w:ascii="Simplified Arabic" w:hAnsi="Simplified Arabic" w:cs="Simplified Arabic"/>
                <w:rtl/>
              </w:rPr>
            </w:pPr>
            <w:r w:rsidRPr="00933896">
              <w:rPr>
                <w:rFonts w:ascii="Simplified Arabic" w:hAnsi="Simplified Arabic" w:cs="Simplified Arabic"/>
                <w:rtl/>
              </w:rPr>
              <w:t>1.5</w:t>
            </w:r>
          </w:p>
        </w:tc>
      </w:tr>
    </w:tbl>
    <w:p w:rsidR="00933896" w:rsidRPr="00933896" w:rsidRDefault="00933896" w:rsidP="00933896">
      <w:pPr>
        <w:pStyle w:val="Heading1"/>
        <w:jc w:val="center"/>
        <w:rPr>
          <w:rFonts w:ascii="Simplified Arabic" w:hAnsi="Simplified Arabic" w:cs="Simplified Arabic"/>
          <w:sz w:val="16"/>
          <w:szCs w:val="16"/>
          <w:rtl/>
        </w:rPr>
      </w:pPr>
    </w:p>
    <w:p w:rsidR="00933896" w:rsidRPr="00933896" w:rsidRDefault="00933896" w:rsidP="00933896">
      <w:pPr>
        <w:pStyle w:val="Heading1"/>
        <w:rPr>
          <w:rFonts w:ascii="Simplified Arabic" w:hAnsi="Simplified Arabic" w:cs="Simplified Arabic"/>
          <w:sz w:val="25"/>
          <w:szCs w:val="25"/>
          <w:rtl/>
        </w:rPr>
      </w:pPr>
      <w:r w:rsidRPr="00933896">
        <w:rPr>
          <w:rFonts w:ascii="Simplified Arabic" w:hAnsi="Simplified Arabic" w:cs="Simplified Arabic"/>
          <w:sz w:val="25"/>
          <w:szCs w:val="25"/>
          <w:rtl/>
        </w:rPr>
        <w:t>2 من كل 10 شباب مدخنون</w:t>
      </w:r>
    </w:p>
    <w:p w:rsidR="00933896" w:rsidRPr="00933896" w:rsidRDefault="00933896" w:rsidP="00933896">
      <w:pPr>
        <w:jc w:val="both"/>
        <w:rPr>
          <w:rFonts w:ascii="Simplified Arabic" w:hAnsi="Simplified Arabic" w:cs="Simplified Arabic"/>
          <w:noProof/>
          <w:rtl/>
        </w:rPr>
      </w:pPr>
      <w:r w:rsidRPr="00933896">
        <w:rPr>
          <w:rFonts w:ascii="Simplified Arabic" w:hAnsi="Simplified Arabic" w:cs="Simplified Arabic"/>
          <w:noProof/>
          <w:rtl/>
        </w:rPr>
        <w:t xml:space="preserve">أظهرت نتائج مسح الشباب الفلسطيني 2015 ان نسبة المدخنين الشباب قد بلغت 24% من اجمالي الشباب بواقع 30% في الضفة الغربية و14% في قطاع غزة مع اختلاف كبير على مستوى الجنس اذ بلغت 41% للشباب الذكور مقابل 5% للاناث الشابات. </w:t>
      </w:r>
    </w:p>
    <w:p w:rsidR="00933896" w:rsidRPr="00933896" w:rsidRDefault="00933896" w:rsidP="00933896">
      <w:pPr>
        <w:jc w:val="both"/>
        <w:rPr>
          <w:rFonts w:ascii="Simplified Arabic" w:hAnsi="Simplified Arabic" w:cs="Simplified Arabic"/>
          <w:snapToGrid w:val="0"/>
          <w:sz w:val="16"/>
          <w:szCs w:val="16"/>
          <w:rtl/>
          <w:lang w:eastAsia="en-US"/>
        </w:rPr>
      </w:pPr>
    </w:p>
    <w:p w:rsidR="00933896" w:rsidRPr="00933896" w:rsidRDefault="00933896" w:rsidP="00933896">
      <w:pPr>
        <w:jc w:val="center"/>
        <w:rPr>
          <w:rFonts w:ascii="Simplified Arabic" w:hAnsi="Simplified Arabic" w:cs="Simplified Arabic"/>
          <w:b/>
          <w:bCs/>
          <w:sz w:val="25"/>
          <w:szCs w:val="25"/>
        </w:rPr>
      </w:pPr>
      <w:r w:rsidRPr="00933896">
        <w:rPr>
          <w:rFonts w:ascii="Simplified Arabic" w:hAnsi="Simplified Arabic" w:cs="Simplified Arabic"/>
          <w:b/>
          <w:bCs/>
          <w:sz w:val="25"/>
          <w:szCs w:val="25"/>
          <w:rtl/>
        </w:rPr>
        <w:t>نسبة الشباب (15-29) سنة المدخنين حسب الجنس والمنطقة، 2015</w:t>
      </w:r>
    </w:p>
    <w:tbl>
      <w:tblPr>
        <w:bidiVisual/>
        <w:tblW w:w="4891" w:type="pct"/>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000"/>
      </w:tblPr>
      <w:tblGrid>
        <w:gridCol w:w="2824"/>
        <w:gridCol w:w="2441"/>
        <w:gridCol w:w="2754"/>
        <w:gridCol w:w="2430"/>
      </w:tblGrid>
      <w:tr w:rsidR="00933896" w:rsidRPr="00933896" w:rsidTr="00030937">
        <w:trPr>
          <w:jc w:val="center"/>
        </w:trPr>
        <w:tc>
          <w:tcPr>
            <w:tcW w:w="1351" w:type="pct"/>
          </w:tcPr>
          <w:p w:rsidR="00933896" w:rsidRPr="00933896" w:rsidRDefault="00933896" w:rsidP="00103E34">
            <w:pPr>
              <w:jc w:val="center"/>
              <w:rPr>
                <w:rFonts w:ascii="Simplified Arabic" w:hAnsi="Simplified Arabic" w:cs="Simplified Arabic"/>
                <w:b/>
                <w:bCs/>
                <w:rtl/>
              </w:rPr>
            </w:pPr>
            <w:r w:rsidRPr="00933896">
              <w:rPr>
                <w:rFonts w:ascii="Simplified Arabic" w:hAnsi="Simplified Arabic" w:cs="Simplified Arabic"/>
                <w:b/>
                <w:bCs/>
                <w:rtl/>
              </w:rPr>
              <w:t>الجنس</w:t>
            </w:r>
          </w:p>
        </w:tc>
        <w:tc>
          <w:tcPr>
            <w:tcW w:w="1168" w:type="pct"/>
          </w:tcPr>
          <w:p w:rsidR="00933896" w:rsidRPr="00933896" w:rsidRDefault="00933896" w:rsidP="00103E34">
            <w:pPr>
              <w:pStyle w:val="Heading4"/>
              <w:jc w:val="center"/>
              <w:rPr>
                <w:rFonts w:ascii="Simplified Arabic" w:hAnsi="Simplified Arabic"/>
                <w:rtl/>
              </w:rPr>
            </w:pPr>
            <w:r w:rsidRPr="00933896">
              <w:rPr>
                <w:rFonts w:ascii="Simplified Arabic" w:hAnsi="Simplified Arabic"/>
                <w:rtl/>
              </w:rPr>
              <w:t>فلسطين</w:t>
            </w:r>
          </w:p>
        </w:tc>
        <w:tc>
          <w:tcPr>
            <w:tcW w:w="1318" w:type="pct"/>
          </w:tcPr>
          <w:p w:rsidR="00933896" w:rsidRPr="00933896" w:rsidRDefault="00933896" w:rsidP="00103E34">
            <w:pPr>
              <w:jc w:val="center"/>
              <w:rPr>
                <w:rFonts w:ascii="Simplified Arabic" w:hAnsi="Simplified Arabic" w:cs="Simplified Arabic"/>
                <w:b/>
                <w:bCs/>
                <w:rtl/>
              </w:rPr>
            </w:pPr>
            <w:r w:rsidRPr="00933896">
              <w:rPr>
                <w:rFonts w:ascii="Simplified Arabic" w:hAnsi="Simplified Arabic" w:cs="Simplified Arabic"/>
                <w:b/>
                <w:bCs/>
                <w:rtl/>
              </w:rPr>
              <w:t>الضفة الغربية</w:t>
            </w:r>
          </w:p>
        </w:tc>
        <w:tc>
          <w:tcPr>
            <w:tcW w:w="1164" w:type="pct"/>
          </w:tcPr>
          <w:p w:rsidR="00933896" w:rsidRPr="00933896" w:rsidRDefault="00933896" w:rsidP="00103E34">
            <w:pPr>
              <w:pStyle w:val="Heading4"/>
              <w:jc w:val="center"/>
              <w:rPr>
                <w:rFonts w:ascii="Simplified Arabic" w:hAnsi="Simplified Arabic"/>
                <w:rtl/>
              </w:rPr>
            </w:pPr>
            <w:r w:rsidRPr="00933896">
              <w:rPr>
                <w:rFonts w:ascii="Simplified Arabic" w:hAnsi="Simplified Arabic"/>
                <w:rtl/>
              </w:rPr>
              <w:t>قطاع غزة</w:t>
            </w:r>
          </w:p>
        </w:tc>
      </w:tr>
      <w:tr w:rsidR="00933896" w:rsidRPr="00933896" w:rsidTr="00030937">
        <w:trPr>
          <w:jc w:val="center"/>
        </w:trPr>
        <w:tc>
          <w:tcPr>
            <w:tcW w:w="1351" w:type="pct"/>
            <w:vAlign w:val="center"/>
          </w:tcPr>
          <w:p w:rsidR="00933896" w:rsidRPr="00933896" w:rsidRDefault="00933896" w:rsidP="00103E34">
            <w:pPr>
              <w:rPr>
                <w:rFonts w:ascii="Simplified Arabic" w:hAnsi="Simplified Arabic" w:cs="Simplified Arabic"/>
                <w:b/>
                <w:bCs/>
                <w:rtl/>
              </w:rPr>
            </w:pPr>
            <w:r w:rsidRPr="00933896">
              <w:rPr>
                <w:rFonts w:ascii="Simplified Arabic" w:hAnsi="Simplified Arabic" w:cs="Simplified Arabic"/>
                <w:b/>
                <w:bCs/>
                <w:rtl/>
              </w:rPr>
              <w:t>كلا الجنسين</w:t>
            </w:r>
          </w:p>
        </w:tc>
        <w:tc>
          <w:tcPr>
            <w:tcW w:w="1168" w:type="pct"/>
            <w:vAlign w:val="center"/>
          </w:tcPr>
          <w:p w:rsidR="00933896" w:rsidRPr="00933896" w:rsidRDefault="00933896" w:rsidP="00103E34">
            <w:pPr>
              <w:rPr>
                <w:rFonts w:ascii="Simplified Arabic" w:eastAsia="Arial Unicode MS" w:hAnsi="Simplified Arabic" w:cs="Simplified Arabic"/>
                <w:b/>
                <w:bCs/>
              </w:rPr>
            </w:pPr>
            <w:r w:rsidRPr="00933896">
              <w:rPr>
                <w:rFonts w:ascii="Simplified Arabic" w:eastAsia="Arial Unicode MS" w:hAnsi="Simplified Arabic" w:cs="Simplified Arabic"/>
                <w:b/>
                <w:bCs/>
                <w:rtl/>
              </w:rPr>
              <w:t>23.5</w:t>
            </w:r>
          </w:p>
        </w:tc>
        <w:tc>
          <w:tcPr>
            <w:tcW w:w="1318" w:type="pct"/>
            <w:vAlign w:val="center"/>
          </w:tcPr>
          <w:p w:rsidR="00933896" w:rsidRPr="00933896" w:rsidRDefault="00933896" w:rsidP="00103E34">
            <w:pPr>
              <w:autoSpaceDE w:val="0"/>
              <w:autoSpaceDN w:val="0"/>
              <w:adjustRightInd w:val="0"/>
              <w:rPr>
                <w:rFonts w:ascii="Simplified Arabic" w:hAnsi="Simplified Arabic" w:cs="Simplified Arabic"/>
                <w:b/>
                <w:bCs/>
              </w:rPr>
            </w:pPr>
            <w:r w:rsidRPr="00933896">
              <w:rPr>
                <w:rFonts w:ascii="Simplified Arabic" w:hAnsi="Simplified Arabic" w:cs="Simplified Arabic"/>
                <w:b/>
                <w:bCs/>
                <w:rtl/>
              </w:rPr>
              <w:t>29.5</w:t>
            </w:r>
          </w:p>
        </w:tc>
        <w:tc>
          <w:tcPr>
            <w:tcW w:w="1164" w:type="pct"/>
            <w:vAlign w:val="center"/>
          </w:tcPr>
          <w:p w:rsidR="00933896" w:rsidRPr="00933896" w:rsidRDefault="00933896" w:rsidP="00103E34">
            <w:pPr>
              <w:rPr>
                <w:rFonts w:ascii="Simplified Arabic" w:eastAsia="Arial Unicode MS" w:hAnsi="Simplified Arabic" w:cs="Simplified Arabic"/>
                <w:b/>
                <w:bCs/>
              </w:rPr>
            </w:pPr>
            <w:r w:rsidRPr="00933896">
              <w:rPr>
                <w:rFonts w:ascii="Simplified Arabic" w:eastAsia="Arial Unicode MS" w:hAnsi="Simplified Arabic" w:cs="Simplified Arabic"/>
                <w:b/>
                <w:bCs/>
                <w:rtl/>
              </w:rPr>
              <w:t>14.0</w:t>
            </w:r>
          </w:p>
        </w:tc>
      </w:tr>
      <w:tr w:rsidR="00933896" w:rsidRPr="00933896" w:rsidTr="00030937">
        <w:trPr>
          <w:jc w:val="center"/>
        </w:trPr>
        <w:tc>
          <w:tcPr>
            <w:tcW w:w="1351" w:type="pct"/>
            <w:vAlign w:val="center"/>
          </w:tcPr>
          <w:p w:rsidR="00933896" w:rsidRPr="00933896" w:rsidRDefault="00933896" w:rsidP="00103E34">
            <w:pPr>
              <w:rPr>
                <w:rFonts w:ascii="Simplified Arabic" w:hAnsi="Simplified Arabic" w:cs="Simplified Arabic"/>
                <w:b/>
                <w:bCs/>
                <w:rtl/>
              </w:rPr>
            </w:pPr>
            <w:r w:rsidRPr="00933896">
              <w:rPr>
                <w:rFonts w:ascii="Simplified Arabic" w:hAnsi="Simplified Arabic" w:cs="Simplified Arabic"/>
                <w:b/>
                <w:bCs/>
                <w:rtl/>
              </w:rPr>
              <w:t>ذكور</w:t>
            </w:r>
          </w:p>
        </w:tc>
        <w:tc>
          <w:tcPr>
            <w:tcW w:w="1168" w:type="pct"/>
            <w:vAlign w:val="center"/>
          </w:tcPr>
          <w:p w:rsidR="00933896" w:rsidRPr="00933896" w:rsidRDefault="00933896" w:rsidP="00103E34">
            <w:pPr>
              <w:autoSpaceDE w:val="0"/>
              <w:autoSpaceDN w:val="0"/>
              <w:adjustRightInd w:val="0"/>
              <w:rPr>
                <w:rFonts w:ascii="Simplified Arabic" w:hAnsi="Simplified Arabic" w:cs="Simplified Arabic"/>
                <w:b/>
                <w:bCs/>
              </w:rPr>
            </w:pPr>
            <w:r w:rsidRPr="00933896">
              <w:rPr>
                <w:rFonts w:ascii="Simplified Arabic" w:hAnsi="Simplified Arabic" w:cs="Simplified Arabic"/>
                <w:b/>
                <w:bCs/>
                <w:rtl/>
              </w:rPr>
              <w:t>40.9</w:t>
            </w:r>
          </w:p>
        </w:tc>
        <w:tc>
          <w:tcPr>
            <w:tcW w:w="1318" w:type="pct"/>
            <w:vAlign w:val="center"/>
          </w:tcPr>
          <w:p w:rsidR="00933896" w:rsidRPr="00933896" w:rsidRDefault="00933896" w:rsidP="00103E34">
            <w:pPr>
              <w:autoSpaceDE w:val="0"/>
              <w:autoSpaceDN w:val="0"/>
              <w:adjustRightInd w:val="0"/>
              <w:rPr>
                <w:rFonts w:ascii="Simplified Arabic" w:hAnsi="Simplified Arabic" w:cs="Simplified Arabic"/>
              </w:rPr>
            </w:pPr>
            <w:r w:rsidRPr="00933896">
              <w:rPr>
                <w:rFonts w:ascii="Simplified Arabic" w:hAnsi="Simplified Arabic" w:cs="Simplified Arabic"/>
                <w:rtl/>
              </w:rPr>
              <w:t>49.9</w:t>
            </w:r>
          </w:p>
        </w:tc>
        <w:tc>
          <w:tcPr>
            <w:tcW w:w="1164" w:type="pct"/>
            <w:vAlign w:val="center"/>
          </w:tcPr>
          <w:p w:rsidR="00933896" w:rsidRPr="00933896" w:rsidRDefault="00933896" w:rsidP="00103E34">
            <w:pPr>
              <w:autoSpaceDE w:val="0"/>
              <w:autoSpaceDN w:val="0"/>
              <w:adjustRightInd w:val="0"/>
              <w:rPr>
                <w:rFonts w:ascii="Simplified Arabic" w:hAnsi="Simplified Arabic" w:cs="Simplified Arabic"/>
                <w:b/>
                <w:bCs/>
              </w:rPr>
            </w:pPr>
            <w:r w:rsidRPr="00933896">
              <w:rPr>
                <w:rFonts w:ascii="Simplified Arabic" w:hAnsi="Simplified Arabic" w:cs="Simplified Arabic"/>
                <w:b/>
                <w:bCs/>
                <w:rtl/>
              </w:rPr>
              <w:t>26.6</w:t>
            </w:r>
          </w:p>
        </w:tc>
      </w:tr>
      <w:tr w:rsidR="00933896" w:rsidRPr="00933896" w:rsidTr="00030937">
        <w:trPr>
          <w:jc w:val="center"/>
        </w:trPr>
        <w:tc>
          <w:tcPr>
            <w:tcW w:w="1351" w:type="pct"/>
            <w:vAlign w:val="center"/>
          </w:tcPr>
          <w:p w:rsidR="00933896" w:rsidRPr="00933896" w:rsidRDefault="00933896" w:rsidP="00103E34">
            <w:pPr>
              <w:rPr>
                <w:rFonts w:ascii="Simplified Arabic" w:hAnsi="Simplified Arabic" w:cs="Simplified Arabic"/>
                <w:b/>
                <w:bCs/>
                <w:rtl/>
              </w:rPr>
            </w:pPr>
            <w:r w:rsidRPr="00933896">
              <w:rPr>
                <w:rFonts w:ascii="Simplified Arabic" w:hAnsi="Simplified Arabic" w:cs="Simplified Arabic"/>
                <w:b/>
                <w:bCs/>
                <w:rtl/>
              </w:rPr>
              <w:t>إناث</w:t>
            </w:r>
          </w:p>
        </w:tc>
        <w:tc>
          <w:tcPr>
            <w:tcW w:w="1168" w:type="pct"/>
            <w:vAlign w:val="center"/>
          </w:tcPr>
          <w:p w:rsidR="00933896" w:rsidRPr="00933896" w:rsidRDefault="00933896" w:rsidP="00103E34">
            <w:pPr>
              <w:autoSpaceDE w:val="0"/>
              <w:autoSpaceDN w:val="0"/>
              <w:adjustRightInd w:val="0"/>
              <w:rPr>
                <w:rFonts w:ascii="Simplified Arabic" w:hAnsi="Simplified Arabic" w:cs="Simplified Arabic"/>
                <w:b/>
                <w:bCs/>
              </w:rPr>
            </w:pPr>
            <w:r w:rsidRPr="00933896">
              <w:rPr>
                <w:rFonts w:ascii="Simplified Arabic" w:hAnsi="Simplified Arabic" w:cs="Simplified Arabic"/>
                <w:b/>
                <w:bCs/>
                <w:rtl/>
              </w:rPr>
              <w:t>5.4</w:t>
            </w:r>
          </w:p>
        </w:tc>
        <w:tc>
          <w:tcPr>
            <w:tcW w:w="1318" w:type="pct"/>
            <w:vAlign w:val="center"/>
          </w:tcPr>
          <w:p w:rsidR="00933896" w:rsidRPr="00933896" w:rsidRDefault="00933896" w:rsidP="00103E34">
            <w:pPr>
              <w:autoSpaceDE w:val="0"/>
              <w:autoSpaceDN w:val="0"/>
              <w:adjustRightInd w:val="0"/>
              <w:rPr>
                <w:rFonts w:ascii="Simplified Arabic" w:hAnsi="Simplified Arabic" w:cs="Simplified Arabic"/>
              </w:rPr>
            </w:pPr>
            <w:r w:rsidRPr="00933896">
              <w:rPr>
                <w:rFonts w:ascii="Simplified Arabic" w:hAnsi="Simplified Arabic" w:cs="Simplified Arabic"/>
                <w:rtl/>
              </w:rPr>
              <w:t>8.1</w:t>
            </w:r>
          </w:p>
        </w:tc>
        <w:tc>
          <w:tcPr>
            <w:tcW w:w="1164" w:type="pct"/>
            <w:vAlign w:val="center"/>
          </w:tcPr>
          <w:p w:rsidR="00933896" w:rsidRPr="00933896" w:rsidRDefault="00933896" w:rsidP="00103E34">
            <w:pPr>
              <w:autoSpaceDE w:val="0"/>
              <w:autoSpaceDN w:val="0"/>
              <w:adjustRightInd w:val="0"/>
              <w:rPr>
                <w:rFonts w:ascii="Simplified Arabic" w:hAnsi="Simplified Arabic" w:cs="Simplified Arabic"/>
                <w:b/>
                <w:bCs/>
              </w:rPr>
            </w:pPr>
            <w:r w:rsidRPr="00933896">
              <w:rPr>
                <w:rFonts w:ascii="Simplified Arabic" w:hAnsi="Simplified Arabic" w:cs="Simplified Arabic"/>
                <w:b/>
                <w:bCs/>
                <w:rtl/>
              </w:rPr>
              <w:t>1.0</w:t>
            </w:r>
          </w:p>
        </w:tc>
      </w:tr>
    </w:tbl>
    <w:p w:rsidR="00933896" w:rsidRDefault="00933896" w:rsidP="00933896">
      <w:pPr>
        <w:jc w:val="both"/>
        <w:rPr>
          <w:rFonts w:ascii="Simplified Arabic" w:hAnsi="Simplified Arabic" w:cs="Simplified Arabic"/>
          <w:sz w:val="16"/>
          <w:szCs w:val="16"/>
          <w:rtl/>
        </w:rPr>
      </w:pPr>
    </w:p>
    <w:p w:rsidR="00030937" w:rsidRDefault="00030937" w:rsidP="00933896">
      <w:pPr>
        <w:jc w:val="both"/>
        <w:rPr>
          <w:rFonts w:ascii="Simplified Arabic" w:hAnsi="Simplified Arabic" w:cs="Simplified Arabic"/>
          <w:sz w:val="16"/>
          <w:szCs w:val="16"/>
          <w:rtl/>
        </w:rPr>
      </w:pPr>
    </w:p>
    <w:p w:rsidR="00030937" w:rsidRDefault="00030937" w:rsidP="00933896">
      <w:pPr>
        <w:jc w:val="both"/>
        <w:rPr>
          <w:rFonts w:ascii="Simplified Arabic" w:hAnsi="Simplified Arabic" w:cs="Simplified Arabic"/>
          <w:sz w:val="16"/>
          <w:szCs w:val="16"/>
          <w:rtl/>
        </w:rPr>
      </w:pPr>
    </w:p>
    <w:p w:rsidR="00030937" w:rsidRPr="00933896" w:rsidRDefault="00030937" w:rsidP="00933896">
      <w:pPr>
        <w:jc w:val="both"/>
        <w:rPr>
          <w:rFonts w:ascii="Simplified Arabic" w:hAnsi="Simplified Arabic" w:cs="Simplified Arabic"/>
          <w:sz w:val="16"/>
          <w:szCs w:val="16"/>
        </w:rPr>
      </w:pPr>
    </w:p>
    <w:p w:rsidR="00933896" w:rsidRPr="00933896" w:rsidRDefault="00933896" w:rsidP="00933896">
      <w:pPr>
        <w:pStyle w:val="Header"/>
        <w:jc w:val="center"/>
        <w:rPr>
          <w:rFonts w:ascii="Simplified Arabic" w:hAnsi="Simplified Arabic" w:cs="Simplified Arabic"/>
          <w:b/>
          <w:bCs/>
          <w:sz w:val="16"/>
          <w:szCs w:val="16"/>
          <w:rtl/>
        </w:rPr>
      </w:pPr>
    </w:p>
    <w:p w:rsidR="00933896" w:rsidRPr="00933896" w:rsidRDefault="00933896" w:rsidP="00030937">
      <w:pPr>
        <w:pStyle w:val="Header"/>
        <w:rPr>
          <w:rFonts w:ascii="Simplified Arabic" w:hAnsi="Simplified Arabic" w:cs="Simplified Arabic"/>
          <w:b/>
          <w:bCs/>
          <w:sz w:val="25"/>
          <w:szCs w:val="25"/>
          <w:rtl/>
        </w:rPr>
      </w:pPr>
      <w:r w:rsidRPr="00933896">
        <w:rPr>
          <w:rFonts w:ascii="Simplified Arabic" w:hAnsi="Simplified Arabic" w:cs="Simplified Arabic"/>
          <w:b/>
          <w:bCs/>
          <w:sz w:val="25"/>
          <w:szCs w:val="25"/>
          <w:rtl/>
        </w:rPr>
        <w:lastRenderedPageBreak/>
        <w:t>20% من الشباب في فلسطين شاركوا في اعمال تطوعية</w:t>
      </w:r>
    </w:p>
    <w:p w:rsidR="00933896" w:rsidRPr="00933896" w:rsidRDefault="00933896" w:rsidP="00933896">
      <w:pPr>
        <w:pStyle w:val="BodyText"/>
        <w:jc w:val="both"/>
        <w:rPr>
          <w:rFonts w:ascii="Simplified Arabic" w:hAnsi="Simplified Arabic"/>
          <w:snapToGrid/>
          <w:sz w:val="24"/>
          <w:szCs w:val="24"/>
          <w:rtl/>
          <w:lang w:eastAsia="ar-SA"/>
        </w:rPr>
      </w:pPr>
      <w:r w:rsidRPr="00933896">
        <w:rPr>
          <w:rFonts w:ascii="Simplified Arabic" w:hAnsi="Simplified Arabic"/>
          <w:snapToGrid/>
          <w:sz w:val="24"/>
          <w:szCs w:val="24"/>
          <w:rtl/>
          <w:lang w:eastAsia="ar-SA"/>
        </w:rPr>
        <w:t>بالاستناد إلى نتائج مسح الشباب الفلسطيني 2015 بلغت نسبة الشباب (15-29) سنة الذين شاركوا خلال السنة السابقة للمسح في اعمال تطوعية قد بلغت حوالي 20%، حيث شارك الشباب في اعمال وانشطة خيرية غير مادية (تقديم المساعدة للفقراء او ذوي الفئات الخاصة) بنسبة 11% من اجمالي الشباب في حين شارك نحو 7% في انشطة تنموية مجتمعية وحوالي 5%  في انشطة تعليمية و6% في انشطة جمع تبرعات، وانشطة تطوعية اخرى بنسبة 1%.</w:t>
      </w:r>
    </w:p>
    <w:p w:rsidR="00933896" w:rsidRPr="00933896" w:rsidRDefault="00933896" w:rsidP="00933896">
      <w:pPr>
        <w:pStyle w:val="BodyText"/>
        <w:jc w:val="both"/>
        <w:rPr>
          <w:rFonts w:ascii="Simplified Arabic" w:hAnsi="Simplified Arabic"/>
          <w:noProof/>
          <w:snapToGrid/>
          <w:sz w:val="24"/>
          <w:szCs w:val="24"/>
          <w:rtl/>
          <w:lang w:eastAsia="ar-SA"/>
        </w:rPr>
      </w:pPr>
    </w:p>
    <w:p w:rsidR="00933896" w:rsidRPr="00933896" w:rsidRDefault="00933896" w:rsidP="00933896">
      <w:pPr>
        <w:jc w:val="center"/>
        <w:rPr>
          <w:rFonts w:ascii="Simplified Arabic" w:hAnsi="Simplified Arabic" w:cs="Simplified Arabic"/>
          <w:b/>
          <w:bCs/>
          <w:sz w:val="25"/>
          <w:szCs w:val="25"/>
        </w:rPr>
      </w:pPr>
      <w:r w:rsidRPr="00933896">
        <w:rPr>
          <w:rFonts w:ascii="Simplified Arabic" w:hAnsi="Simplified Arabic" w:cs="Simplified Arabic"/>
          <w:b/>
          <w:bCs/>
          <w:sz w:val="25"/>
          <w:szCs w:val="25"/>
          <w:rtl/>
        </w:rPr>
        <w:t>نسبة الشباب (15-29) سنة حسب المشاركة في الأعمال التطوعية خلال السنة السابقة للمسح حسب الجنس والمنطقة، 2015</w:t>
      </w:r>
    </w:p>
    <w:tbl>
      <w:tblPr>
        <w:bidiVisual/>
        <w:tblW w:w="4891" w:type="pct"/>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000"/>
      </w:tblPr>
      <w:tblGrid>
        <w:gridCol w:w="2824"/>
        <w:gridCol w:w="2441"/>
        <w:gridCol w:w="2754"/>
        <w:gridCol w:w="2430"/>
      </w:tblGrid>
      <w:tr w:rsidR="00933896" w:rsidRPr="00933896" w:rsidTr="00030937">
        <w:trPr>
          <w:jc w:val="center"/>
        </w:trPr>
        <w:tc>
          <w:tcPr>
            <w:tcW w:w="1351" w:type="pct"/>
          </w:tcPr>
          <w:p w:rsidR="00933896" w:rsidRPr="00933896" w:rsidRDefault="00933896" w:rsidP="00103E34">
            <w:pPr>
              <w:jc w:val="center"/>
              <w:rPr>
                <w:rFonts w:ascii="Simplified Arabic" w:hAnsi="Simplified Arabic" w:cs="Simplified Arabic"/>
                <w:b/>
                <w:bCs/>
                <w:rtl/>
              </w:rPr>
            </w:pPr>
            <w:r w:rsidRPr="00933896">
              <w:rPr>
                <w:rFonts w:ascii="Simplified Arabic" w:hAnsi="Simplified Arabic" w:cs="Simplified Arabic"/>
                <w:b/>
                <w:bCs/>
                <w:rtl/>
              </w:rPr>
              <w:t>الجنس</w:t>
            </w:r>
          </w:p>
        </w:tc>
        <w:tc>
          <w:tcPr>
            <w:tcW w:w="1168" w:type="pct"/>
          </w:tcPr>
          <w:p w:rsidR="00933896" w:rsidRPr="00933896" w:rsidRDefault="00933896" w:rsidP="00103E34">
            <w:pPr>
              <w:pStyle w:val="Heading4"/>
              <w:jc w:val="center"/>
              <w:rPr>
                <w:rFonts w:ascii="Simplified Arabic" w:hAnsi="Simplified Arabic"/>
                <w:rtl/>
              </w:rPr>
            </w:pPr>
            <w:r w:rsidRPr="00933896">
              <w:rPr>
                <w:rFonts w:ascii="Simplified Arabic" w:hAnsi="Simplified Arabic"/>
                <w:rtl/>
              </w:rPr>
              <w:t>فلسطين</w:t>
            </w:r>
          </w:p>
        </w:tc>
        <w:tc>
          <w:tcPr>
            <w:tcW w:w="1318" w:type="pct"/>
          </w:tcPr>
          <w:p w:rsidR="00933896" w:rsidRPr="00933896" w:rsidRDefault="00933896" w:rsidP="00103E34">
            <w:pPr>
              <w:jc w:val="center"/>
              <w:rPr>
                <w:rFonts w:ascii="Simplified Arabic" w:hAnsi="Simplified Arabic" w:cs="Simplified Arabic"/>
                <w:b/>
                <w:bCs/>
                <w:rtl/>
              </w:rPr>
            </w:pPr>
            <w:r w:rsidRPr="00933896">
              <w:rPr>
                <w:rFonts w:ascii="Simplified Arabic" w:hAnsi="Simplified Arabic" w:cs="Simplified Arabic"/>
                <w:b/>
                <w:bCs/>
                <w:rtl/>
              </w:rPr>
              <w:t>الضفة الغربية</w:t>
            </w:r>
          </w:p>
        </w:tc>
        <w:tc>
          <w:tcPr>
            <w:tcW w:w="1164" w:type="pct"/>
          </w:tcPr>
          <w:p w:rsidR="00933896" w:rsidRPr="00933896" w:rsidRDefault="00933896" w:rsidP="00103E34">
            <w:pPr>
              <w:pStyle w:val="Heading4"/>
              <w:jc w:val="center"/>
              <w:rPr>
                <w:rFonts w:ascii="Simplified Arabic" w:hAnsi="Simplified Arabic"/>
                <w:rtl/>
              </w:rPr>
            </w:pPr>
            <w:r w:rsidRPr="00933896">
              <w:rPr>
                <w:rFonts w:ascii="Simplified Arabic" w:hAnsi="Simplified Arabic"/>
                <w:rtl/>
              </w:rPr>
              <w:t>قطاع غزة</w:t>
            </w:r>
          </w:p>
        </w:tc>
      </w:tr>
      <w:tr w:rsidR="00933896" w:rsidRPr="00933896" w:rsidTr="00030937">
        <w:trPr>
          <w:jc w:val="center"/>
        </w:trPr>
        <w:tc>
          <w:tcPr>
            <w:tcW w:w="1351" w:type="pct"/>
            <w:vAlign w:val="center"/>
          </w:tcPr>
          <w:p w:rsidR="00933896" w:rsidRPr="00933896" w:rsidRDefault="00933896" w:rsidP="00103E34">
            <w:pPr>
              <w:rPr>
                <w:rFonts w:ascii="Simplified Arabic" w:hAnsi="Simplified Arabic" w:cs="Simplified Arabic"/>
                <w:b/>
                <w:bCs/>
                <w:rtl/>
              </w:rPr>
            </w:pPr>
            <w:r w:rsidRPr="00933896">
              <w:rPr>
                <w:rFonts w:ascii="Simplified Arabic" w:hAnsi="Simplified Arabic" w:cs="Simplified Arabic"/>
                <w:b/>
                <w:bCs/>
                <w:rtl/>
              </w:rPr>
              <w:t>كلا الجنسين</w:t>
            </w:r>
          </w:p>
        </w:tc>
        <w:tc>
          <w:tcPr>
            <w:tcW w:w="1168" w:type="pct"/>
            <w:vAlign w:val="center"/>
          </w:tcPr>
          <w:p w:rsidR="00933896" w:rsidRPr="00933896" w:rsidRDefault="00933896" w:rsidP="00103E34">
            <w:pPr>
              <w:autoSpaceDE w:val="0"/>
              <w:autoSpaceDN w:val="0"/>
              <w:adjustRightInd w:val="0"/>
              <w:rPr>
                <w:rFonts w:ascii="Simplified Arabic" w:hAnsi="Simplified Arabic" w:cs="Simplified Arabic"/>
                <w:b/>
                <w:bCs/>
              </w:rPr>
            </w:pPr>
            <w:r w:rsidRPr="00933896">
              <w:rPr>
                <w:rFonts w:ascii="Simplified Arabic" w:hAnsi="Simplified Arabic" w:cs="Simplified Arabic"/>
                <w:b/>
                <w:bCs/>
                <w:rtl/>
              </w:rPr>
              <w:t>19.6</w:t>
            </w:r>
          </w:p>
        </w:tc>
        <w:tc>
          <w:tcPr>
            <w:tcW w:w="1318" w:type="pct"/>
            <w:vAlign w:val="center"/>
          </w:tcPr>
          <w:p w:rsidR="00933896" w:rsidRPr="00933896" w:rsidRDefault="00933896" w:rsidP="00103E34">
            <w:pPr>
              <w:autoSpaceDE w:val="0"/>
              <w:autoSpaceDN w:val="0"/>
              <w:adjustRightInd w:val="0"/>
              <w:rPr>
                <w:rFonts w:ascii="Simplified Arabic" w:hAnsi="Simplified Arabic" w:cs="Simplified Arabic"/>
                <w:b/>
                <w:bCs/>
              </w:rPr>
            </w:pPr>
            <w:r w:rsidRPr="00933896">
              <w:rPr>
                <w:rFonts w:ascii="Simplified Arabic" w:hAnsi="Simplified Arabic" w:cs="Simplified Arabic"/>
                <w:b/>
                <w:bCs/>
                <w:rtl/>
              </w:rPr>
              <w:t>18.1</w:t>
            </w:r>
          </w:p>
        </w:tc>
        <w:tc>
          <w:tcPr>
            <w:tcW w:w="1164" w:type="pct"/>
            <w:vAlign w:val="center"/>
          </w:tcPr>
          <w:p w:rsidR="00933896" w:rsidRPr="00933896" w:rsidRDefault="00933896" w:rsidP="00103E34">
            <w:pPr>
              <w:autoSpaceDE w:val="0"/>
              <w:autoSpaceDN w:val="0"/>
              <w:adjustRightInd w:val="0"/>
              <w:rPr>
                <w:rFonts w:ascii="Simplified Arabic" w:hAnsi="Simplified Arabic" w:cs="Simplified Arabic"/>
                <w:b/>
                <w:bCs/>
              </w:rPr>
            </w:pPr>
            <w:r w:rsidRPr="00933896">
              <w:rPr>
                <w:rFonts w:ascii="Simplified Arabic" w:hAnsi="Simplified Arabic" w:cs="Simplified Arabic"/>
                <w:b/>
                <w:bCs/>
                <w:rtl/>
              </w:rPr>
              <w:t>21.8</w:t>
            </w:r>
          </w:p>
        </w:tc>
      </w:tr>
      <w:tr w:rsidR="00933896" w:rsidRPr="00933896" w:rsidTr="00030937">
        <w:trPr>
          <w:jc w:val="center"/>
        </w:trPr>
        <w:tc>
          <w:tcPr>
            <w:tcW w:w="1351" w:type="pct"/>
            <w:vAlign w:val="center"/>
          </w:tcPr>
          <w:p w:rsidR="00933896" w:rsidRPr="00933896" w:rsidRDefault="00933896" w:rsidP="00103E34">
            <w:pPr>
              <w:rPr>
                <w:rFonts w:ascii="Simplified Arabic" w:hAnsi="Simplified Arabic" w:cs="Simplified Arabic"/>
                <w:b/>
                <w:bCs/>
                <w:rtl/>
              </w:rPr>
            </w:pPr>
            <w:r w:rsidRPr="00933896">
              <w:rPr>
                <w:rFonts w:ascii="Simplified Arabic" w:hAnsi="Simplified Arabic" w:cs="Simplified Arabic"/>
                <w:b/>
                <w:bCs/>
                <w:rtl/>
              </w:rPr>
              <w:t>ذكور</w:t>
            </w:r>
          </w:p>
        </w:tc>
        <w:tc>
          <w:tcPr>
            <w:tcW w:w="1168" w:type="pct"/>
            <w:vAlign w:val="center"/>
          </w:tcPr>
          <w:p w:rsidR="00933896" w:rsidRPr="00933896" w:rsidRDefault="00933896" w:rsidP="00103E34">
            <w:pPr>
              <w:autoSpaceDE w:val="0"/>
              <w:autoSpaceDN w:val="0"/>
              <w:adjustRightInd w:val="0"/>
              <w:rPr>
                <w:rFonts w:ascii="Simplified Arabic" w:hAnsi="Simplified Arabic" w:cs="Simplified Arabic"/>
                <w:b/>
                <w:bCs/>
              </w:rPr>
            </w:pPr>
            <w:r w:rsidRPr="00933896">
              <w:rPr>
                <w:rFonts w:ascii="Simplified Arabic" w:hAnsi="Simplified Arabic" w:cs="Simplified Arabic"/>
                <w:b/>
                <w:bCs/>
                <w:rtl/>
              </w:rPr>
              <w:t>26.0</w:t>
            </w:r>
          </w:p>
        </w:tc>
        <w:tc>
          <w:tcPr>
            <w:tcW w:w="1318" w:type="pct"/>
            <w:vAlign w:val="center"/>
          </w:tcPr>
          <w:p w:rsidR="00933896" w:rsidRPr="00933896" w:rsidRDefault="00933896" w:rsidP="00103E34">
            <w:pPr>
              <w:autoSpaceDE w:val="0"/>
              <w:autoSpaceDN w:val="0"/>
              <w:adjustRightInd w:val="0"/>
              <w:rPr>
                <w:rFonts w:ascii="Simplified Arabic" w:hAnsi="Simplified Arabic" w:cs="Simplified Arabic"/>
              </w:rPr>
            </w:pPr>
            <w:r w:rsidRPr="00933896">
              <w:rPr>
                <w:rFonts w:ascii="Simplified Arabic" w:hAnsi="Simplified Arabic" w:cs="Simplified Arabic"/>
                <w:rtl/>
              </w:rPr>
              <w:t>23.5</w:t>
            </w:r>
          </w:p>
        </w:tc>
        <w:tc>
          <w:tcPr>
            <w:tcW w:w="1164" w:type="pct"/>
            <w:vAlign w:val="center"/>
          </w:tcPr>
          <w:p w:rsidR="00933896" w:rsidRPr="00933896" w:rsidRDefault="00933896" w:rsidP="00103E34">
            <w:pPr>
              <w:autoSpaceDE w:val="0"/>
              <w:autoSpaceDN w:val="0"/>
              <w:adjustRightInd w:val="0"/>
              <w:rPr>
                <w:rFonts w:ascii="Simplified Arabic" w:hAnsi="Simplified Arabic" w:cs="Simplified Arabic"/>
                <w:b/>
                <w:bCs/>
              </w:rPr>
            </w:pPr>
            <w:r w:rsidRPr="00933896">
              <w:rPr>
                <w:rFonts w:ascii="Simplified Arabic" w:hAnsi="Simplified Arabic" w:cs="Simplified Arabic"/>
                <w:b/>
                <w:bCs/>
                <w:rtl/>
              </w:rPr>
              <w:t>30.0</w:t>
            </w:r>
          </w:p>
        </w:tc>
      </w:tr>
      <w:tr w:rsidR="00933896" w:rsidRPr="00933896" w:rsidTr="00030937">
        <w:trPr>
          <w:jc w:val="center"/>
        </w:trPr>
        <w:tc>
          <w:tcPr>
            <w:tcW w:w="1351" w:type="pct"/>
            <w:vAlign w:val="center"/>
          </w:tcPr>
          <w:p w:rsidR="00933896" w:rsidRPr="00933896" w:rsidRDefault="00933896" w:rsidP="00103E34">
            <w:pPr>
              <w:rPr>
                <w:rFonts w:ascii="Simplified Arabic" w:hAnsi="Simplified Arabic" w:cs="Simplified Arabic"/>
                <w:b/>
                <w:bCs/>
                <w:rtl/>
              </w:rPr>
            </w:pPr>
            <w:r w:rsidRPr="00933896">
              <w:rPr>
                <w:rFonts w:ascii="Simplified Arabic" w:hAnsi="Simplified Arabic" w:cs="Simplified Arabic"/>
                <w:b/>
                <w:bCs/>
                <w:rtl/>
              </w:rPr>
              <w:t>إناث</w:t>
            </w:r>
          </w:p>
        </w:tc>
        <w:tc>
          <w:tcPr>
            <w:tcW w:w="1168" w:type="pct"/>
            <w:vAlign w:val="center"/>
          </w:tcPr>
          <w:p w:rsidR="00933896" w:rsidRPr="00933896" w:rsidRDefault="00933896" w:rsidP="00103E34">
            <w:pPr>
              <w:autoSpaceDE w:val="0"/>
              <w:autoSpaceDN w:val="0"/>
              <w:adjustRightInd w:val="0"/>
              <w:rPr>
                <w:rFonts w:ascii="Simplified Arabic" w:hAnsi="Simplified Arabic" w:cs="Simplified Arabic"/>
                <w:b/>
                <w:bCs/>
              </w:rPr>
            </w:pPr>
            <w:r w:rsidRPr="00933896">
              <w:rPr>
                <w:rFonts w:ascii="Simplified Arabic" w:hAnsi="Simplified Arabic" w:cs="Simplified Arabic"/>
                <w:b/>
                <w:bCs/>
                <w:rtl/>
              </w:rPr>
              <w:t>12.8</w:t>
            </w:r>
          </w:p>
        </w:tc>
        <w:tc>
          <w:tcPr>
            <w:tcW w:w="1318" w:type="pct"/>
            <w:vAlign w:val="center"/>
          </w:tcPr>
          <w:p w:rsidR="00933896" w:rsidRPr="00933896" w:rsidRDefault="00933896" w:rsidP="00103E34">
            <w:pPr>
              <w:autoSpaceDE w:val="0"/>
              <w:autoSpaceDN w:val="0"/>
              <w:adjustRightInd w:val="0"/>
              <w:rPr>
                <w:rFonts w:ascii="Simplified Arabic" w:hAnsi="Simplified Arabic" w:cs="Simplified Arabic"/>
              </w:rPr>
            </w:pPr>
            <w:r w:rsidRPr="00933896">
              <w:rPr>
                <w:rFonts w:ascii="Simplified Arabic" w:hAnsi="Simplified Arabic" w:cs="Simplified Arabic"/>
                <w:rtl/>
              </w:rPr>
              <w:t>12.5</w:t>
            </w:r>
          </w:p>
        </w:tc>
        <w:tc>
          <w:tcPr>
            <w:tcW w:w="1164" w:type="pct"/>
            <w:vAlign w:val="center"/>
          </w:tcPr>
          <w:p w:rsidR="00933896" w:rsidRPr="00933896" w:rsidRDefault="00933896" w:rsidP="00103E34">
            <w:pPr>
              <w:autoSpaceDE w:val="0"/>
              <w:autoSpaceDN w:val="0"/>
              <w:adjustRightInd w:val="0"/>
              <w:rPr>
                <w:rFonts w:ascii="Simplified Arabic" w:hAnsi="Simplified Arabic" w:cs="Simplified Arabic"/>
                <w:b/>
                <w:bCs/>
              </w:rPr>
            </w:pPr>
            <w:r w:rsidRPr="00933896">
              <w:rPr>
                <w:rFonts w:ascii="Simplified Arabic" w:hAnsi="Simplified Arabic" w:cs="Simplified Arabic"/>
                <w:b/>
                <w:bCs/>
                <w:rtl/>
              </w:rPr>
              <w:t>13.3</w:t>
            </w:r>
          </w:p>
        </w:tc>
      </w:tr>
    </w:tbl>
    <w:p w:rsidR="00933896" w:rsidRPr="00933896" w:rsidRDefault="00933896" w:rsidP="00933896">
      <w:pPr>
        <w:pStyle w:val="BodyText"/>
        <w:jc w:val="center"/>
        <w:rPr>
          <w:rFonts w:ascii="Simplified Arabic" w:hAnsi="Simplified Arabic"/>
          <w:b/>
          <w:bCs/>
          <w:noProof/>
          <w:snapToGrid/>
          <w:sz w:val="16"/>
          <w:szCs w:val="16"/>
          <w:rtl/>
          <w:lang w:eastAsia="ar-SA"/>
        </w:rPr>
      </w:pPr>
    </w:p>
    <w:p w:rsidR="00933896" w:rsidRPr="00933896" w:rsidRDefault="00933896" w:rsidP="00933896">
      <w:pPr>
        <w:pStyle w:val="BodyText"/>
        <w:jc w:val="left"/>
        <w:rPr>
          <w:rFonts w:ascii="Simplified Arabic" w:hAnsi="Simplified Arabic"/>
          <w:b/>
          <w:bCs/>
          <w:noProof/>
          <w:snapToGrid/>
          <w:sz w:val="25"/>
          <w:szCs w:val="25"/>
          <w:rtl/>
          <w:lang w:eastAsia="ar-SA"/>
        </w:rPr>
      </w:pPr>
      <w:r w:rsidRPr="00933896">
        <w:rPr>
          <w:rFonts w:ascii="Simplified Arabic" w:hAnsi="Simplified Arabic"/>
          <w:b/>
          <w:bCs/>
          <w:noProof/>
          <w:snapToGrid/>
          <w:sz w:val="25"/>
          <w:szCs w:val="25"/>
          <w:rtl/>
          <w:lang w:eastAsia="ar-SA"/>
        </w:rPr>
        <w:t>7 من كل 10 شباب في فلسطين يستخدمون الحاسوب</w:t>
      </w:r>
    </w:p>
    <w:p w:rsidR="00933896" w:rsidRPr="00933896" w:rsidRDefault="00933896" w:rsidP="00933896">
      <w:pPr>
        <w:pStyle w:val="BodyText"/>
        <w:jc w:val="both"/>
        <w:rPr>
          <w:rFonts w:ascii="Simplified Arabic" w:hAnsi="Simplified Arabic"/>
          <w:noProof/>
          <w:snapToGrid/>
          <w:sz w:val="24"/>
          <w:szCs w:val="24"/>
          <w:rtl/>
          <w:lang w:eastAsia="ar-SA"/>
        </w:rPr>
      </w:pPr>
      <w:r w:rsidRPr="00933896">
        <w:rPr>
          <w:rFonts w:ascii="Simplified Arabic" w:hAnsi="Simplified Arabic"/>
          <w:noProof/>
          <w:snapToGrid/>
          <w:sz w:val="24"/>
          <w:szCs w:val="24"/>
          <w:rtl/>
          <w:lang w:eastAsia="ar-SA"/>
        </w:rPr>
        <w:t>اظهرت نتائج مسح الشباب الفلسطيني 2015 الى ان نسبة الشباب (15-29) سنة الذين يستخدمون الحاسوب قد بلغت 70%، فبلغت هذه النسبة في الضفة الغربية 75% مقابل 62% في قطاع غزة.  في حين بلغت هذه النسبة للذكور الشباب 74% مقابل 66% للإناث الشابات.</w:t>
      </w:r>
    </w:p>
    <w:p w:rsidR="00933896" w:rsidRPr="00933896" w:rsidRDefault="00933896" w:rsidP="00933896">
      <w:pPr>
        <w:pStyle w:val="BodyText"/>
        <w:jc w:val="both"/>
        <w:rPr>
          <w:rFonts w:ascii="Simplified Arabic" w:hAnsi="Simplified Arabic"/>
          <w:noProof/>
          <w:snapToGrid/>
          <w:sz w:val="16"/>
          <w:szCs w:val="16"/>
          <w:rtl/>
          <w:lang w:eastAsia="ar-SA"/>
        </w:rPr>
      </w:pPr>
    </w:p>
    <w:p w:rsidR="00933896" w:rsidRPr="00933896" w:rsidRDefault="00933896" w:rsidP="00933896">
      <w:pPr>
        <w:pStyle w:val="BodyText"/>
        <w:jc w:val="left"/>
        <w:rPr>
          <w:rFonts w:ascii="Simplified Arabic" w:hAnsi="Simplified Arabic"/>
          <w:b/>
          <w:bCs/>
          <w:noProof/>
          <w:snapToGrid/>
          <w:sz w:val="25"/>
          <w:szCs w:val="25"/>
          <w:rtl/>
          <w:lang w:eastAsia="ar-SA"/>
        </w:rPr>
      </w:pPr>
      <w:r w:rsidRPr="00933896">
        <w:rPr>
          <w:rFonts w:ascii="Simplified Arabic" w:hAnsi="Simplified Arabic"/>
          <w:b/>
          <w:bCs/>
          <w:noProof/>
          <w:snapToGrid/>
          <w:sz w:val="25"/>
          <w:szCs w:val="25"/>
          <w:rtl/>
          <w:lang w:eastAsia="ar-SA"/>
        </w:rPr>
        <w:t>أكثر من ثلث الشباب في قطاع غزة يرغبون بالهجرة الى الخارج</w:t>
      </w:r>
    </w:p>
    <w:p w:rsidR="00933896" w:rsidRPr="00933896" w:rsidRDefault="00933896" w:rsidP="00933896">
      <w:pPr>
        <w:jc w:val="both"/>
        <w:rPr>
          <w:rFonts w:ascii="Simplified Arabic" w:hAnsi="Simplified Arabic" w:cs="Simplified Arabic"/>
          <w:noProof/>
          <w:rtl/>
        </w:rPr>
      </w:pPr>
      <w:r w:rsidRPr="00933896">
        <w:rPr>
          <w:rFonts w:ascii="Simplified Arabic" w:hAnsi="Simplified Arabic" w:cs="Simplified Arabic"/>
          <w:noProof/>
          <w:rtl/>
        </w:rPr>
        <w:t xml:space="preserve">اظهرت نتائج مسح الشباب الفلسطيني 2015 ان حوالي 24% من الشباب (15-29) سنة في فلسطين لديهم الرغبة للهجرة للخارج ويبدو ان الاوضاع السائدة في القطاع دور في زيادة نسبة الرغبة في الهجرة للخارج اذ بلغت نسبة الشباب الذين يرغبون في الهجرة للخارج في قطاع غزة 37% مقابل 15% في الضفة الغربية.  كما يلاحظ ان الذكور الشباب اكثر ميلا للتفكير في الهجرة للخارج مقارنة بالاناث الشابات اذ بلغت هذه النسبة للذكور 29%  مقابل 18% لدى الاناث الشابات. </w:t>
      </w:r>
    </w:p>
    <w:p w:rsidR="009618FA" w:rsidRPr="00933896" w:rsidRDefault="00933896">
      <w:pPr>
        <w:rPr>
          <w:rFonts w:ascii="Simplified Arabic" w:hAnsi="Simplified Arabic" w:cs="Simplified Arabic"/>
        </w:rPr>
      </w:pPr>
      <w:r w:rsidRPr="00933896">
        <w:rPr>
          <w:rFonts w:ascii="Simplified Arabic" w:hAnsi="Simplified Arabic" w:cs="Simplified Arabic"/>
          <w:rtl/>
        </w:rPr>
        <w:t xml:space="preserve"> </w:t>
      </w:r>
    </w:p>
    <w:sectPr w:rsidR="009618FA" w:rsidRPr="00933896" w:rsidSect="00030937">
      <w:headerReference w:type="default" r:id="rId7"/>
      <w:footerReference w:type="even" r:id="rId8"/>
      <w:footerReference w:type="default" r:id="rId9"/>
      <w:headerReference w:type="first" r:id="rId10"/>
      <w:pgSz w:w="11906" w:h="16838" w:code="9"/>
      <w:pgMar w:top="2487" w:right="720" w:bottom="720" w:left="720" w:header="1560" w:footer="680"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6C0A" w:rsidRDefault="00E26C0A" w:rsidP="00933896">
      <w:r>
        <w:separator/>
      </w:r>
    </w:p>
  </w:endnote>
  <w:endnote w:type="continuationSeparator" w:id="0">
    <w:p w:rsidR="00E26C0A" w:rsidRDefault="00E26C0A" w:rsidP="009338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5C5" w:rsidRDefault="00845843">
    <w:pPr>
      <w:pStyle w:val="Footer"/>
      <w:framePr w:wrap="around" w:vAnchor="text" w:hAnchor="margin" w:xAlign="center" w:y="1"/>
      <w:rPr>
        <w:rStyle w:val="PageNumber"/>
        <w:rtl/>
        <w:lang w:eastAsia="en-US"/>
      </w:rPr>
    </w:pPr>
    <w:r>
      <w:rPr>
        <w:rStyle w:val="PageNumber"/>
        <w:rtl/>
      </w:rPr>
      <w:fldChar w:fldCharType="begin"/>
    </w:r>
    <w:r w:rsidR="00523AFA">
      <w:rPr>
        <w:rStyle w:val="PageNumber"/>
        <w:lang w:eastAsia="en-US"/>
      </w:rPr>
      <w:instrText xml:space="preserve">PAGE  </w:instrText>
    </w:r>
    <w:r>
      <w:rPr>
        <w:rStyle w:val="PageNumber"/>
        <w:rtl/>
      </w:rPr>
      <w:fldChar w:fldCharType="separate"/>
    </w:r>
    <w:r w:rsidR="00523AFA">
      <w:rPr>
        <w:rStyle w:val="PageNumber"/>
        <w:noProof/>
        <w:rtl/>
      </w:rPr>
      <w:t>2</w:t>
    </w:r>
    <w:r>
      <w:rPr>
        <w:rStyle w:val="PageNumber"/>
        <w:rtl/>
      </w:rPr>
      <w:fldChar w:fldCharType="end"/>
    </w:r>
  </w:p>
  <w:p w:rsidR="00F845C5" w:rsidRDefault="00E26C0A">
    <w:pPr>
      <w:pStyle w:val="Footer"/>
      <w:rPr>
        <w:rtl/>
        <w:lang w:eastAsia="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82237540"/>
      <w:docPartObj>
        <w:docPartGallery w:val="Page Numbers (Bottom of Page)"/>
        <w:docPartUnique/>
      </w:docPartObj>
    </w:sdtPr>
    <w:sdtContent>
      <w:p w:rsidR="00933896" w:rsidRDefault="00845843">
        <w:pPr>
          <w:pStyle w:val="Footer"/>
          <w:jc w:val="center"/>
        </w:pPr>
        <w:fldSimple w:instr=" PAGE   \* MERGEFORMAT ">
          <w:r w:rsidR="00AD78A2">
            <w:rPr>
              <w:noProof/>
              <w:rtl/>
            </w:rPr>
            <w:t>4</w:t>
          </w:r>
        </w:fldSimple>
      </w:p>
    </w:sdtContent>
  </w:sdt>
  <w:p w:rsidR="00F845C5" w:rsidRDefault="00E26C0A">
    <w:pPr>
      <w:pStyle w:val="Footer"/>
      <w:rPr>
        <w:rtl/>
        <w:lang w:eastAsia="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6C0A" w:rsidRDefault="00E26C0A" w:rsidP="00933896">
      <w:r>
        <w:separator/>
      </w:r>
    </w:p>
  </w:footnote>
  <w:footnote w:type="continuationSeparator" w:id="0">
    <w:p w:rsidR="00E26C0A" w:rsidRDefault="00E26C0A" w:rsidP="009338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bidiVisual/>
      <w:tblW w:w="0" w:type="auto"/>
      <w:tblBorders>
        <w:bottom w:val="single" w:sz="4" w:space="0" w:color="auto"/>
      </w:tblBorders>
      <w:tblLook w:val="04A0"/>
    </w:tblPr>
    <w:tblGrid>
      <w:gridCol w:w="3473"/>
      <w:gridCol w:w="3474"/>
      <w:gridCol w:w="3474"/>
    </w:tblGrid>
    <w:tr w:rsidR="005E06C9" w:rsidTr="00E25BBC">
      <w:tc>
        <w:tcPr>
          <w:tcW w:w="3473" w:type="dxa"/>
          <w:vAlign w:val="center"/>
        </w:tcPr>
        <w:p w:rsidR="005E06C9" w:rsidRPr="004C4A37" w:rsidRDefault="00523AFA" w:rsidP="00AD78A2">
          <w:pPr>
            <w:pStyle w:val="Header"/>
            <w:rPr>
              <w:rFonts w:cs="Simplified Arabic"/>
              <w:b/>
              <w:bCs/>
              <w:sz w:val="24"/>
              <w:szCs w:val="24"/>
              <w:rtl/>
            </w:rPr>
          </w:pPr>
          <w:r w:rsidRPr="00626778">
            <w:rPr>
              <w:rFonts w:cs="Simplified Arabic"/>
              <w:b/>
              <w:bCs/>
              <w:noProof/>
              <w:sz w:val="24"/>
              <w:szCs w:val="24"/>
              <w:rtl/>
            </w:rPr>
            <w:drawing>
              <wp:inline distT="0" distB="0" distL="0" distR="0">
                <wp:extent cx="552450" cy="771525"/>
                <wp:effectExtent l="19050" t="0" r="0" b="0"/>
                <wp:docPr id="6" name="Picture 3" descr="C:\Users\hananj\Desktop\PL-cmyk-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nanj\Desktop\PL-cmyk-small.gif"/>
                        <pic:cNvPicPr>
                          <a:picLocks noChangeAspect="1" noChangeArrowheads="1"/>
                        </pic:cNvPicPr>
                      </pic:nvPicPr>
                      <pic:blipFill>
                        <a:blip r:embed="rId1"/>
                        <a:srcRect/>
                        <a:stretch>
                          <a:fillRect/>
                        </a:stretch>
                      </pic:blipFill>
                      <pic:spPr bwMode="auto">
                        <a:xfrm>
                          <a:off x="0" y="0"/>
                          <a:ext cx="552450" cy="771525"/>
                        </a:xfrm>
                        <a:prstGeom prst="rect">
                          <a:avLst/>
                        </a:prstGeom>
                        <a:noFill/>
                        <a:ln w="9525">
                          <a:noFill/>
                          <a:miter lim="800000"/>
                          <a:headEnd/>
                          <a:tailEnd/>
                        </a:ln>
                      </pic:spPr>
                    </pic:pic>
                  </a:graphicData>
                </a:graphic>
              </wp:inline>
            </w:drawing>
          </w:r>
        </w:p>
      </w:tc>
      <w:tc>
        <w:tcPr>
          <w:tcW w:w="3474" w:type="dxa"/>
        </w:tcPr>
        <w:p w:rsidR="005E06C9" w:rsidRDefault="00E26C0A" w:rsidP="00E25BBC">
          <w:pPr>
            <w:pStyle w:val="Header"/>
            <w:jc w:val="center"/>
            <w:rPr>
              <w:rtl/>
            </w:rPr>
          </w:pPr>
        </w:p>
        <w:p w:rsidR="005E06C9" w:rsidRPr="004C4A37" w:rsidRDefault="00523AFA" w:rsidP="00E25BBC">
          <w:pPr>
            <w:pStyle w:val="Header"/>
            <w:ind w:left="-1"/>
            <w:jc w:val="center"/>
            <w:rPr>
              <w:rFonts w:cs="Simplified Arabic"/>
              <w:b/>
              <w:bCs/>
              <w:sz w:val="28"/>
              <w:szCs w:val="28"/>
              <w:rtl/>
            </w:rPr>
          </w:pPr>
          <w:r w:rsidRPr="004C4A37">
            <w:rPr>
              <w:rFonts w:cs="Simplified Arabic" w:hint="cs"/>
              <w:b/>
              <w:bCs/>
              <w:sz w:val="28"/>
              <w:szCs w:val="28"/>
              <w:rtl/>
            </w:rPr>
            <w:t>دولة فلسطين</w:t>
          </w:r>
        </w:p>
        <w:p w:rsidR="005E06C9" w:rsidRPr="008605E6" w:rsidRDefault="00523AFA" w:rsidP="00E25BBC">
          <w:pPr>
            <w:pStyle w:val="Header"/>
            <w:jc w:val="center"/>
            <w:rPr>
              <w:sz w:val="2"/>
              <w:szCs w:val="2"/>
              <w:rtl/>
            </w:rPr>
          </w:pPr>
          <w:r w:rsidRPr="004C4A37">
            <w:rPr>
              <w:rFonts w:cs="Simplified Arabic" w:hint="cs"/>
              <w:b/>
              <w:bCs/>
              <w:sz w:val="24"/>
              <w:szCs w:val="24"/>
              <w:rtl/>
            </w:rPr>
            <w:t>الجهاز المركزي للإحصاء الفلسطيني</w:t>
          </w:r>
        </w:p>
      </w:tc>
      <w:tc>
        <w:tcPr>
          <w:tcW w:w="3474" w:type="dxa"/>
        </w:tcPr>
        <w:p w:rsidR="005E06C9" w:rsidRDefault="00523AFA" w:rsidP="00AD78A2">
          <w:pPr>
            <w:pStyle w:val="Header"/>
            <w:jc w:val="right"/>
            <w:rPr>
              <w:noProof/>
              <w:snapToGrid/>
            </w:rPr>
          </w:pPr>
          <w:r>
            <w:rPr>
              <w:noProof/>
              <w:snapToGrid/>
            </w:rPr>
            <w:drawing>
              <wp:inline distT="0" distB="0" distL="0" distR="0">
                <wp:extent cx="590550" cy="885825"/>
                <wp:effectExtent l="19050" t="0" r="0" b="0"/>
                <wp:docPr id="7" name="Picture 5" descr="PCBS Census 2017-High 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BS Census 2017-High Res.png"/>
                        <pic:cNvPicPr/>
                      </pic:nvPicPr>
                      <pic:blipFill>
                        <a:blip r:embed="rId2"/>
                        <a:stretch>
                          <a:fillRect/>
                        </a:stretch>
                      </pic:blipFill>
                      <pic:spPr>
                        <a:xfrm>
                          <a:off x="0" y="0"/>
                          <a:ext cx="590668" cy="886001"/>
                        </a:xfrm>
                        <a:prstGeom prst="rect">
                          <a:avLst/>
                        </a:prstGeom>
                      </pic:spPr>
                    </pic:pic>
                  </a:graphicData>
                </a:graphic>
              </wp:inline>
            </w:drawing>
          </w:r>
        </w:p>
      </w:tc>
    </w:tr>
  </w:tbl>
  <w:p w:rsidR="00F845C5" w:rsidRDefault="00E26C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bidiVisual/>
      <w:tblW w:w="0" w:type="auto"/>
      <w:tblBorders>
        <w:bottom w:val="single" w:sz="4" w:space="0" w:color="auto"/>
      </w:tblBorders>
      <w:tblLook w:val="04A0"/>
    </w:tblPr>
    <w:tblGrid>
      <w:gridCol w:w="3473"/>
      <w:gridCol w:w="3474"/>
      <w:gridCol w:w="3474"/>
    </w:tblGrid>
    <w:tr w:rsidR="00F845C5" w:rsidTr="00B10EE0">
      <w:tc>
        <w:tcPr>
          <w:tcW w:w="3473" w:type="dxa"/>
          <w:vAlign w:val="center"/>
        </w:tcPr>
        <w:p w:rsidR="00F845C5" w:rsidRDefault="00523AFA" w:rsidP="00B10EE0">
          <w:pPr>
            <w:pStyle w:val="Header"/>
            <w:ind w:left="-1"/>
            <w:jc w:val="center"/>
            <w:rPr>
              <w:rFonts w:cs="Simplified Arabic"/>
              <w:b/>
              <w:bCs/>
              <w:sz w:val="28"/>
              <w:szCs w:val="28"/>
              <w:rtl/>
            </w:rPr>
          </w:pPr>
          <w:r>
            <w:rPr>
              <w:rFonts w:cs="Simplified Arabic" w:hint="cs"/>
              <w:b/>
              <w:bCs/>
              <w:sz w:val="28"/>
              <w:szCs w:val="28"/>
              <w:rtl/>
            </w:rPr>
            <w:t>فلسطين</w:t>
          </w:r>
        </w:p>
        <w:p w:rsidR="00F845C5" w:rsidRDefault="00523AFA" w:rsidP="00B10EE0">
          <w:pPr>
            <w:pStyle w:val="Header"/>
            <w:jc w:val="center"/>
            <w:rPr>
              <w:rFonts w:cs="Simplified Arabic"/>
              <w:b/>
              <w:bCs/>
              <w:sz w:val="24"/>
              <w:szCs w:val="24"/>
              <w:rtl/>
            </w:rPr>
          </w:pPr>
          <w:r>
            <w:rPr>
              <w:rFonts w:cs="Simplified Arabic" w:hint="cs"/>
              <w:b/>
              <w:bCs/>
              <w:sz w:val="24"/>
              <w:szCs w:val="24"/>
              <w:rtl/>
            </w:rPr>
            <w:t>الجهاز المركزي للإحصاء الفلسطيني</w:t>
          </w:r>
        </w:p>
      </w:tc>
      <w:tc>
        <w:tcPr>
          <w:tcW w:w="3474" w:type="dxa"/>
        </w:tcPr>
        <w:p w:rsidR="00F845C5" w:rsidRDefault="00523AFA" w:rsidP="00B10EE0">
          <w:pPr>
            <w:pStyle w:val="Header"/>
            <w:rPr>
              <w:rtl/>
            </w:rPr>
          </w:pPr>
          <w:r>
            <w:rPr>
              <w:noProof/>
              <w:snapToGrid/>
              <w:rtl/>
            </w:rPr>
            <w:drawing>
              <wp:anchor distT="0" distB="0" distL="114300" distR="114300" simplePos="0" relativeHeight="251659264" behindDoc="0" locked="0" layoutInCell="1" allowOverlap="1">
                <wp:simplePos x="0" y="0"/>
                <wp:positionH relativeFrom="column">
                  <wp:posOffset>733425</wp:posOffset>
                </wp:positionH>
                <wp:positionV relativeFrom="paragraph">
                  <wp:posOffset>635</wp:posOffset>
                </wp:positionV>
                <wp:extent cx="425450" cy="602615"/>
                <wp:effectExtent l="1905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425450" cy="602615"/>
                        </a:xfrm>
                        <a:prstGeom prst="rect">
                          <a:avLst/>
                        </a:prstGeom>
                        <a:noFill/>
                        <a:ln w="9525">
                          <a:noFill/>
                          <a:miter lim="800000"/>
                          <a:headEnd/>
                          <a:tailEnd/>
                        </a:ln>
                      </pic:spPr>
                    </pic:pic>
                  </a:graphicData>
                </a:graphic>
              </wp:anchor>
            </w:drawing>
          </w:r>
        </w:p>
      </w:tc>
      <w:tc>
        <w:tcPr>
          <w:tcW w:w="3474" w:type="dxa"/>
          <w:vAlign w:val="center"/>
        </w:tcPr>
        <w:p w:rsidR="00F845C5" w:rsidRDefault="00523AFA" w:rsidP="00B10EE0">
          <w:pPr>
            <w:pStyle w:val="Header"/>
            <w:jc w:val="right"/>
            <w:rPr>
              <w:rFonts w:cs="Simplified Arabic"/>
              <w:sz w:val="22"/>
              <w:szCs w:val="22"/>
              <w:rtl/>
            </w:rPr>
          </w:pPr>
          <w:r>
            <w:rPr>
              <w:rFonts w:cs="Simplified Arabic" w:hint="cs"/>
              <w:sz w:val="22"/>
              <w:szCs w:val="22"/>
              <w:rtl/>
            </w:rPr>
            <w:t xml:space="preserve"> صدر بتاريخ: 19/06/2011</w:t>
          </w:r>
        </w:p>
      </w:tc>
    </w:tr>
  </w:tbl>
  <w:p w:rsidR="00F845C5" w:rsidRPr="00237AA1" w:rsidRDefault="00E26C0A" w:rsidP="00237AA1">
    <w:pPr>
      <w:pStyle w:val="Header"/>
      <w:rPr>
        <w:rtl/>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933896"/>
    <w:rsid w:val="00030937"/>
    <w:rsid w:val="00071943"/>
    <w:rsid w:val="001437EF"/>
    <w:rsid w:val="003A5104"/>
    <w:rsid w:val="00523AFA"/>
    <w:rsid w:val="005F41CD"/>
    <w:rsid w:val="006058FF"/>
    <w:rsid w:val="007E0F17"/>
    <w:rsid w:val="00845843"/>
    <w:rsid w:val="00933896"/>
    <w:rsid w:val="009618FA"/>
    <w:rsid w:val="00A350D1"/>
    <w:rsid w:val="00AB0933"/>
    <w:rsid w:val="00AD78A2"/>
    <w:rsid w:val="00BD1620"/>
    <w:rsid w:val="00E26C0A"/>
    <w:rsid w:val="00F57F9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896"/>
    <w:pPr>
      <w:bidi/>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933896"/>
    <w:pPr>
      <w:keepNext/>
      <w:outlineLvl w:val="0"/>
    </w:pPr>
    <w:rPr>
      <w:b/>
      <w:bCs/>
    </w:rPr>
  </w:style>
  <w:style w:type="paragraph" w:styleId="Heading4">
    <w:name w:val="heading 4"/>
    <w:basedOn w:val="Normal"/>
    <w:next w:val="Normal"/>
    <w:link w:val="Heading4Char"/>
    <w:qFormat/>
    <w:rsid w:val="00933896"/>
    <w:pPr>
      <w:keepNext/>
      <w:jc w:val="lowKashida"/>
      <w:outlineLvl w:val="3"/>
    </w:pPr>
    <w:rPr>
      <w:rFonts w:cs="Simplified Arab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3896"/>
    <w:rPr>
      <w:rFonts w:ascii="Times New Roman" w:eastAsia="Times New Roman" w:hAnsi="Times New Roman" w:cs="Times New Roman"/>
      <w:b/>
      <w:bCs/>
      <w:sz w:val="24"/>
      <w:szCs w:val="24"/>
      <w:lang w:eastAsia="ar-SA"/>
    </w:rPr>
  </w:style>
  <w:style w:type="character" w:customStyle="1" w:styleId="Heading4Char">
    <w:name w:val="Heading 4 Char"/>
    <w:basedOn w:val="DefaultParagraphFont"/>
    <w:link w:val="Heading4"/>
    <w:rsid w:val="00933896"/>
    <w:rPr>
      <w:rFonts w:ascii="Times New Roman" w:eastAsia="Times New Roman" w:hAnsi="Times New Roman" w:cs="Simplified Arabic"/>
      <w:b/>
      <w:bCs/>
      <w:sz w:val="24"/>
      <w:szCs w:val="24"/>
      <w:lang w:eastAsia="ar-SA"/>
    </w:rPr>
  </w:style>
  <w:style w:type="paragraph" w:styleId="BodyText">
    <w:name w:val="Body Text"/>
    <w:basedOn w:val="Normal"/>
    <w:link w:val="BodyTextChar"/>
    <w:semiHidden/>
    <w:rsid w:val="00933896"/>
    <w:pPr>
      <w:jc w:val="lowKashida"/>
    </w:pPr>
    <w:rPr>
      <w:rFonts w:cs="Simplified Arabic"/>
      <w:snapToGrid w:val="0"/>
      <w:sz w:val="20"/>
      <w:szCs w:val="20"/>
      <w:lang w:eastAsia="en-US"/>
    </w:rPr>
  </w:style>
  <w:style w:type="character" w:customStyle="1" w:styleId="BodyTextChar">
    <w:name w:val="Body Text Char"/>
    <w:basedOn w:val="DefaultParagraphFont"/>
    <w:link w:val="BodyText"/>
    <w:semiHidden/>
    <w:rsid w:val="00933896"/>
    <w:rPr>
      <w:rFonts w:ascii="Times New Roman" w:eastAsia="Times New Roman" w:hAnsi="Times New Roman" w:cs="Simplified Arabic"/>
      <w:snapToGrid w:val="0"/>
      <w:sz w:val="20"/>
      <w:szCs w:val="20"/>
    </w:rPr>
  </w:style>
  <w:style w:type="paragraph" w:styleId="Header">
    <w:name w:val="header"/>
    <w:basedOn w:val="Normal"/>
    <w:link w:val="HeaderChar"/>
    <w:uiPriority w:val="99"/>
    <w:rsid w:val="00933896"/>
    <w:pPr>
      <w:tabs>
        <w:tab w:val="center" w:pos="4320"/>
        <w:tab w:val="right" w:pos="8640"/>
      </w:tabs>
    </w:pPr>
    <w:rPr>
      <w:rFonts w:cs="Traditional Arabic"/>
      <w:snapToGrid w:val="0"/>
      <w:sz w:val="20"/>
      <w:szCs w:val="20"/>
      <w:lang w:eastAsia="en-US"/>
    </w:rPr>
  </w:style>
  <w:style w:type="character" w:customStyle="1" w:styleId="HeaderChar">
    <w:name w:val="Header Char"/>
    <w:basedOn w:val="DefaultParagraphFont"/>
    <w:link w:val="Header"/>
    <w:uiPriority w:val="99"/>
    <w:rsid w:val="00933896"/>
    <w:rPr>
      <w:rFonts w:ascii="Times New Roman" w:eastAsia="Times New Roman" w:hAnsi="Times New Roman" w:cs="Traditional Arabic"/>
      <w:snapToGrid w:val="0"/>
      <w:sz w:val="20"/>
      <w:szCs w:val="20"/>
    </w:rPr>
  </w:style>
  <w:style w:type="paragraph" w:styleId="Footer">
    <w:name w:val="footer"/>
    <w:basedOn w:val="Normal"/>
    <w:link w:val="FooterChar"/>
    <w:uiPriority w:val="99"/>
    <w:rsid w:val="00933896"/>
    <w:pPr>
      <w:tabs>
        <w:tab w:val="center" w:pos="4153"/>
        <w:tab w:val="right" w:pos="8306"/>
      </w:tabs>
    </w:pPr>
  </w:style>
  <w:style w:type="character" w:customStyle="1" w:styleId="FooterChar">
    <w:name w:val="Footer Char"/>
    <w:basedOn w:val="DefaultParagraphFont"/>
    <w:link w:val="Footer"/>
    <w:uiPriority w:val="99"/>
    <w:rsid w:val="00933896"/>
    <w:rPr>
      <w:rFonts w:ascii="Times New Roman" w:eastAsia="Times New Roman" w:hAnsi="Times New Roman" w:cs="Times New Roman"/>
      <w:sz w:val="24"/>
      <w:szCs w:val="24"/>
      <w:lang w:eastAsia="ar-SA"/>
    </w:rPr>
  </w:style>
  <w:style w:type="character" w:styleId="PageNumber">
    <w:name w:val="page number"/>
    <w:basedOn w:val="DefaultParagraphFont"/>
    <w:semiHidden/>
    <w:rsid w:val="00933896"/>
  </w:style>
  <w:style w:type="table" w:styleId="TableGrid">
    <w:name w:val="Table Grid"/>
    <w:basedOn w:val="TableNormal"/>
    <w:uiPriority w:val="59"/>
    <w:rsid w:val="0093389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33896"/>
    <w:rPr>
      <w:rFonts w:ascii="Tahoma" w:hAnsi="Tahoma" w:cs="Tahoma"/>
      <w:sz w:val="16"/>
      <w:szCs w:val="16"/>
    </w:rPr>
  </w:style>
  <w:style w:type="character" w:customStyle="1" w:styleId="BalloonTextChar">
    <w:name w:val="Balloon Text Char"/>
    <w:basedOn w:val="DefaultParagraphFont"/>
    <w:link w:val="BalloonText"/>
    <w:uiPriority w:val="99"/>
    <w:semiHidden/>
    <w:rsid w:val="00933896"/>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204986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title>
      <c:tx>
        <c:rich>
          <a:bodyPr/>
          <a:lstStyle/>
          <a:p>
            <a:pPr>
              <a:defRPr sz="900" b="0" i="0" u="none" strike="noStrike" baseline="0">
                <a:solidFill>
                  <a:srgbClr val="000000"/>
                </a:solidFill>
                <a:latin typeface="Arial"/>
                <a:ea typeface="Arial"/>
                <a:cs typeface="Arial"/>
              </a:defRPr>
            </a:pPr>
            <a:r>
              <a:rPr lang="ar-SA"/>
              <a:t>
  </a:t>
            </a:r>
          </a:p>
        </c:rich>
      </c:tx>
      <c:layout>
        <c:manualLayout>
          <c:xMode val="edge"/>
          <c:yMode val="edge"/>
          <c:x val="0.49659854508398532"/>
          <c:y val="2.1333445919796662E-2"/>
        </c:manualLayout>
      </c:layout>
      <c:spPr>
        <a:noFill/>
        <a:ln w="25397">
          <a:noFill/>
        </a:ln>
      </c:spPr>
    </c:title>
    <c:view3D>
      <c:rotX val="0"/>
      <c:hPercent val="163"/>
      <c:rotY val="0"/>
      <c:depthPercent val="1710"/>
      <c:rAngAx val="1"/>
    </c:view3D>
    <c:floor>
      <c:spPr>
        <a:solidFill>
          <a:srgbClr val="C0C0C0"/>
        </a:solidFill>
        <a:ln w="3175">
          <a:solidFill>
            <a:srgbClr val="000000"/>
          </a:solidFill>
          <a:prstDash val="solid"/>
        </a:ln>
      </c:spPr>
    </c:floor>
    <c:sideWall>
      <c:spPr>
        <a:noFill/>
        <a:ln>
          <a:noFill/>
        </a:ln>
      </c:spPr>
    </c:sideWall>
    <c:backWall>
      <c:spPr>
        <a:noFill/>
        <a:ln>
          <a:noFill/>
        </a:ln>
      </c:spPr>
    </c:backWall>
    <c:plotArea>
      <c:layout>
        <c:manualLayout>
          <c:layoutTarget val="inner"/>
          <c:xMode val="edge"/>
          <c:yMode val="edge"/>
          <c:x val="0.17205487266913877"/>
          <c:y val="2.1070681954229412E-2"/>
          <c:w val="0.80267132783633721"/>
          <c:h val="0.8507079246673116"/>
        </c:manualLayout>
      </c:layout>
      <c:bar3DChart>
        <c:barDir val="bar"/>
        <c:grouping val="stacked"/>
        <c:ser>
          <c:idx val="0"/>
          <c:order val="0"/>
          <c:tx>
            <c:strRef>
              <c:f>Sheet1!$B$6:$B$6</c:f>
              <c:strCache>
                <c:ptCount val="1"/>
                <c:pt idx="0">
                  <c:v>اناث</c:v>
                </c:pt>
              </c:strCache>
            </c:strRef>
          </c:tx>
          <c:spPr>
            <a:solidFill>
              <a:srgbClr val="CC9900"/>
            </a:solidFill>
            <a:ln w="12699">
              <a:solidFill>
                <a:srgbClr val="000000"/>
              </a:solidFill>
              <a:prstDash val="solid"/>
            </a:ln>
          </c:spPr>
          <c:dPt>
            <c:idx val="11"/>
            <c:spPr>
              <a:solidFill>
                <a:srgbClr val="663300"/>
              </a:solidFill>
              <a:ln w="12699">
                <a:solidFill>
                  <a:srgbClr val="000000"/>
                </a:solidFill>
                <a:prstDash val="solid"/>
              </a:ln>
            </c:spPr>
          </c:dPt>
          <c:dPt>
            <c:idx val="12"/>
            <c:spPr>
              <a:solidFill>
                <a:srgbClr val="663300"/>
              </a:solidFill>
              <a:ln w="12699">
                <a:solidFill>
                  <a:srgbClr val="000000"/>
                </a:solidFill>
                <a:prstDash val="solid"/>
              </a:ln>
            </c:spPr>
          </c:dPt>
          <c:dPt>
            <c:idx val="13"/>
            <c:spPr>
              <a:solidFill>
                <a:srgbClr val="663300"/>
              </a:solidFill>
              <a:ln w="12699">
                <a:solidFill>
                  <a:srgbClr val="000000"/>
                </a:solidFill>
                <a:prstDash val="solid"/>
              </a:ln>
            </c:spPr>
          </c:dPt>
          <c:cat>
            <c:strRef>
              <c:f>Sheet1!$A$7:$A$23</c:f>
              <c:strCache>
                <c:ptCount val="17"/>
                <c:pt idx="0">
                  <c:v>+80</c:v>
                </c:pt>
                <c:pt idx="1">
                  <c:v>79-75</c:v>
                </c:pt>
                <c:pt idx="2">
                  <c:v>74-70</c:v>
                </c:pt>
                <c:pt idx="3">
                  <c:v>69-65</c:v>
                </c:pt>
                <c:pt idx="4">
                  <c:v>64-60</c:v>
                </c:pt>
                <c:pt idx="5">
                  <c:v>59-55</c:v>
                </c:pt>
                <c:pt idx="6">
                  <c:v>54-50</c:v>
                </c:pt>
                <c:pt idx="7">
                  <c:v>49-45</c:v>
                </c:pt>
                <c:pt idx="8">
                  <c:v>44-40</c:v>
                </c:pt>
                <c:pt idx="9">
                  <c:v>39-35</c:v>
                </c:pt>
                <c:pt idx="10">
                  <c:v>34-30</c:v>
                </c:pt>
                <c:pt idx="11">
                  <c:v>29-25</c:v>
                </c:pt>
                <c:pt idx="12">
                  <c:v>24-20</c:v>
                </c:pt>
                <c:pt idx="13">
                  <c:v>19-15</c:v>
                </c:pt>
                <c:pt idx="14">
                  <c:v>14-10</c:v>
                </c:pt>
                <c:pt idx="15">
                  <c:v>9-5</c:v>
                </c:pt>
                <c:pt idx="16">
                  <c:v>4-0</c:v>
                </c:pt>
              </c:strCache>
            </c:strRef>
          </c:cat>
          <c:val>
            <c:numRef>
              <c:f>Sheet1!$B$7:$B$23</c:f>
              <c:numCache>
                <c:formatCode>#,##0.0_-;[Red]#,##0.0</c:formatCode>
                <c:ptCount val="17"/>
                <c:pt idx="0">
                  <c:v>-14.162000000000004</c:v>
                </c:pt>
                <c:pt idx="1">
                  <c:v>-14.983000000000002</c:v>
                </c:pt>
                <c:pt idx="2">
                  <c:v>-22.241999999999987</c:v>
                </c:pt>
                <c:pt idx="3">
                  <c:v>-29.927999999999987</c:v>
                </c:pt>
                <c:pt idx="4">
                  <c:v>-41.846999999999994</c:v>
                </c:pt>
                <c:pt idx="5">
                  <c:v>-60.053000000000004</c:v>
                </c:pt>
                <c:pt idx="6">
                  <c:v>-78.084000000000003</c:v>
                </c:pt>
                <c:pt idx="7">
                  <c:v>-95.619</c:v>
                </c:pt>
                <c:pt idx="8">
                  <c:v>-114.74900000000002</c:v>
                </c:pt>
                <c:pt idx="9">
                  <c:v>-133.999</c:v>
                </c:pt>
                <c:pt idx="10">
                  <c:v>-165</c:v>
                </c:pt>
                <c:pt idx="11">
                  <c:v>-212.30800000000067</c:v>
                </c:pt>
                <c:pt idx="12">
                  <c:v>-247.38900000000001</c:v>
                </c:pt>
                <c:pt idx="13">
                  <c:v>-261.49400000000003</c:v>
                </c:pt>
                <c:pt idx="14">
                  <c:v>-278.82100000000003</c:v>
                </c:pt>
                <c:pt idx="15">
                  <c:v>-307.839</c:v>
                </c:pt>
                <c:pt idx="16">
                  <c:v>-356.79899999999674</c:v>
                </c:pt>
              </c:numCache>
            </c:numRef>
          </c:val>
        </c:ser>
        <c:ser>
          <c:idx val="1"/>
          <c:order val="1"/>
          <c:tx>
            <c:strRef>
              <c:f>Sheet1!$C$6:$C$6</c:f>
              <c:strCache>
                <c:ptCount val="1"/>
                <c:pt idx="0">
                  <c:v>ذكور</c:v>
                </c:pt>
              </c:strCache>
            </c:strRef>
          </c:tx>
          <c:spPr>
            <a:solidFill>
              <a:srgbClr val="CCECFF"/>
            </a:solidFill>
            <a:ln w="12699">
              <a:solidFill>
                <a:srgbClr val="000000"/>
              </a:solidFill>
              <a:prstDash val="solid"/>
            </a:ln>
          </c:spPr>
          <c:dPt>
            <c:idx val="11"/>
            <c:spPr>
              <a:solidFill>
                <a:srgbClr val="1F497D">
                  <a:lumMod val="75000"/>
                </a:srgbClr>
              </a:solidFill>
              <a:ln w="12699">
                <a:solidFill>
                  <a:srgbClr val="000000"/>
                </a:solidFill>
                <a:prstDash val="solid"/>
              </a:ln>
            </c:spPr>
          </c:dPt>
          <c:dPt>
            <c:idx val="12"/>
            <c:spPr>
              <a:solidFill>
                <a:srgbClr val="1F497D">
                  <a:lumMod val="75000"/>
                </a:srgbClr>
              </a:solidFill>
              <a:ln w="12699">
                <a:solidFill>
                  <a:srgbClr val="000000"/>
                </a:solidFill>
                <a:prstDash val="solid"/>
              </a:ln>
            </c:spPr>
          </c:dPt>
          <c:dPt>
            <c:idx val="13"/>
            <c:spPr>
              <a:solidFill>
                <a:srgbClr val="1F497D">
                  <a:lumMod val="75000"/>
                </a:srgbClr>
              </a:solidFill>
              <a:ln w="12699">
                <a:solidFill>
                  <a:srgbClr val="000000"/>
                </a:solidFill>
                <a:prstDash val="solid"/>
              </a:ln>
            </c:spPr>
          </c:dPt>
          <c:cat>
            <c:strRef>
              <c:f>Sheet1!$A$7:$A$23</c:f>
              <c:strCache>
                <c:ptCount val="17"/>
                <c:pt idx="0">
                  <c:v>+80</c:v>
                </c:pt>
                <c:pt idx="1">
                  <c:v>79-75</c:v>
                </c:pt>
                <c:pt idx="2">
                  <c:v>74-70</c:v>
                </c:pt>
                <c:pt idx="3">
                  <c:v>69-65</c:v>
                </c:pt>
                <c:pt idx="4">
                  <c:v>64-60</c:v>
                </c:pt>
                <c:pt idx="5">
                  <c:v>59-55</c:v>
                </c:pt>
                <c:pt idx="6">
                  <c:v>54-50</c:v>
                </c:pt>
                <c:pt idx="7">
                  <c:v>49-45</c:v>
                </c:pt>
                <c:pt idx="8">
                  <c:v>44-40</c:v>
                </c:pt>
                <c:pt idx="9">
                  <c:v>39-35</c:v>
                </c:pt>
                <c:pt idx="10">
                  <c:v>34-30</c:v>
                </c:pt>
                <c:pt idx="11">
                  <c:v>29-25</c:v>
                </c:pt>
                <c:pt idx="12">
                  <c:v>24-20</c:v>
                </c:pt>
                <c:pt idx="13">
                  <c:v>19-15</c:v>
                </c:pt>
                <c:pt idx="14">
                  <c:v>14-10</c:v>
                </c:pt>
                <c:pt idx="15">
                  <c:v>9-5</c:v>
                </c:pt>
                <c:pt idx="16">
                  <c:v>4-0</c:v>
                </c:pt>
              </c:strCache>
            </c:strRef>
          </c:cat>
          <c:val>
            <c:numRef>
              <c:f>Sheet1!$C$7:$C$23</c:f>
              <c:numCache>
                <c:formatCode>0.0</c:formatCode>
                <c:ptCount val="17"/>
                <c:pt idx="0">
                  <c:v>8.9040000000000035</c:v>
                </c:pt>
                <c:pt idx="1">
                  <c:v>10.102</c:v>
                </c:pt>
                <c:pt idx="2">
                  <c:v>17.206</c:v>
                </c:pt>
                <c:pt idx="3">
                  <c:v>27.382999999999889</c:v>
                </c:pt>
                <c:pt idx="4">
                  <c:v>42.376000000000005</c:v>
                </c:pt>
                <c:pt idx="5">
                  <c:v>63.910999999999994</c:v>
                </c:pt>
                <c:pt idx="6">
                  <c:v>83.35799999999999</c:v>
                </c:pt>
                <c:pt idx="7">
                  <c:v>98.772999999999982</c:v>
                </c:pt>
                <c:pt idx="8">
                  <c:v>117.634</c:v>
                </c:pt>
                <c:pt idx="9">
                  <c:v>139.489</c:v>
                </c:pt>
                <c:pt idx="10">
                  <c:v>172.31700000000001</c:v>
                </c:pt>
                <c:pt idx="11">
                  <c:v>220.791</c:v>
                </c:pt>
                <c:pt idx="12">
                  <c:v>257.29099999999869</c:v>
                </c:pt>
                <c:pt idx="13">
                  <c:v>272.77599999999899</c:v>
                </c:pt>
                <c:pt idx="14">
                  <c:v>290.58099999999899</c:v>
                </c:pt>
                <c:pt idx="15">
                  <c:v>320.78799999999899</c:v>
                </c:pt>
                <c:pt idx="16">
                  <c:v>373.17200000000008</c:v>
                </c:pt>
              </c:numCache>
            </c:numRef>
          </c:val>
        </c:ser>
        <c:gapWidth val="0"/>
        <c:gapDepth val="0"/>
        <c:shape val="box"/>
        <c:axId val="131508096"/>
        <c:axId val="131653632"/>
        <c:axId val="0"/>
      </c:bar3DChart>
      <c:catAx>
        <c:axId val="131508096"/>
        <c:scaling>
          <c:orientation val="maxMin"/>
        </c:scaling>
        <c:axPos val="l"/>
        <c:title>
          <c:tx>
            <c:rich>
              <a:bodyPr/>
              <a:lstStyle/>
              <a:p>
                <a:pPr>
                  <a:defRPr sz="700" b="1" i="0" u="none" strike="noStrike" baseline="0">
                    <a:solidFill>
                      <a:srgbClr val="000000"/>
                    </a:solidFill>
                    <a:latin typeface="Arial"/>
                    <a:ea typeface="Arial"/>
                    <a:cs typeface="Arial"/>
                  </a:defRPr>
                </a:pPr>
                <a:r>
                  <a:rPr lang="ar-SA" sz="700"/>
                  <a:t> الفئة العمرية   </a:t>
                </a:r>
              </a:p>
            </c:rich>
          </c:tx>
          <c:layout>
            <c:manualLayout>
              <c:xMode val="edge"/>
              <c:yMode val="edge"/>
              <c:x val="1.5944372625063988E-2"/>
              <c:y val="0.30666666666668296"/>
            </c:manualLayout>
          </c:layout>
          <c:spPr>
            <a:noFill/>
            <a:ln w="25397">
              <a:noFill/>
            </a:ln>
          </c:spPr>
        </c:title>
        <c:numFmt formatCode="0.00" sourceLinked="0"/>
        <c:tickLblPos val="low"/>
        <c:spPr>
          <a:ln w="3175">
            <a:solidFill>
              <a:srgbClr val="000000"/>
            </a:solidFill>
            <a:prstDash val="solid"/>
          </a:ln>
        </c:spPr>
        <c:txPr>
          <a:bodyPr rot="0" vert="horz"/>
          <a:lstStyle/>
          <a:p>
            <a:pPr rtl="1">
              <a:defRPr sz="700" b="0" i="0" u="none" strike="noStrike" baseline="0">
                <a:solidFill>
                  <a:srgbClr val="000000"/>
                </a:solidFill>
                <a:latin typeface="Arial"/>
                <a:ea typeface="Arial"/>
                <a:cs typeface="Arial"/>
              </a:defRPr>
            </a:pPr>
            <a:endParaRPr lang="ar-SA"/>
          </a:p>
        </c:txPr>
        <c:crossAx val="131653632"/>
        <c:crossesAt val="400"/>
        <c:lblAlgn val="ctr"/>
        <c:lblOffset val="100"/>
        <c:tickLblSkip val="1"/>
        <c:tickMarkSkip val="1"/>
      </c:catAx>
      <c:valAx>
        <c:axId val="131653632"/>
        <c:scaling>
          <c:orientation val="minMax"/>
          <c:max val="400"/>
          <c:min val="-400"/>
        </c:scaling>
        <c:axPos val="b"/>
        <c:majorGridlines>
          <c:spPr>
            <a:ln w="3175">
              <a:solidFill>
                <a:srgbClr val="FFFFFF"/>
              </a:solidFill>
              <a:prstDash val="solid"/>
            </a:ln>
          </c:spPr>
        </c:majorGridlines>
        <c:title>
          <c:tx>
            <c:rich>
              <a:bodyPr/>
              <a:lstStyle/>
              <a:p>
                <a:pPr>
                  <a:defRPr sz="700" b="1" i="0" u="none" strike="noStrike" baseline="0">
                    <a:solidFill>
                      <a:srgbClr val="000000"/>
                    </a:solidFill>
                    <a:latin typeface="Arial"/>
                    <a:ea typeface="Arial"/>
                    <a:cs typeface="Arial"/>
                  </a:defRPr>
                </a:pPr>
                <a:r>
                  <a:rPr lang="ar-SA" sz="700"/>
                  <a:t>عدد السكان بالآلاف</a:t>
                </a:r>
              </a:p>
            </c:rich>
          </c:tx>
          <c:layout>
            <c:manualLayout>
              <c:xMode val="edge"/>
              <c:yMode val="edge"/>
              <c:x val="0.41637058952299277"/>
              <c:y val="0.86103707945597763"/>
            </c:manualLayout>
          </c:layout>
          <c:spPr>
            <a:noFill/>
            <a:ln w="25397">
              <a:noFill/>
            </a:ln>
          </c:spPr>
        </c:title>
        <c:numFmt formatCode="#,##0_-;[Red]#,##0" sourceLinked="0"/>
        <c:tickLblPos val="nextTo"/>
        <c:spPr>
          <a:ln w="3175">
            <a:solidFill>
              <a:srgbClr val="000000"/>
            </a:solidFill>
            <a:prstDash val="solid"/>
          </a:ln>
        </c:spPr>
        <c:txPr>
          <a:bodyPr rot="-5400000" vert="horz"/>
          <a:lstStyle/>
          <a:p>
            <a:pPr>
              <a:defRPr sz="700" b="0" i="0" u="none" strike="noStrike" baseline="0">
                <a:solidFill>
                  <a:srgbClr val="000000"/>
                </a:solidFill>
                <a:latin typeface="Arial"/>
                <a:ea typeface="Arial"/>
                <a:cs typeface="Arial"/>
              </a:defRPr>
            </a:pPr>
            <a:endParaRPr lang="ar-SA"/>
          </a:p>
        </c:txPr>
        <c:crossAx val="131508096"/>
        <c:crosses val="max"/>
        <c:crossBetween val="between"/>
        <c:majorUnit val="50"/>
        <c:minorUnit val="10"/>
      </c:valAx>
      <c:spPr>
        <a:noFill/>
        <a:ln w="3175">
          <a:solidFill>
            <a:srgbClr val="FFFFFF"/>
          </a:solidFill>
          <a:prstDash val="solid"/>
        </a:ln>
      </c:spPr>
    </c:plotArea>
    <c:legend>
      <c:legendPos val="r"/>
      <c:layout>
        <c:manualLayout>
          <c:xMode val="edge"/>
          <c:yMode val="edge"/>
          <c:x val="0.70918378269600468"/>
          <c:y val="9.6000225172925752E-2"/>
          <c:w val="0.12414980753833171"/>
          <c:h val="9.8666835546370554E-2"/>
        </c:manualLayout>
      </c:layout>
      <c:spPr>
        <a:solidFill>
          <a:srgbClr val="FFFFFF"/>
        </a:solidFill>
        <a:ln w="3175">
          <a:solidFill>
            <a:srgbClr val="FFFFFF"/>
          </a:solidFill>
          <a:prstDash val="solid"/>
        </a:ln>
      </c:spPr>
      <c:txPr>
        <a:bodyPr/>
        <a:lstStyle/>
        <a:p>
          <a:pPr>
            <a:defRPr sz="700" b="0" i="0" u="none" strike="noStrike" baseline="0">
              <a:solidFill>
                <a:srgbClr val="000000"/>
              </a:solidFill>
              <a:latin typeface="Arial"/>
              <a:ea typeface="Arial"/>
              <a:cs typeface="Arial"/>
            </a:defRPr>
          </a:pPr>
          <a:endParaRPr lang="ar-SA"/>
        </a:p>
      </c:txPr>
    </c:legend>
    <c:plotVisOnly val="1"/>
    <c:dispBlanksAs val="gap"/>
  </c:chart>
  <c:spPr>
    <a:solidFill>
      <a:srgbClr val="FFFFFF"/>
    </a:solidFill>
    <a:ln w="3175">
      <a:noFill/>
      <a:prstDash val="solid"/>
    </a:ln>
  </c:spPr>
  <c:txPr>
    <a:bodyPr/>
    <a:lstStyle/>
    <a:p>
      <a:pPr>
        <a:defRPr sz="900" b="0" i="0" u="none" strike="noStrike" baseline="0">
          <a:solidFill>
            <a:srgbClr val="000000"/>
          </a:solidFill>
          <a:latin typeface="Arial"/>
          <a:ea typeface="Arial"/>
          <a:cs typeface="Arial"/>
        </a:defRPr>
      </a:pPr>
      <a:endParaRPr lang="ar-SA"/>
    </a:p>
  </c:txPr>
  <c:externalData r:id="rId2"/>
  <c:userShapes r:id="rId3"/>
</c:chartSpace>
</file>

<file path=word/drawings/drawing1.xml><?xml version="1.0" encoding="utf-8"?>
<c:userShapes xmlns:c="http://schemas.openxmlformats.org/drawingml/2006/chart">
  <cdr:relSizeAnchor xmlns:cdr="http://schemas.openxmlformats.org/drawingml/2006/chartDrawing">
    <cdr:from>
      <cdr:x>0.45075</cdr:x>
      <cdr:y>0.71275</cdr:y>
    </cdr:from>
    <cdr:to>
      <cdr:x>0.60725</cdr:x>
      <cdr:y>0.758</cdr:y>
    </cdr:to>
    <cdr:sp macro="" textlink="">
      <cdr:nvSpPr>
        <cdr:cNvPr id="128001" name="Text Box 1"/>
        <cdr:cNvSpPr txBox="1">
          <a:spLocks xmlns:a="http://schemas.openxmlformats.org/drawingml/2006/main" noChangeArrowheads="1"/>
        </cdr:cNvSpPr>
      </cdr:nvSpPr>
      <cdr:spPr bwMode="auto">
        <a:xfrm xmlns:a="http://schemas.openxmlformats.org/drawingml/2006/main">
          <a:off x="2524516" y="2545854"/>
          <a:ext cx="876509" cy="161627"/>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a:lstStyle xmlns:a="http://schemas.openxmlformats.org/drawingml/2006/main"/>
        <a:p xmlns:a="http://schemas.openxmlformats.org/drawingml/2006/main">
          <a:endParaRPr lang="ar-SA"/>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4</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hbadran</dc:creator>
  <cp:lastModifiedBy>hbadran</cp:lastModifiedBy>
  <cp:revision>3</cp:revision>
  <dcterms:created xsi:type="dcterms:W3CDTF">2017-08-10T05:31:00Z</dcterms:created>
  <dcterms:modified xsi:type="dcterms:W3CDTF">2017-08-10T05:36:00Z</dcterms:modified>
</cp:coreProperties>
</file>