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011" w:rsidRDefault="00D0398E" w:rsidP="00C22011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C22011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الإحصاء الفلسطيني </w:t>
      </w:r>
      <w:r w:rsidR="00055E62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وصندوق الامم المتحدة للسكان </w:t>
      </w:r>
      <w:r w:rsidRPr="00C22011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يستعرض</w:t>
      </w:r>
      <w:r w:rsidR="00055E62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ان</w:t>
      </w:r>
      <w:r w:rsidRPr="00C22011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أوضاع السكان في فلسطين </w:t>
      </w:r>
    </w:p>
    <w:p w:rsidR="002236C2" w:rsidRPr="00C22011" w:rsidRDefault="00D0398E" w:rsidP="00C22011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C22011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بمناسبة اليوم العالمي للسكان، 11/07/</w:t>
      </w:r>
      <w:r w:rsidRPr="00C2201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2021</w:t>
      </w:r>
    </w:p>
    <w:p w:rsidR="00D0398E" w:rsidRPr="00D0398E" w:rsidRDefault="00D0398E" w:rsidP="00C22011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10"/>
          <w:szCs w:val="10"/>
          <w:rtl/>
        </w:rPr>
      </w:pPr>
    </w:p>
    <w:p w:rsidR="00027544" w:rsidRPr="00C22011" w:rsidRDefault="00027544" w:rsidP="00C22011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تحت شعار "</w:t>
      </w:r>
      <w:r w:rsidR="00FC348A"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الحفاظ على</w:t>
      </w:r>
      <w:r w:rsidR="00B93E65"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صحة النساء والفتيات وحقوقهن بالحد من كوفيد-19"</w:t>
      </w:r>
    </w:p>
    <w:p w:rsidR="00C0170F" w:rsidRPr="00D0398E" w:rsidRDefault="00C0170F" w:rsidP="00C22011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10"/>
          <w:szCs w:val="10"/>
          <w:rtl/>
          <w:lang w:bidi="ar-EG"/>
        </w:rPr>
      </w:pPr>
    </w:p>
    <w:p w:rsidR="00B446F3" w:rsidRPr="00C22011" w:rsidRDefault="00027544" w:rsidP="00C22011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يحتفل العالم </w:t>
      </w:r>
      <w:r w:rsidR="00FC348A"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باليوم العالمي للسكان سنويا</w:t>
      </w:r>
      <w:r w:rsidR="00B446F3"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ً </w:t>
      </w:r>
      <w:r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في الحادي عشر </w:t>
      </w:r>
      <w:r w:rsidR="008B40C8"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من تموز منذ عام 1990، و</w:t>
      </w:r>
      <w:r w:rsidR="00B446F3"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ذلك لتعزيز الوعي بقضايا السكان وعلاقته بالبيئة والتنمية، ونظراً لما سببته جائحة كورونا من تداعيات وخسائر فادحة للدول ولت</w:t>
      </w:r>
      <w:r w:rsidR="00195502"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أ</w:t>
      </w:r>
      <w:r w:rsidR="00B446F3"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ثير</w:t>
      </w:r>
      <w:r w:rsidR="00195502"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ه</w:t>
      </w:r>
      <w:r w:rsidR="00B446F3"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المباشر على النساء والفتيات ك</w:t>
      </w:r>
      <w:r w:rsidR="00195502"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ونهن أكثر تعرضاً لمخاطر الفيروس</w:t>
      </w:r>
      <w:r w:rsidR="008B40C8"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.  يحتفل العالم بهذه المناسبة لهذا العام </w:t>
      </w:r>
      <w:r w:rsidR="00195502" w:rsidRPr="00C2201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تحت شعار الحفاظ على صحة النساء والفتيات وحقوقهن بالحد من كوفيد-19.</w:t>
      </w:r>
    </w:p>
    <w:p w:rsidR="00B446F3" w:rsidRDefault="00B446F3" w:rsidP="00D0398E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C22011" w:rsidRPr="00D0398E" w:rsidRDefault="00C22011" w:rsidP="00D0398E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1741D7" w:rsidRPr="00D0398E" w:rsidRDefault="001741D7" w:rsidP="00D0398E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حوالي 13.8 مليون فلسطيني في فلسطين التاريخية والشتات</w:t>
      </w:r>
    </w:p>
    <w:p w:rsidR="00B645F1" w:rsidRPr="00C22011" w:rsidRDefault="00E71102" w:rsidP="009636EF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بناء على التقديرات السكانية التي أعدها الجهاز المركزي للإحصاء الفلسطيني، </w:t>
      </w:r>
      <w:r w:rsidR="00380242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هناك </w:t>
      </w:r>
      <w:r w:rsidR="00E22A97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حوالي </w:t>
      </w:r>
      <w:r w:rsidR="00A973FC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13.</w:t>
      </w:r>
      <w:r w:rsidR="009636EF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8</w:t>
      </w:r>
      <w:r w:rsidR="00E22A97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مليون فلسطيني في العالم</w:t>
      </w:r>
      <w:r w:rsidR="004E40B4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منتصف عام 2021</w:t>
      </w:r>
      <w:r w:rsidR="00E22A97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منهم نحو </w:t>
      </w:r>
      <w:r w:rsidR="00D81E07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5.</w:t>
      </w:r>
      <w:r w:rsidR="009636EF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23</w:t>
      </w:r>
      <w:r w:rsidR="00E22A97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مليون فلسطيني في دولة فلسطين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="00D81E07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2.</w:t>
      </w:r>
      <w:r w:rsidR="009636EF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66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مليون ذكر و2.</w:t>
      </w:r>
      <w:r w:rsidR="009636EF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57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مليون أنثى.  فبلغ عدد سكان الضفة الغربية المقدر حوالي </w:t>
      </w:r>
      <w:r w:rsidR="00D81E07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3.</w:t>
      </w:r>
      <w:r w:rsidR="009636EF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12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JO"/>
        </w:rPr>
        <w:t xml:space="preserve">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مليون نسمة، منهم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1.</w:t>
      </w:r>
      <w:r w:rsidR="009636EF"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59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مليون ذكر و1.</w:t>
      </w:r>
      <w:r w:rsidR="009636EF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53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مليون أنثى، بينما قدر عدد سكان قطاع غزة لنفس العام بحوالي </w:t>
      </w:r>
      <w:r w:rsidR="00D81E07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2.</w:t>
      </w:r>
      <w:r w:rsidR="009636EF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11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مليون نسمة، منهم </w:t>
      </w:r>
      <w:r w:rsidR="00D81E07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1.</w:t>
      </w:r>
      <w:r w:rsidR="009636EF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07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JO"/>
        </w:rPr>
        <w:t xml:space="preserve"> مليون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ذكر و</w:t>
      </w:r>
      <w:r w:rsidR="00D81E07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1.0</w:t>
      </w:r>
      <w:r w:rsidR="009636EF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</w:t>
      </w:r>
      <w:r w:rsidR="00D81E07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مليون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أنثى. </w:t>
      </w:r>
    </w:p>
    <w:p w:rsidR="00C22011" w:rsidRPr="00C22011" w:rsidRDefault="00C22011" w:rsidP="00D0398E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787412" w:rsidRPr="00D0398E" w:rsidRDefault="00B645F1" w:rsidP="00C22011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</w:pP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عدد السكان </w:t>
      </w:r>
      <w:r w:rsidR="00787412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الفلسطينيين</w:t>
      </w: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المقدر في العالم</w:t>
      </w:r>
      <w:r w:rsidR="00787412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حسب </w:t>
      </w:r>
      <w:r w:rsidR="005A5569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مكان</w:t>
      </w:r>
      <w:r w:rsidR="00787412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الإقامة</w:t>
      </w:r>
      <w:r w:rsidR="00380242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،</w:t>
      </w:r>
      <w:r w:rsidR="00787412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منتصف</w:t>
      </w:r>
      <w:r w:rsidR="00787412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عام </w:t>
      </w:r>
      <w:r w:rsidR="009636EF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2021</w:t>
      </w:r>
    </w:p>
    <w:p w:rsidR="00C2449B" w:rsidRPr="00D0398E" w:rsidRDefault="00C2449B" w:rsidP="00C22011">
      <w:pPr>
        <w:pStyle w:val="Heading7"/>
        <w:jc w:val="center"/>
        <w:rPr>
          <w:rFonts w:ascii="Simplified Arabic" w:hAnsi="Simplified Arabic"/>
          <w:color w:val="000000" w:themeColor="text1"/>
          <w:sz w:val="24"/>
          <w:szCs w:val="24"/>
          <w:rtl/>
        </w:rPr>
      </w:pPr>
      <w:r w:rsidRPr="00D0398E">
        <w:rPr>
          <w:rFonts w:ascii="Simplified Arabic" w:hAnsi="Simplified Arabic"/>
          <w:noProof/>
          <w:color w:val="000000" w:themeColor="text1"/>
          <w:sz w:val="24"/>
          <w:szCs w:val="24"/>
          <w:shd w:val="clear" w:color="auto" w:fill="FF0000"/>
          <w:rtl/>
          <w:lang w:eastAsia="en-US"/>
        </w:rPr>
        <w:drawing>
          <wp:inline distT="0" distB="0" distL="0" distR="0" wp14:anchorId="71A2EE98" wp14:editId="12A82021">
            <wp:extent cx="3219450" cy="1885950"/>
            <wp:effectExtent l="0" t="0" r="0" b="0"/>
            <wp:docPr id="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0398E" w:rsidRPr="00D0398E" w:rsidRDefault="00D0398E" w:rsidP="00D0398E">
      <w:pPr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C2449B" w:rsidRPr="00D0398E" w:rsidRDefault="008B40C8" w:rsidP="00D0398E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D0398E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المصدر: الجهاز المركزي للإحصاء الفلسطيني، </w:t>
      </w:r>
      <w:r w:rsidRPr="00D0398E">
        <w:rPr>
          <w:rFonts w:ascii="Simplified Arabic" w:hAnsi="Simplified Arabic" w:cs="Simplified Arabic"/>
          <w:b/>
          <w:bCs/>
          <w:sz w:val="20"/>
          <w:szCs w:val="20"/>
        </w:rPr>
        <w:t>2021</w:t>
      </w:r>
      <w:r w:rsidRPr="00D0398E">
        <w:rPr>
          <w:rFonts w:ascii="Simplified Arabic" w:hAnsi="Simplified Arabic" w:cs="Simplified Arabic"/>
          <w:sz w:val="20"/>
          <w:szCs w:val="20"/>
          <w:rtl/>
        </w:rPr>
        <w:t xml:space="preserve">.  تقديرات منقحة مبنية على النتائج النهائية للتعداد العام للسكان والمساكن والمنشات، 2017.  رام الله - فلسطين. </w:t>
      </w:r>
    </w:p>
    <w:p w:rsidR="00C22011" w:rsidRPr="00C22011" w:rsidRDefault="00C22011" w:rsidP="00632B14">
      <w:pPr>
        <w:pStyle w:val="Heading7"/>
        <w:jc w:val="both"/>
        <w:rPr>
          <w:rFonts w:ascii="Simplified Arabic" w:hAnsi="Simplified Arabic"/>
          <w:color w:val="000000" w:themeColor="text1"/>
          <w:sz w:val="16"/>
          <w:szCs w:val="16"/>
          <w:rtl/>
        </w:rPr>
      </w:pPr>
    </w:p>
    <w:p w:rsidR="00E71102" w:rsidRPr="00D0398E" w:rsidRDefault="00E71102" w:rsidP="00632B14">
      <w:pPr>
        <w:pStyle w:val="Heading7"/>
        <w:jc w:val="both"/>
        <w:rPr>
          <w:rFonts w:ascii="Simplified Arabic" w:hAnsi="Simplified Arabic"/>
          <w:color w:val="000000" w:themeColor="text1"/>
          <w:sz w:val="26"/>
          <w:szCs w:val="26"/>
        </w:rPr>
      </w:pPr>
      <w:r w:rsidRPr="00D0398E">
        <w:rPr>
          <w:rFonts w:ascii="Simplified Arabic" w:hAnsi="Simplified Arabic"/>
          <w:color w:val="000000" w:themeColor="text1"/>
          <w:sz w:val="26"/>
          <w:szCs w:val="26"/>
          <w:rtl/>
        </w:rPr>
        <w:t xml:space="preserve">المجتمع الفلسطيني </w:t>
      </w:r>
      <w:r w:rsidR="00632B14" w:rsidRPr="00D0398E">
        <w:rPr>
          <w:rFonts w:ascii="Simplified Arabic" w:hAnsi="Simplified Arabic"/>
          <w:color w:val="000000" w:themeColor="text1"/>
          <w:sz w:val="26"/>
          <w:szCs w:val="26"/>
          <w:rtl/>
        </w:rPr>
        <w:t>فتي وأكثر من ثلث سكانه دون 15 سنة</w:t>
      </w:r>
    </w:p>
    <w:p w:rsidR="00E71102" w:rsidRPr="00C22011" w:rsidRDefault="00E71102" w:rsidP="001720A1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تقدر نسبة الأفراد في الفئة العمريـة (0-14 سنة</w:t>
      </w:r>
      <w:r w:rsidR="00F542A9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542A9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في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منتصف العام </w:t>
      </w:r>
      <w:r w:rsidR="001720A1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2021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بحوالي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38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من مجمل السكان فـي فلسطين، بـواقع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36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الضفة الغربية و</w:t>
      </w:r>
      <w:r w:rsidR="005F44FA"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41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قطاع غزة.  ويلاحظ انخفاض نسبة الأفراد الذين تبلغ أعمارهم (65 سنة فأكثر) حيث قدرت نسبتهم في منتصف عام </w:t>
      </w:r>
      <w:r w:rsidR="001720A1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2021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بحوالي 3% في فلسطين، بواقع 4% في الضفة الغربية و3% في قطاع غزة.</w:t>
      </w:r>
    </w:p>
    <w:p w:rsidR="00271CC9" w:rsidRDefault="00271CC9" w:rsidP="001862BA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C22011" w:rsidRDefault="00C22011" w:rsidP="001862BA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C22011" w:rsidRDefault="00C22011" w:rsidP="001862BA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</w:rPr>
      </w:pPr>
    </w:p>
    <w:p w:rsidR="00255F56" w:rsidRDefault="00255F56" w:rsidP="001862BA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</w:rPr>
      </w:pPr>
    </w:p>
    <w:p w:rsidR="00255F56" w:rsidRDefault="00255F56" w:rsidP="001862BA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</w:rPr>
      </w:pPr>
    </w:p>
    <w:p w:rsidR="00255F56" w:rsidRDefault="00255F56" w:rsidP="001862BA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C22011" w:rsidRPr="00D0398E" w:rsidRDefault="00C22011" w:rsidP="001862BA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E71102" w:rsidRPr="00D0398E" w:rsidRDefault="00E71102" w:rsidP="001862BA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معدل</w:t>
      </w:r>
      <w:r w:rsidR="001862BA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ات مواليد </w:t>
      </w: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خام </w:t>
      </w:r>
      <w:r w:rsidR="001862BA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مرتفعة </w:t>
      </w: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في قطاع غزة عنها في الضفة الغربية</w:t>
      </w:r>
    </w:p>
    <w:p w:rsidR="006A4E9A" w:rsidRPr="00C22011" w:rsidRDefault="006A4E9A" w:rsidP="006A4E9A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تشير الإسقاطات السكانية إلى أن معدل المواليد الخام في فلسطين بلغ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29.5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مولوداً لكل 1000 من السكان عام 2021 حيث بلغ هذا المعدل في الضفة الغربية 27.2 مقابل 32.9 في قطاع غزة.  من جانب آخر بلغ معدل الوفيات الخام المقدرة في فلسطين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3.7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حالة وفاة لكل 1000 من السكان عام 2021، فبلغ في الضفة الغربية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3.9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مقابل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3.4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قطاع غزة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</w:p>
    <w:p w:rsidR="006A4E9A" w:rsidRPr="00D0398E" w:rsidRDefault="006A4E9A" w:rsidP="006A4E9A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D6430A" w:rsidRPr="00D0398E" w:rsidRDefault="00D6430A" w:rsidP="00D6430A">
      <w:pPr>
        <w:pStyle w:val="Heading1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D0398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انخفاض في معدلات الخصوبة </w:t>
      </w:r>
    </w:p>
    <w:p w:rsidR="00304C00" w:rsidRPr="00C22011" w:rsidRDefault="00D6430A" w:rsidP="00D0398E">
      <w:pPr>
        <w:tabs>
          <w:tab w:val="left" w:pos="5400"/>
        </w:tabs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انخفض معدل الخصوبة الكلية خلال الفترة (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2017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-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2019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) إلى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3.8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مولوداً، مقارنة مع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4.6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مولوداً </w:t>
      </w:r>
      <w:r w:rsidR="004131AA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خلال الفترة (1999-2003)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؛</w:t>
      </w:r>
      <w:r w:rsidR="004E40B4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فبلغ هذا المعدل في الضفة الغربية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3.8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مولوداً </w:t>
      </w:r>
      <w:r w:rsidR="004E40B4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مقابل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3.9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مولوداً في قطاع غزة.</w:t>
      </w:r>
      <w:r w:rsidR="00304C00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جانب آخر بلغ معدل الخصوبة في المناطق الحضرية 3.8 مولوداً مقابل 4.4 مولوداً في الريف و3.5 مولوداً في المخيمات الفلسطينية.</w:t>
      </w:r>
    </w:p>
    <w:p w:rsidR="00C22011" w:rsidRDefault="00C22011" w:rsidP="00C22011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</w:pPr>
    </w:p>
    <w:p w:rsidR="00771668" w:rsidRPr="00D0398E" w:rsidRDefault="00771668" w:rsidP="00C22011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</w:pP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معدل الخصوبة في دولة فلسطين</w:t>
      </w:r>
      <w:r w:rsidR="00055C69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حسب المنطقة</w:t>
      </w: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، سنوات مختارة</w:t>
      </w:r>
    </w:p>
    <w:tbl>
      <w:tblPr>
        <w:tblStyle w:val="TableGrid"/>
        <w:bidiVisual/>
        <w:tblW w:w="5165" w:type="dxa"/>
        <w:jc w:val="center"/>
        <w:tblLook w:val="04A0" w:firstRow="1" w:lastRow="0" w:firstColumn="1" w:lastColumn="0" w:noHBand="0" w:noVBand="1"/>
      </w:tblPr>
      <w:tblGrid>
        <w:gridCol w:w="5165"/>
      </w:tblGrid>
      <w:tr w:rsidR="008B40C8" w:rsidRPr="00D0398E" w:rsidTr="00C22011">
        <w:trPr>
          <w:trHeight w:val="2207"/>
          <w:jc w:val="center"/>
        </w:trPr>
        <w:tc>
          <w:tcPr>
            <w:tcW w:w="5165" w:type="dxa"/>
          </w:tcPr>
          <w:p w:rsidR="008B40C8" w:rsidRPr="00D0398E" w:rsidRDefault="008B40C8" w:rsidP="00C22011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/>
              </w:rPr>
            </w:pPr>
            <w:r w:rsidRPr="00D0398E">
              <w:rPr>
                <w:rFonts w:ascii="Simplified Arabic" w:hAnsi="Simplified Arabic" w:cs="Simplified Arabic"/>
                <w:noProof/>
                <w:color w:val="000000" w:themeColor="text1"/>
                <w:rtl/>
                <w:lang w:eastAsia="en-US"/>
              </w:rPr>
              <w:drawing>
                <wp:inline distT="0" distB="0" distL="0" distR="0" wp14:anchorId="1B7B1780" wp14:editId="5C414BA9">
                  <wp:extent cx="2743200" cy="1550035"/>
                  <wp:effectExtent l="0" t="0" r="0" b="0"/>
                  <wp:docPr id="1" name="Objec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443861" w:rsidRPr="00D0398E" w:rsidRDefault="008B40C8" w:rsidP="00E26B30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D0398E">
        <w:rPr>
          <w:rFonts w:ascii="Simplified Arabic" w:hAnsi="Simplified Arabic" w:cs="Simplified Arabic"/>
          <w:sz w:val="20"/>
          <w:szCs w:val="20"/>
          <w:rtl/>
        </w:rPr>
        <w:t xml:space="preserve">المصدر: الجهاز المركزي للإحصاء الفلسطيني، </w:t>
      </w:r>
      <w:r w:rsidRPr="00D0398E">
        <w:rPr>
          <w:rFonts w:ascii="Simplified Arabic" w:hAnsi="Simplified Arabic" w:cs="Simplified Arabic"/>
          <w:sz w:val="20"/>
          <w:szCs w:val="20"/>
        </w:rPr>
        <w:t>2021</w:t>
      </w:r>
      <w:r w:rsidRPr="00D0398E">
        <w:rPr>
          <w:rFonts w:ascii="Simplified Arabic" w:hAnsi="Simplified Arabic" w:cs="Simplified Arabic"/>
          <w:sz w:val="20"/>
          <w:szCs w:val="20"/>
          <w:rtl/>
        </w:rPr>
        <w:t xml:space="preserve">.  </w:t>
      </w:r>
      <w:r w:rsidR="00E83DF8" w:rsidRPr="00D0398E">
        <w:rPr>
          <w:rFonts w:ascii="Simplified Arabic" w:hAnsi="Simplified Arabic" w:cs="Simplified Arabic"/>
          <w:sz w:val="20"/>
          <w:szCs w:val="20"/>
          <w:rtl/>
        </w:rPr>
        <w:t xml:space="preserve">قاعدة بيانات </w:t>
      </w:r>
      <w:r w:rsidR="00443861" w:rsidRPr="00D0398E">
        <w:rPr>
          <w:rFonts w:ascii="Simplified Arabic" w:hAnsi="Simplified Arabic" w:cs="Simplified Arabic"/>
          <w:sz w:val="20"/>
          <w:szCs w:val="20"/>
          <w:rtl/>
        </w:rPr>
        <w:t>المسح الصحي الديمغرافي، 2004.</w:t>
      </w:r>
    </w:p>
    <w:p w:rsidR="008B40C8" w:rsidRPr="00D0398E" w:rsidRDefault="00443861" w:rsidP="00443861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D0398E">
        <w:rPr>
          <w:rFonts w:ascii="Simplified Arabic" w:hAnsi="Simplified Arabic" w:cs="Simplified Arabic"/>
          <w:sz w:val="20"/>
          <w:szCs w:val="20"/>
          <w:rtl/>
        </w:rPr>
        <w:t xml:space="preserve">المصدر: الجهاز المركزي للإحصاء الفلسطيني، </w:t>
      </w:r>
      <w:r w:rsidRPr="00D0398E">
        <w:rPr>
          <w:rFonts w:ascii="Simplified Arabic" w:hAnsi="Simplified Arabic" w:cs="Simplified Arabic"/>
          <w:sz w:val="20"/>
          <w:szCs w:val="20"/>
        </w:rPr>
        <w:t>2021</w:t>
      </w:r>
      <w:r w:rsidRPr="00D0398E">
        <w:rPr>
          <w:rFonts w:ascii="Simplified Arabic" w:hAnsi="Simplified Arabic" w:cs="Simplified Arabic"/>
          <w:sz w:val="20"/>
          <w:szCs w:val="20"/>
          <w:rtl/>
        </w:rPr>
        <w:t xml:space="preserve">.  قاعدة بيانات </w:t>
      </w:r>
      <w:r w:rsidR="00E26B30" w:rsidRPr="00D0398E">
        <w:rPr>
          <w:rFonts w:ascii="Simplified Arabic" w:hAnsi="Simplified Arabic" w:cs="Simplified Arabic"/>
          <w:sz w:val="20"/>
          <w:szCs w:val="20"/>
          <w:rtl/>
        </w:rPr>
        <w:t>المسح الفلسطيني العنقودي متعدد المؤشرات، 2019-2020</w:t>
      </w:r>
      <w:r w:rsidRPr="00D0398E">
        <w:rPr>
          <w:rFonts w:ascii="Simplified Arabic" w:hAnsi="Simplified Arabic" w:cs="Simplified Arabic"/>
          <w:sz w:val="20"/>
          <w:szCs w:val="20"/>
          <w:rtl/>
        </w:rPr>
        <w:t>.</w:t>
      </w:r>
    </w:p>
    <w:p w:rsidR="00722918" w:rsidRPr="00D0398E" w:rsidRDefault="00722918" w:rsidP="00FF616D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</w:rPr>
      </w:pPr>
    </w:p>
    <w:p w:rsidR="00055C69" w:rsidRPr="00D0398E" w:rsidRDefault="00055C69" w:rsidP="001B1ED2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13% من النساء في فلسطين </w:t>
      </w:r>
      <w:r w:rsidR="001B1ED2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لديهن حاجات غير ملباة لتنظيم الاسرة</w:t>
      </w:r>
    </w:p>
    <w:p w:rsidR="00055C69" w:rsidRPr="00C22011" w:rsidRDefault="00055C69" w:rsidP="00055C69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أشارت بيانات المسح العنقودي 2019-2020 أن نسبة النساء في الفئة العمرية 15 - 49 عاماً والمتزوجات حالياً والقادرات على الإنجاب ويرغبن في المباعدة بين الأحمال أو الحدّ من عدد الأطفال ولا يستخدمن أي وسيلة لتنظيم الأسرة في فلسطين قد بلغت 13%، في حين بلغت في الضفة الغربية 14% مقابل 12% في قطاع غزة.</w:t>
      </w:r>
    </w:p>
    <w:p w:rsidR="00055C69" w:rsidRPr="00D0398E" w:rsidRDefault="00055C69" w:rsidP="00055C69">
      <w:pPr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055C69" w:rsidRPr="00D0398E" w:rsidRDefault="00055C69" w:rsidP="00055C69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95% من النساء في فلسطين تلقين رعاية صحية قبل الولادة</w:t>
      </w:r>
    </w:p>
    <w:p w:rsidR="00055C69" w:rsidRPr="00C22011" w:rsidRDefault="00055C69" w:rsidP="001B1ED2">
      <w:pPr>
        <w:shd w:val="clear" w:color="auto" w:fill="FFFFFF"/>
        <w:spacing w:line="405" w:lineRule="atLeast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lang w:eastAsia="en-US"/>
        </w:rPr>
      </w:pP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أشارت بيانات المسح العنقودي 2019-2020 أن 95٪ من النساء اللواتي تتراوح أعمارهن بين 15-49 عامًا في فلسطين تلقين أربع مرات على الأقل رعاية صحية قبل الولادة من قبل مقدم رعاية صحية أثناء الحمل، و73% من النساء في نفس العمر تلقين رعاية صحية ثماني مرات أو أكثر أثناء الحمل. </w:t>
      </w:r>
    </w:p>
    <w:p w:rsidR="0090513E" w:rsidRPr="00D0398E" w:rsidRDefault="0090513E" w:rsidP="00FF616D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FF616D" w:rsidRPr="00D0398E" w:rsidRDefault="00FF616D" w:rsidP="00FF616D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مزيداً من الانخفاض في متوسط حجم الأسرة</w:t>
      </w:r>
      <w:r w:rsidRPr="00D0398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</w:p>
    <w:p w:rsidR="00FF616D" w:rsidRPr="00C22011" w:rsidRDefault="00DD69E8" w:rsidP="004E40B4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تشير التقديرات المبنية على</w:t>
      </w:r>
      <w:r w:rsidR="00FF616D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F616D" w:rsidRPr="00C22011"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  <w:t xml:space="preserve">نتائج مسح القوى العاملة عام </w:t>
      </w:r>
      <w:r w:rsidR="00C2449B" w:rsidRPr="00C22011"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  <w:t>2020</w:t>
      </w:r>
      <w:r w:rsidR="00FF616D" w:rsidRPr="00C22011"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  <w:t xml:space="preserve"> </w:t>
      </w:r>
      <w:r w:rsidRPr="00C22011"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  <w:t xml:space="preserve">والتعداد العام للسكان </w:t>
      </w:r>
      <w:r w:rsidR="00CD6C04" w:rsidRPr="00C22011"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  <w:t xml:space="preserve">والمساكن </w:t>
      </w:r>
      <w:r w:rsidRPr="00C22011"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  <w:t>والمنشآت 2017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F616D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 انخفاض في متوسط حجم الأسرة في فلسطين مقارنة بعام 2007، حيث انخفض متوسط حجم الأسرة إلى 5.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</w:t>
      </w:r>
      <w:r w:rsidR="00FF616D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7697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فرداً </w:t>
      </w:r>
      <w:r w:rsidR="00FF616D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عام </w:t>
      </w:r>
      <w:r w:rsidR="00771668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2020</w:t>
      </w:r>
      <w:r w:rsidR="00FF616D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مقارنة </w:t>
      </w:r>
      <w:r w:rsidR="00007697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بـ</w:t>
      </w:r>
      <w:r w:rsidR="00FF616D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5.8 فرداً عام 2007.  من جانب آخر انخفض </w:t>
      </w:r>
      <w:r w:rsidR="00007697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هذا المتوسط</w:t>
      </w:r>
      <w:r w:rsidR="00FF616D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الضفة الغربية إلى 4.</w:t>
      </w:r>
      <w:r w:rsidR="00771668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7</w:t>
      </w:r>
      <w:r w:rsidR="00FF616D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فرداً عام </w:t>
      </w:r>
      <w:r w:rsidR="00771668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>2020</w:t>
      </w:r>
      <w:r w:rsidR="00FF616D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مقارنة مع 5.5 فرداً عام 2007، </w:t>
      </w:r>
      <w:r w:rsidR="00007697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="00FF616D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 قطاع غزة انخفض متوسط حجم الأسرة إلى 5.</w:t>
      </w:r>
      <w:r w:rsidR="00771668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7</w:t>
      </w:r>
      <w:r w:rsidR="00FF616D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فرداً في العام </w:t>
      </w:r>
      <w:r w:rsidR="00771668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2020</w:t>
      </w:r>
      <w:r w:rsidR="00FF616D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مقارنة مع 6.5 في العام 2007. </w:t>
      </w:r>
    </w:p>
    <w:p w:rsidR="00271CC9" w:rsidRPr="00D0398E" w:rsidRDefault="00271CC9" w:rsidP="004E40B4">
      <w:pPr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E71102" w:rsidRPr="00D0398E" w:rsidRDefault="006A52F2" w:rsidP="00837B60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متوسط حجم الأ</w:t>
      </w:r>
      <w:r w:rsidR="00BC5C79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سرة في فلسطين حسب المنطقة</w:t>
      </w:r>
      <w:r w:rsidR="00380242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، </w:t>
      </w:r>
      <w:r w:rsidR="00007697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2007-</w:t>
      </w:r>
      <w:r w:rsidR="00837B60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2020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67"/>
      </w:tblGrid>
      <w:tr w:rsidR="00357C51" w:rsidRPr="00D0398E" w:rsidTr="00C22011">
        <w:trPr>
          <w:trHeight w:val="2801"/>
          <w:jc w:val="center"/>
        </w:trPr>
        <w:tc>
          <w:tcPr>
            <w:tcW w:w="5167" w:type="dxa"/>
          </w:tcPr>
          <w:p w:rsidR="00357C51" w:rsidRPr="00D0398E" w:rsidRDefault="00357C51" w:rsidP="00C22011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D0398E"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  <w:lang w:eastAsia="en-US"/>
              </w:rPr>
              <w:drawing>
                <wp:inline distT="0" distB="0" distL="0" distR="0" wp14:anchorId="31EE6B1D" wp14:editId="22900696">
                  <wp:extent cx="2830195" cy="1764254"/>
                  <wp:effectExtent l="0" t="0" r="0" b="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A30DBB" w:rsidRPr="00D0398E" w:rsidRDefault="00357C51" w:rsidP="004131AA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</w:rPr>
      </w:pPr>
      <w:r w:rsidRPr="00D0398E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المصدر: الجهاز المركزي للإحصاء الفلسطيني، </w:t>
      </w:r>
      <w:r w:rsidRPr="00D0398E">
        <w:rPr>
          <w:rFonts w:ascii="Simplified Arabic" w:hAnsi="Simplified Arabic" w:cs="Simplified Arabic"/>
          <w:b/>
          <w:bCs/>
          <w:sz w:val="20"/>
          <w:szCs w:val="20"/>
        </w:rPr>
        <w:t>2021</w:t>
      </w:r>
      <w:r w:rsidRPr="00D0398E">
        <w:rPr>
          <w:rFonts w:ascii="Simplified Arabic" w:hAnsi="Simplified Arabic" w:cs="Simplified Arabic"/>
          <w:sz w:val="20"/>
          <w:szCs w:val="20"/>
          <w:rtl/>
        </w:rPr>
        <w:t xml:space="preserve">.  </w:t>
      </w:r>
      <w:r w:rsidR="004131AA" w:rsidRPr="00D0398E">
        <w:rPr>
          <w:rFonts w:ascii="Simplified Arabic" w:hAnsi="Simplified Arabic" w:cs="Simplified Arabic"/>
          <w:sz w:val="20"/>
          <w:szCs w:val="20"/>
          <w:rtl/>
        </w:rPr>
        <w:t>تقديرات مبنية على نتائج مسح</w:t>
      </w:r>
      <w:r w:rsidR="006249C6" w:rsidRPr="00D0398E">
        <w:rPr>
          <w:rFonts w:ascii="Simplified Arabic" w:hAnsi="Simplified Arabic" w:cs="Simplified Arabic"/>
          <w:sz w:val="20"/>
          <w:szCs w:val="20"/>
          <w:rtl/>
        </w:rPr>
        <w:t xml:space="preserve"> القوى العاملة</w:t>
      </w:r>
      <w:r w:rsidR="004131AA" w:rsidRPr="00D0398E">
        <w:rPr>
          <w:rFonts w:ascii="Simplified Arabic" w:hAnsi="Simplified Arabic" w:cs="Simplified Arabic"/>
          <w:sz w:val="20"/>
          <w:szCs w:val="20"/>
          <w:rtl/>
        </w:rPr>
        <w:t xml:space="preserve"> ونتائج التعداد العام للسكان والمساكن والمنشآت لللأعوام</w:t>
      </w:r>
      <w:r w:rsidR="006249C6" w:rsidRPr="00D0398E">
        <w:rPr>
          <w:rFonts w:ascii="Simplified Arabic" w:hAnsi="Simplified Arabic" w:cs="Simplified Arabic"/>
          <w:sz w:val="20"/>
          <w:szCs w:val="20"/>
          <w:rtl/>
        </w:rPr>
        <w:t xml:space="preserve"> 2020،2007</w:t>
      </w:r>
      <w:r w:rsidRPr="00D0398E">
        <w:rPr>
          <w:rFonts w:ascii="Simplified Arabic" w:hAnsi="Simplified Arabic" w:cs="Simplified Arabic"/>
          <w:sz w:val="20"/>
          <w:szCs w:val="20"/>
          <w:rtl/>
        </w:rPr>
        <w:t>.  رام الله - فلسطين.</w:t>
      </w:r>
    </w:p>
    <w:p w:rsidR="00C2449B" w:rsidRPr="00D0398E" w:rsidRDefault="00C2449B" w:rsidP="00FF616D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FF616D" w:rsidRPr="00D0398E" w:rsidRDefault="00FF616D" w:rsidP="00FF616D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أسرة من بين كل 10 أسر ترأسها امرأة</w:t>
      </w:r>
      <w:r w:rsidRPr="00D0398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</w:p>
    <w:p w:rsidR="00FF616D" w:rsidRPr="00C22011" w:rsidRDefault="00FF616D" w:rsidP="00171F69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تشير نتائج مسح القوى العاملة </w:t>
      </w:r>
      <w:r w:rsidR="00171F69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2020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إلى أن 11% من الأسر ترأسها إناث في فلسطين، بواقع 12% في الضفة الغربية و9% في قطاع غزة.</w:t>
      </w:r>
    </w:p>
    <w:p w:rsidR="00DD6D96" w:rsidRPr="00D0398E" w:rsidRDefault="00DD6D96" w:rsidP="00171F69">
      <w:pPr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443861" w:rsidRPr="00D0398E" w:rsidRDefault="00443861" w:rsidP="00443861">
      <w:pPr>
        <w:shd w:val="clear" w:color="auto" w:fill="FFFFFF"/>
        <w:spacing w:line="240" w:lineRule="atLeast"/>
        <w:jc w:val="both"/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val="en" w:eastAsia="en-US" w:bidi="ar"/>
        </w:rPr>
      </w:pP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val="en" w:eastAsia="en-US" w:bidi="ar"/>
        </w:rPr>
        <w:t>Results of the Multiple Indicator Cluster Survey (2020) indicated that about 95% of women aged 15-49 years received prenatal health care at least four times by a health care provider during pregnancy.</w:t>
      </w:r>
    </w:p>
    <w:p w:rsidR="00443861" w:rsidRPr="00D0398E" w:rsidRDefault="00443861" w:rsidP="00443861">
      <w:pPr>
        <w:shd w:val="clear" w:color="auto" w:fill="FFFFFF"/>
        <w:spacing w:line="270" w:lineRule="atLeast"/>
        <w:jc w:val="both"/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</w:pP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rtl/>
          <w:lang w:eastAsia="en-US"/>
        </w:rPr>
        <w:t>نتائج المسح العنقودي متعدد المؤشرات (2020) أن حوالي 95٪ من النساء الذين تتراوح أعمارهم بين 15-49 عاما تلقى الرعاية الصحية قبل الولادة على الأقل أربع مرات من قبل مقدمي الرعاية الصحية أثناء الحمل</w:t>
      </w: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  <w:t>.</w:t>
      </w:r>
    </w:p>
    <w:p w:rsidR="00443861" w:rsidRPr="00D0398E" w:rsidRDefault="00443861" w:rsidP="00443861">
      <w:pPr>
        <w:shd w:val="clear" w:color="auto" w:fill="FFFFFF"/>
        <w:spacing w:line="240" w:lineRule="atLeast"/>
        <w:jc w:val="both"/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val="en" w:eastAsia="en-US" w:bidi="ar"/>
        </w:rPr>
      </w:pP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val="en" w:eastAsia="en-US" w:bidi="ar"/>
        </w:rPr>
        <w:t>Results of the Multiple Indicator Cluster Survey (2020) that about 95% of women aged 15-49 years received prenatal health care at least four times by health care providers during pregnancy.</w:t>
      </w:r>
    </w:p>
    <w:p w:rsidR="00443861" w:rsidRPr="00D0398E" w:rsidRDefault="00443861" w:rsidP="00443861">
      <w:pPr>
        <w:shd w:val="clear" w:color="auto" w:fill="FFFFFF"/>
        <w:spacing w:line="300" w:lineRule="atLeast"/>
        <w:jc w:val="both"/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</w:pP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rtl/>
          <w:lang w:eastAsia="en-US"/>
        </w:rPr>
        <w:t>يتعذّر تحميل النتائج بالكامل</w:t>
      </w: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  <w:t>.</w:t>
      </w:r>
    </w:p>
    <w:p w:rsidR="00443861" w:rsidRPr="00D0398E" w:rsidRDefault="00443861" w:rsidP="00443861">
      <w:pPr>
        <w:shd w:val="clear" w:color="auto" w:fill="FFFFFF"/>
        <w:spacing w:line="300" w:lineRule="atLeast"/>
        <w:jc w:val="both"/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</w:pP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rtl/>
          <w:lang w:eastAsia="en-US"/>
        </w:rPr>
        <w:t>إعادة المحاولة</w:t>
      </w:r>
    </w:p>
    <w:p w:rsidR="00443861" w:rsidRPr="00D0398E" w:rsidRDefault="00443861" w:rsidP="00443861">
      <w:pPr>
        <w:shd w:val="clear" w:color="auto" w:fill="FFFFFF"/>
        <w:spacing w:line="405" w:lineRule="atLeast"/>
        <w:jc w:val="both"/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</w:pP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rtl/>
          <w:lang w:eastAsia="en-US"/>
        </w:rPr>
        <w:t>جارٍ إعادة المحاولة</w:t>
      </w: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  <w:t>...</w:t>
      </w:r>
    </w:p>
    <w:p w:rsidR="00443861" w:rsidRPr="00D0398E" w:rsidRDefault="00443861" w:rsidP="00443861">
      <w:pPr>
        <w:shd w:val="clear" w:color="auto" w:fill="FFFFFF"/>
        <w:spacing w:line="405" w:lineRule="atLeast"/>
        <w:jc w:val="both"/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</w:pP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rtl/>
          <w:lang w:eastAsia="en-US"/>
        </w:rPr>
        <w:t>جارٍ إعادة المحاولة</w:t>
      </w: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  <w:t>...</w:t>
      </w:r>
    </w:p>
    <w:p w:rsidR="00443861" w:rsidRPr="00D0398E" w:rsidRDefault="00443861" w:rsidP="00443861">
      <w:pPr>
        <w:shd w:val="clear" w:color="auto" w:fill="FFFFFF"/>
        <w:spacing w:line="270" w:lineRule="atLeast"/>
        <w:jc w:val="both"/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/>
        </w:rPr>
      </w:pP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rtl/>
          <w:lang w:eastAsia="en-US"/>
        </w:rPr>
        <w:t>وحوالي 73٪ من النساء في نفس العمر تلقين رعاية صحية ثماني مرات أو أكثر أثناء الحمل</w:t>
      </w: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  <w:t>.</w:t>
      </w:r>
    </w:p>
    <w:p w:rsidR="00443861" w:rsidRPr="00D0398E" w:rsidRDefault="00443861" w:rsidP="00443861">
      <w:pPr>
        <w:shd w:val="clear" w:color="auto" w:fill="FFFFFF"/>
        <w:spacing w:line="240" w:lineRule="atLeast"/>
        <w:jc w:val="both"/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val="en" w:eastAsia="en-US" w:bidi="ar"/>
        </w:rPr>
      </w:pP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val="en" w:eastAsia="en-US" w:bidi="ar"/>
        </w:rPr>
        <w:t>And about 73% of women of the same age received health care eight or more times during pregnancy.</w:t>
      </w:r>
    </w:p>
    <w:p w:rsidR="00443861" w:rsidRPr="00D0398E" w:rsidRDefault="00443861" w:rsidP="00443861">
      <w:pPr>
        <w:shd w:val="clear" w:color="auto" w:fill="FFFFFF"/>
        <w:spacing w:line="270" w:lineRule="atLeast"/>
        <w:jc w:val="both"/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</w:pP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rtl/>
          <w:lang w:eastAsia="en-US"/>
        </w:rPr>
        <w:t>وتلقت حوالي 73٪ من النساء في نفس الفئة العمرية الرعاية الصحية ثماني مرات أو أكثر خلال فترة الحمل</w:t>
      </w: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  <w:t>.</w:t>
      </w:r>
    </w:p>
    <w:p w:rsidR="00443861" w:rsidRPr="00D0398E" w:rsidRDefault="00443861" w:rsidP="00443861">
      <w:pPr>
        <w:shd w:val="clear" w:color="auto" w:fill="FFFFFF"/>
        <w:spacing w:line="240" w:lineRule="atLeast"/>
        <w:jc w:val="both"/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val="en" w:eastAsia="en-US" w:bidi="ar"/>
        </w:rPr>
      </w:pP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val="en" w:eastAsia="en-US" w:bidi="ar"/>
        </w:rPr>
        <w:t>About 73% of women in the same age group received health care eight or more times during pregnancy.</w:t>
      </w:r>
    </w:p>
    <w:p w:rsidR="00443861" w:rsidRPr="00D0398E" w:rsidRDefault="00443861" w:rsidP="00443861">
      <w:pPr>
        <w:shd w:val="clear" w:color="auto" w:fill="FFFFFF"/>
        <w:spacing w:line="300" w:lineRule="atLeast"/>
        <w:jc w:val="both"/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</w:pP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rtl/>
          <w:lang w:eastAsia="en-US"/>
        </w:rPr>
        <w:t>يتعذّر تحميل النتائج بالكامل</w:t>
      </w: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  <w:t>.</w:t>
      </w:r>
    </w:p>
    <w:p w:rsidR="00443861" w:rsidRPr="00D0398E" w:rsidRDefault="00443861" w:rsidP="00443861">
      <w:pPr>
        <w:shd w:val="clear" w:color="auto" w:fill="FFFFFF"/>
        <w:spacing w:line="300" w:lineRule="atLeast"/>
        <w:jc w:val="both"/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</w:pP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rtl/>
          <w:lang w:eastAsia="en-US"/>
        </w:rPr>
        <w:t>إعادة المحاولة</w:t>
      </w:r>
    </w:p>
    <w:p w:rsidR="00443861" w:rsidRPr="00D0398E" w:rsidRDefault="00443861" w:rsidP="00443861">
      <w:pPr>
        <w:shd w:val="clear" w:color="auto" w:fill="FFFFFF"/>
        <w:spacing w:line="405" w:lineRule="atLeast"/>
        <w:jc w:val="both"/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</w:pP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rtl/>
          <w:lang w:eastAsia="en-US"/>
        </w:rPr>
        <w:t>جارٍ إعادة المحاولة</w:t>
      </w: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  <w:t>...</w:t>
      </w:r>
    </w:p>
    <w:p w:rsidR="00443861" w:rsidRPr="00D0398E" w:rsidRDefault="00443861" w:rsidP="00443861">
      <w:pPr>
        <w:shd w:val="clear" w:color="auto" w:fill="FFFFFF"/>
        <w:spacing w:line="405" w:lineRule="atLeast"/>
        <w:jc w:val="both"/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</w:pP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rtl/>
          <w:lang w:eastAsia="en-US"/>
        </w:rPr>
        <w:t>جارٍ إعادة المحاولة</w:t>
      </w:r>
      <w:r w:rsidRPr="00D0398E">
        <w:rPr>
          <w:rFonts w:ascii="Simplified Arabic" w:hAnsi="Simplified Arabic" w:cs="Simplified Arabic"/>
          <w:vanish/>
          <w:color w:val="000000" w:themeColor="text1"/>
          <w:sz w:val="16"/>
          <w:szCs w:val="16"/>
          <w:lang w:eastAsia="en-US" w:bidi="ar"/>
        </w:rPr>
        <w:t>...</w:t>
      </w:r>
    </w:p>
    <w:p w:rsidR="00171F69" w:rsidRPr="00D0398E" w:rsidRDefault="00171F69" w:rsidP="004E40B4">
      <w:pPr>
        <w:pStyle w:val="Heading7"/>
        <w:jc w:val="both"/>
        <w:rPr>
          <w:rFonts w:ascii="Simplified Arabic" w:hAnsi="Simplified Arabic"/>
          <w:b w:val="0"/>
          <w:bCs w:val="0"/>
          <w:color w:val="000000" w:themeColor="text1"/>
          <w:sz w:val="26"/>
          <w:szCs w:val="26"/>
          <w:rtl/>
        </w:rPr>
      </w:pPr>
      <w:r w:rsidRPr="00D0398E">
        <w:rPr>
          <w:rFonts w:ascii="Simplified Arabic" w:hAnsi="Simplified Arabic"/>
          <w:color w:val="000000" w:themeColor="text1"/>
          <w:sz w:val="26"/>
          <w:szCs w:val="26"/>
          <w:rtl/>
        </w:rPr>
        <w:t xml:space="preserve">معدلات أمية منخفضة في فلسطين </w:t>
      </w:r>
    </w:p>
    <w:p w:rsidR="00D0398E" w:rsidRPr="00C22011" w:rsidRDefault="00171F69" w:rsidP="00C22011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أشارت بيانات مسح القوى العاملة لعام 2020 إلى أن معدل الأمية بين الأفراد الذين أعمارهم 15 سنة فأكثر في فلسطين بلغت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2.5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%، وتفاوت هذا المعدل بشكل كبير بين الذكور والإناث، فبلغت بين الذكور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1.2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%، في حين بلغت بين الإناث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3.8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%.</w:t>
      </w:r>
    </w:p>
    <w:p w:rsidR="00D0398E" w:rsidRPr="00C22011" w:rsidRDefault="00D0398E" w:rsidP="00D0398E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171F69" w:rsidRPr="00D0398E" w:rsidRDefault="00171F69" w:rsidP="00171F69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معدل الأمية للأفراد (15 سنة فأكثر) في فلسطين حسب الجنس، 2000-2020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66"/>
      </w:tblGrid>
      <w:tr w:rsidR="00652E47" w:rsidRPr="00D0398E" w:rsidTr="00C22011">
        <w:trPr>
          <w:trHeight w:val="2459"/>
          <w:jc w:val="center"/>
        </w:trPr>
        <w:tc>
          <w:tcPr>
            <w:tcW w:w="5076" w:type="dxa"/>
          </w:tcPr>
          <w:p w:rsidR="00652E47" w:rsidRPr="00D0398E" w:rsidRDefault="00652E47" w:rsidP="00C22011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D0398E">
              <w:rPr>
                <w:rFonts w:ascii="Simplified Arabic" w:hAnsi="Simplified Arabic" w:cs="Simplified Arabic"/>
                <w:noProof/>
                <w:color w:val="000000" w:themeColor="text1"/>
                <w:rtl/>
                <w:lang w:eastAsia="en-US"/>
              </w:rPr>
              <w:drawing>
                <wp:inline distT="0" distB="0" distL="0" distR="0" wp14:anchorId="08A31268" wp14:editId="7305CBFC">
                  <wp:extent cx="3143250" cy="1685925"/>
                  <wp:effectExtent l="0" t="0" r="0" b="0"/>
                  <wp:docPr id="11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34506C" w:rsidRPr="00C22011" w:rsidRDefault="00652E47" w:rsidP="00D0398E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</w:rPr>
      </w:pPr>
      <w:r w:rsidRPr="00C22011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المصدر: الجهاز المركزي للإحصاء الفلسطيني، </w:t>
      </w:r>
      <w:r w:rsidRPr="00C22011">
        <w:rPr>
          <w:rFonts w:ascii="Simplified Arabic" w:hAnsi="Simplified Arabic" w:cs="Simplified Arabic"/>
          <w:b/>
          <w:bCs/>
          <w:sz w:val="20"/>
          <w:szCs w:val="20"/>
        </w:rPr>
        <w:t>2021</w:t>
      </w:r>
      <w:r w:rsidRPr="00C22011">
        <w:rPr>
          <w:rFonts w:ascii="Simplified Arabic" w:hAnsi="Simplified Arabic" w:cs="Simplified Arabic"/>
          <w:sz w:val="20"/>
          <w:szCs w:val="20"/>
          <w:rtl/>
        </w:rPr>
        <w:t>.  قاعدة بيانات القوى العاملة 2020،2007.  رام الله - فلسطين.</w:t>
      </w:r>
    </w:p>
    <w:p w:rsidR="00D0398E" w:rsidRPr="00D0398E" w:rsidRDefault="00D0398E" w:rsidP="00D0398E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171F69" w:rsidRPr="00D0398E" w:rsidRDefault="00171F69" w:rsidP="00171F69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حوالي ربع المشاركين في القوى العاملة عاطلون عن العمل </w:t>
      </w:r>
    </w:p>
    <w:p w:rsidR="00171F69" w:rsidRPr="00C22011" w:rsidRDefault="00171F69" w:rsidP="00171F69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تشير البيانات إلى أن معدل البطالة من المشاركين في القوى العاملة في العام 2020 بلغ 26% في فلسطين، بواقع 16% في الضفة الغربية و47% في قطاع غزة.  كما وصل معدل البطالة في فلسطين بين الإناث المشاركات في القوى العاملة إلى 40% مقابل 23% بين الذكور المشاركين في القوى العاملة. </w:t>
      </w:r>
    </w:p>
    <w:p w:rsidR="0090513E" w:rsidRPr="00D0398E" w:rsidRDefault="0090513E" w:rsidP="00171F69">
      <w:pPr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B360B9" w:rsidRDefault="00B360B9" w:rsidP="004131AA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</w:p>
    <w:p w:rsidR="00171F69" w:rsidRPr="00D0398E" w:rsidRDefault="00171F69" w:rsidP="004131AA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bookmarkStart w:id="0" w:name="_GoBack"/>
      <w:bookmarkEnd w:id="0"/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lastRenderedPageBreak/>
        <w:t>معدل البطالة بين المشاركين في القوى العاملة للأفراد (15 سنة فأكثر) في فلسطين حسب المنطقة، 2015-2020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49"/>
      </w:tblGrid>
      <w:tr w:rsidR="00652E47" w:rsidRPr="00D0398E" w:rsidTr="00C22011">
        <w:trPr>
          <w:trHeight w:val="2805"/>
          <w:jc w:val="center"/>
        </w:trPr>
        <w:tc>
          <w:tcPr>
            <w:tcW w:w="5329" w:type="dxa"/>
          </w:tcPr>
          <w:p w:rsidR="00652E47" w:rsidRPr="00D0398E" w:rsidRDefault="00652E47" w:rsidP="00171F69">
            <w:pPr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D0398E">
              <w:rPr>
                <w:rFonts w:ascii="Simplified Arabic" w:hAnsi="Simplified Arabic" w:cs="Simplified Arabic"/>
                <w:noProof/>
                <w:color w:val="000000" w:themeColor="text1"/>
                <w:rtl/>
                <w:lang w:eastAsia="en-US"/>
              </w:rPr>
              <w:drawing>
                <wp:inline distT="0" distB="0" distL="0" distR="0" wp14:anchorId="7DB1C5A9" wp14:editId="27F8DC22">
                  <wp:extent cx="3322955" cy="1892935"/>
                  <wp:effectExtent l="0" t="0" r="0" b="0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C53456" w:rsidRPr="00D0398E" w:rsidRDefault="00C53456" w:rsidP="00C53456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</w:rPr>
      </w:pPr>
      <w:r w:rsidRPr="00D0398E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المصدر: الجهاز المركزي للإحصاء الفلسطيني، </w:t>
      </w:r>
      <w:r w:rsidRPr="00D0398E">
        <w:rPr>
          <w:rFonts w:ascii="Simplified Arabic" w:hAnsi="Simplified Arabic" w:cs="Simplified Arabic"/>
          <w:b/>
          <w:bCs/>
          <w:sz w:val="20"/>
          <w:szCs w:val="20"/>
        </w:rPr>
        <w:t>2021</w:t>
      </w:r>
      <w:r w:rsidRPr="00D0398E">
        <w:rPr>
          <w:rFonts w:ascii="Simplified Arabic" w:hAnsi="Simplified Arabic" w:cs="Simplified Arabic"/>
          <w:sz w:val="20"/>
          <w:szCs w:val="20"/>
          <w:rtl/>
        </w:rPr>
        <w:t>.  قاعدة بيانات القوى العاملة 2020.  رام الله - فلسطين.</w:t>
      </w:r>
    </w:p>
    <w:p w:rsidR="004C005A" w:rsidRPr="00C22011" w:rsidRDefault="004C005A" w:rsidP="004C005A">
      <w:pPr>
        <w:tabs>
          <w:tab w:val="right" w:pos="9071"/>
        </w:tabs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4C005A" w:rsidRPr="00D0398E" w:rsidRDefault="004C005A" w:rsidP="004C005A">
      <w:pPr>
        <w:tabs>
          <w:tab w:val="right" w:pos="9071"/>
        </w:tabs>
        <w:ind w:left="-1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حوالي </w:t>
      </w: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80</w:t>
      </w: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% من الأسر الفلسطينية لديها خدمة انترنت في البيت </w:t>
      </w:r>
    </w:p>
    <w:p w:rsidR="001B1ED2" w:rsidRPr="00C22011" w:rsidRDefault="004C005A" w:rsidP="001B1ED2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أظهرت نتائج المسح الاسري لتكنولوجيا المعلومات والاتصالات لعام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2019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أن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80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من الأسر في فلسطين لديها اتصال بالإنترنت في البيت، بواقع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84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الضفة الغربية، و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73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قطاع غزة.  في حين بلغت نسبة الأفراد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10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سنوات فأكثر الذين استخدموا الانترنت من أي مكان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71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فلسطين بواقع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</w:rPr>
        <w:t>74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الضفة الغربية و65% في قطاع غزة، حيث بلغت نسبة المستخدمين للانترنت بين الذكور 72% مقابل 69% للاناث.</w:t>
      </w:r>
      <w:r w:rsidR="001B1ED2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 كما أظهرت النتائج أن نسبة الأسر التي تمتلك هاتف نقال ذكي واحد أو أكثر في فلسطين بلغت 86% بواقع 91% في الضفة الغربية و78% في قطاع غزة.  أما على صعيد نسبة الأفراد 10 سنوات فأكثر الذين يمتلكون هاتف خلوي نقال فقد بلغت 75% في فلسطين، بواقع 82% في الضفة الغربية و64% في قطاع غزة، وعلى صعيد الجنس فقد بلغت هذه النسبة بين الذكور 79% وبين الإناث 71%.</w:t>
      </w:r>
    </w:p>
    <w:p w:rsidR="00D057A9" w:rsidRPr="00D0398E" w:rsidRDefault="00D057A9" w:rsidP="004C005A">
      <w:pPr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D057A9" w:rsidRPr="00D0398E" w:rsidRDefault="001B1ED2" w:rsidP="004C005A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29</w:t>
      </w:r>
      <w:r w:rsidR="00D057A9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% من الاسر التي أصيب فرد منها على الأقل بفايروس كوفيد – 19 تعرضوا للتنمر</w:t>
      </w:r>
    </w:p>
    <w:p w:rsidR="00D057A9" w:rsidRPr="00C22011" w:rsidRDefault="00D057A9" w:rsidP="00892FB9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أظهرت نتائج مسح كوفيد - 19 أن 8</w:t>
      </w:r>
      <w:r w:rsidR="00892FB9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من الاسر الفلسطينية ابدت عن قلقها من الإصابة بفايروس كوفيد - 19 (منها 35% كان قلقها كبير</w:t>
      </w:r>
      <w:r w:rsidR="00BF59A1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اً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الإصابة)، علما بان 15% من الاسر أكدوا إصابة فرد منها على الأقل بفايروس كوفيد – 19، </w:t>
      </w:r>
      <w:r w:rsidR="00BF59A1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29% من الاسر التي أصيب فرد منها على الأقل أكدوا تعرض أفرادها المصابين للتنمر.</w:t>
      </w:r>
    </w:p>
    <w:p w:rsidR="00D057A9" w:rsidRPr="00D0398E" w:rsidRDefault="00D057A9" w:rsidP="00D057A9">
      <w:pPr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D057A9" w:rsidRPr="00D0398E" w:rsidRDefault="00D057A9" w:rsidP="00D057A9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أقل من نصف المصابين بالفايروس قاموا بمراجعة مركز صحي مختص بفايروس كوفيد – 19</w:t>
      </w:r>
    </w:p>
    <w:p w:rsidR="00D057A9" w:rsidRPr="00C22011" w:rsidRDefault="00D057A9" w:rsidP="00C22011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اما بالنسبة للتدابير المتخذة حالة الإصابة بفايروس كوفيد – 19، فقد بينت النتائج ان 96% من المصابين قاموا بالالتزام بالحجر المنزلي، و</w:t>
      </w:r>
      <w:r w:rsidR="00892FB9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80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قاموا بتناول فيتامينات/مضادات حيوية فقط دون الرجوع الى أي مركز صحي، و</w:t>
      </w:r>
      <w:r w:rsidR="00892FB9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83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قاموا بتناول اعشاب طبية فقط دون الرجوع الى أي مركز صحي، و29% قاموا بمراجعة مركز صحي عام غير مختص بفايروس كوفيد - 19</w:t>
      </w:r>
      <w:r w:rsidR="00892FB9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و48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قاموا بمراجعة مركز صحي مختص بفايروس كوفيد- 19.</w:t>
      </w:r>
    </w:p>
    <w:p w:rsidR="0091276C" w:rsidRPr="00D0398E" w:rsidRDefault="00892FB9" w:rsidP="00892FB9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29</w:t>
      </w:r>
      <w:r w:rsidR="0091276C" w:rsidRPr="00D0398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% من المصابين بالفايروس انتقلت لهم العدوى بسبب زيارة الاهل والاصدقاء</w:t>
      </w:r>
    </w:p>
    <w:p w:rsidR="007C1E58" w:rsidRPr="00C22011" w:rsidRDefault="00892FB9" w:rsidP="00892FB9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أظهرت نتائج مسح كوفيد -19 أن 29</w:t>
      </w:r>
      <w:r w:rsidR="0091276C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من المصابين بفايروس كوفيد – 19 انتقلت لهم العدوى بسبب زيارة الأهل والأصدقاء، و22% من العمل،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10</w:t>
      </w:r>
      <w:r w:rsidR="0091276C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من حضور حفلة زفاف/ بيت عزاء، و9% من المستشفيات ومراكز الرعاية</w:t>
      </w:r>
      <w:r w:rsidR="0091276C" w:rsidRPr="00C22011">
        <w:rPr>
          <w:rFonts w:ascii="Simplified Arabic" w:hAnsi="Simplified Arabic" w:cs="Simplified Arabic"/>
          <w:smallCaps/>
          <w:sz w:val="26"/>
          <w:szCs w:val="26"/>
          <w:rtl/>
        </w:rPr>
        <w:t xml:space="preserve"> </w:t>
      </w:r>
      <w:r w:rsidR="0091276C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الصحية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7</w:t>
      </w:r>
      <w:r w:rsidR="0091276C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من الجامعات والمدارس.  في المقابل </w:t>
      </w:r>
      <w:r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18</w:t>
      </w:r>
      <w:r w:rsidR="0091276C" w:rsidRPr="00C220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من المصابين لا يعرفون المكان الذي انتقلت لهم او لأفراد اسرتهم المصابين العدوى بفايروس كوفيد – 19.</w:t>
      </w:r>
    </w:p>
    <w:p w:rsidR="00976561" w:rsidRPr="00D0398E" w:rsidRDefault="00976561" w:rsidP="00892FB9">
      <w:pPr>
        <w:jc w:val="both"/>
        <w:rPr>
          <w:rFonts w:ascii="Simplified Arabic" w:hAnsi="Simplified Arabic" w:cs="Simplified Arabic"/>
          <w:color w:val="000000" w:themeColor="text1"/>
          <w:rtl/>
        </w:rPr>
      </w:pPr>
    </w:p>
    <w:p w:rsidR="00976561" w:rsidRPr="00C22011" w:rsidRDefault="00976561" w:rsidP="00892FB9">
      <w:pPr>
        <w:jc w:val="both"/>
        <w:rPr>
          <w:rFonts w:ascii="Simplified Arabic" w:hAnsi="Simplified Arabic" w:cs="Simplified Arabic"/>
          <w:color w:val="000000" w:themeColor="text1"/>
        </w:rPr>
      </w:pPr>
      <w:r w:rsidRPr="00C22011">
        <w:rPr>
          <w:rFonts w:ascii="Simplified Arabic" w:hAnsi="Simplified Arabic" w:cs="Simplified Arabic"/>
          <w:rtl/>
        </w:rPr>
        <w:lastRenderedPageBreak/>
        <w:t>في سياق متصل أشارت بيانات مسح أثر كوفيد-19 على الظروف الاجتماعية والاقتصادية للاسر الفلسطينية أن 21% من النساء الحوامل كن بحاجة للحصول على خدمة صحية أثناء الحمل ولم يتمكن من ذلك بسبب الجائحة خلال الفترة الممتدة 5/3/-25/5/2020، و9% من النساء لم يتلقين رعاية صحية بعد الولادة خلال الفترة نفسها.</w:t>
      </w:r>
    </w:p>
    <w:p w:rsidR="0091276C" w:rsidRDefault="0091276C" w:rsidP="00E71102">
      <w:pPr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:rsidR="00EC5AF4" w:rsidRPr="00D0398E" w:rsidRDefault="00EC5AF4" w:rsidP="00D63AA6">
      <w:pPr>
        <w:spacing w:line="260" w:lineRule="exact"/>
        <w:jc w:val="lowKashida"/>
        <w:rPr>
          <w:rFonts w:ascii="Simplified Arabic" w:hAnsi="Simplified Arabic" w:cs="Simplified Arabic"/>
          <w:color w:val="000000" w:themeColor="text1"/>
          <w:rtl/>
        </w:rPr>
      </w:pPr>
    </w:p>
    <w:sectPr w:rsidR="00EC5AF4" w:rsidRPr="00D0398E" w:rsidSect="00C22011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851" w:right="1134" w:bottom="851" w:left="1134" w:header="270" w:footer="365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D5F" w:rsidRDefault="00E75D5F">
      <w:r>
        <w:separator/>
      </w:r>
    </w:p>
  </w:endnote>
  <w:endnote w:type="continuationSeparator" w:id="0">
    <w:p w:rsidR="00E75D5F" w:rsidRDefault="00E7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23D" w:rsidRDefault="006E725A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63523D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63523D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63523D" w:rsidRDefault="0063523D">
    <w:pPr>
      <w:pStyle w:val="Footer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23D" w:rsidRDefault="006E725A">
    <w:pPr>
      <w:pStyle w:val="Footer"/>
      <w:framePr w:wrap="around" w:vAnchor="text" w:hAnchor="margin" w:xAlign="center" w:y="1"/>
      <w:rPr>
        <w:rStyle w:val="PageNumber"/>
        <w:sz w:val="20"/>
        <w:szCs w:val="20"/>
        <w:rtl/>
        <w:lang w:eastAsia="en-US"/>
      </w:rPr>
    </w:pPr>
    <w:r>
      <w:rPr>
        <w:rStyle w:val="PageNumber"/>
        <w:sz w:val="20"/>
        <w:szCs w:val="20"/>
        <w:rtl/>
      </w:rPr>
      <w:fldChar w:fldCharType="begin"/>
    </w:r>
    <w:r w:rsidR="0063523D">
      <w:rPr>
        <w:rStyle w:val="PageNumber"/>
        <w:sz w:val="20"/>
        <w:szCs w:val="20"/>
        <w:lang w:eastAsia="en-US"/>
      </w:rPr>
      <w:instrText xml:space="preserve">PAGE  </w:instrText>
    </w:r>
    <w:r>
      <w:rPr>
        <w:rStyle w:val="PageNumber"/>
        <w:sz w:val="20"/>
        <w:szCs w:val="20"/>
        <w:rtl/>
      </w:rPr>
      <w:fldChar w:fldCharType="separate"/>
    </w:r>
    <w:r w:rsidR="00B360B9">
      <w:rPr>
        <w:rStyle w:val="PageNumber"/>
        <w:noProof/>
        <w:sz w:val="20"/>
        <w:szCs w:val="20"/>
        <w:rtl/>
      </w:rPr>
      <w:t>5</w:t>
    </w:r>
    <w:r>
      <w:rPr>
        <w:rStyle w:val="PageNumber"/>
        <w:sz w:val="20"/>
        <w:szCs w:val="20"/>
        <w:rtl/>
      </w:rPr>
      <w:fldChar w:fldCharType="end"/>
    </w:r>
  </w:p>
  <w:p w:rsidR="0063523D" w:rsidRDefault="0063523D">
    <w:pPr>
      <w:pStyle w:val="Footer"/>
      <w:rPr>
        <w:rtl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D5F" w:rsidRDefault="00E75D5F">
      <w:r>
        <w:separator/>
      </w:r>
    </w:p>
  </w:footnote>
  <w:footnote w:type="continuationSeparator" w:id="0">
    <w:p w:rsidR="00E75D5F" w:rsidRDefault="00E75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F56" w:rsidRDefault="00255F56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280"/>
      <w:gridCol w:w="3274"/>
      <w:gridCol w:w="3300"/>
    </w:tblGrid>
    <w:tr w:rsidR="0063523D" w:rsidTr="00B10EE0">
      <w:tc>
        <w:tcPr>
          <w:tcW w:w="3473" w:type="dxa"/>
          <w:vAlign w:val="center"/>
        </w:tcPr>
        <w:p w:rsidR="0063523D" w:rsidRDefault="0063523D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63523D" w:rsidRDefault="0063523D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63523D" w:rsidRDefault="0063523D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63523D" w:rsidRDefault="0063523D" w:rsidP="00B10EE0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بتاريخ: 19/06/2011</w:t>
          </w:r>
        </w:p>
      </w:tc>
    </w:tr>
  </w:tbl>
  <w:p w:rsidR="0063523D" w:rsidRPr="00237AA1" w:rsidRDefault="0063523D" w:rsidP="00237AA1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 w15:restartNumberingAfterBreak="0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 w15:restartNumberingAfterBreak="0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 w15:restartNumberingAfterBreak="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 w15:restartNumberingAfterBreak="0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 w15:restartNumberingAfterBreak="0">
    <w:nsid w:val="25060C62"/>
    <w:multiLevelType w:val="hybridMultilevel"/>
    <w:tmpl w:val="77D6E226"/>
    <w:lvl w:ilvl="0" w:tplc="04010001">
      <w:start w:val="1"/>
      <w:numFmt w:val="bullet"/>
      <w:lvlText w:val=""/>
      <w:lvlJc w:val="left"/>
      <w:pPr>
        <w:tabs>
          <w:tab w:val="num" w:pos="718"/>
        </w:tabs>
        <w:ind w:left="718" w:right="718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38"/>
        </w:tabs>
        <w:ind w:left="1438" w:right="1438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58"/>
        </w:tabs>
        <w:ind w:left="2158" w:right="2158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78"/>
        </w:tabs>
        <w:ind w:left="2878" w:right="2878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598"/>
        </w:tabs>
        <w:ind w:left="3598" w:right="3598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18"/>
        </w:tabs>
        <w:ind w:left="4318" w:right="4318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38"/>
        </w:tabs>
        <w:ind w:left="5038" w:right="5038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58"/>
        </w:tabs>
        <w:ind w:left="5758" w:right="5758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78"/>
        </w:tabs>
        <w:ind w:left="6478" w:right="6478" w:hanging="360"/>
      </w:pPr>
      <w:rPr>
        <w:rFonts w:ascii="Wingdings" w:hAnsi="Wingdings" w:hint="default"/>
      </w:rPr>
    </w:lvl>
  </w:abstractNum>
  <w:abstractNum w:abstractNumId="13" w15:restartNumberingAfterBreak="0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5" w15:restartNumberingAfterBreak="0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6" w15:restartNumberingAfterBreak="0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 w15:restartNumberingAfterBreak="0">
    <w:nsid w:val="2FEE04FF"/>
    <w:multiLevelType w:val="hybridMultilevel"/>
    <w:tmpl w:val="948C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0" w15:restartNumberingAfterBreak="0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21" w15:restartNumberingAfterBreak="0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 w15:restartNumberingAfterBreak="0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6" w15:restartNumberingAfterBreak="0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 w15:restartNumberingAfterBreak="0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9" w15:restartNumberingAfterBreak="0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0" w15:restartNumberingAfterBreak="0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 w15:restartNumberingAfterBreak="0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2" w15:restartNumberingAfterBreak="0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 w15:restartNumberingAfterBreak="0">
    <w:nsid w:val="558F1752"/>
    <w:multiLevelType w:val="hybridMultilevel"/>
    <w:tmpl w:val="BEA68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6" w15:restartNumberingAfterBreak="0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 w15:restartNumberingAfterBreak="0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 w15:restartNumberingAfterBreak="0">
    <w:nsid w:val="62CF6611"/>
    <w:multiLevelType w:val="hybridMultilevel"/>
    <w:tmpl w:val="892006E4"/>
    <w:lvl w:ilvl="0" w:tplc="A98A83B0"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40" w15:restartNumberingAfterBreak="0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1" w15:restartNumberingAfterBreak="0">
    <w:nsid w:val="6D647482"/>
    <w:multiLevelType w:val="hybridMultilevel"/>
    <w:tmpl w:val="E3027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4" w15:restartNumberingAfterBreak="0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 w15:restartNumberingAfterBreak="0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39"/>
  </w:num>
  <w:num w:numId="3">
    <w:abstractNumId w:val="35"/>
  </w:num>
  <w:num w:numId="4">
    <w:abstractNumId w:val="40"/>
  </w:num>
  <w:num w:numId="5">
    <w:abstractNumId w:val="42"/>
  </w:num>
  <w:num w:numId="6">
    <w:abstractNumId w:val="28"/>
  </w:num>
  <w:num w:numId="7">
    <w:abstractNumId w:val="45"/>
  </w:num>
  <w:num w:numId="8">
    <w:abstractNumId w:val="1"/>
  </w:num>
  <w:num w:numId="9">
    <w:abstractNumId w:val="6"/>
  </w:num>
  <w:num w:numId="10">
    <w:abstractNumId w:val="4"/>
  </w:num>
  <w:num w:numId="11">
    <w:abstractNumId w:val="23"/>
  </w:num>
  <w:num w:numId="12">
    <w:abstractNumId w:val="3"/>
  </w:num>
  <w:num w:numId="13">
    <w:abstractNumId w:val="27"/>
  </w:num>
  <w:num w:numId="14">
    <w:abstractNumId w:val="30"/>
  </w:num>
  <w:num w:numId="15">
    <w:abstractNumId w:val="24"/>
  </w:num>
  <w:num w:numId="16">
    <w:abstractNumId w:val="2"/>
  </w:num>
  <w:num w:numId="17">
    <w:abstractNumId w:val="34"/>
  </w:num>
  <w:num w:numId="18">
    <w:abstractNumId w:val="31"/>
  </w:num>
  <w:num w:numId="19">
    <w:abstractNumId w:val="8"/>
  </w:num>
  <w:num w:numId="20">
    <w:abstractNumId w:val="7"/>
  </w:num>
  <w:num w:numId="21">
    <w:abstractNumId w:val="20"/>
  </w:num>
  <w:num w:numId="22">
    <w:abstractNumId w:val="25"/>
  </w:num>
  <w:num w:numId="23">
    <w:abstractNumId w:val="13"/>
  </w:num>
  <w:num w:numId="24">
    <w:abstractNumId w:val="9"/>
  </w:num>
  <w:num w:numId="25">
    <w:abstractNumId w:val="44"/>
  </w:num>
  <w:num w:numId="26">
    <w:abstractNumId w:val="36"/>
  </w:num>
  <w:num w:numId="27">
    <w:abstractNumId w:val="5"/>
  </w:num>
  <w:num w:numId="28">
    <w:abstractNumId w:val="11"/>
  </w:num>
  <w:num w:numId="29">
    <w:abstractNumId w:val="15"/>
  </w:num>
  <w:num w:numId="30">
    <w:abstractNumId w:val="18"/>
  </w:num>
  <w:num w:numId="31">
    <w:abstractNumId w:val="16"/>
  </w:num>
  <w:num w:numId="32">
    <w:abstractNumId w:val="19"/>
  </w:num>
  <w:num w:numId="33">
    <w:abstractNumId w:val="37"/>
  </w:num>
  <w:num w:numId="34">
    <w:abstractNumId w:val="32"/>
  </w:num>
  <w:num w:numId="35">
    <w:abstractNumId w:val="14"/>
  </w:num>
  <w:num w:numId="36">
    <w:abstractNumId w:val="29"/>
  </w:num>
  <w:num w:numId="37">
    <w:abstractNumId w:val="0"/>
  </w:num>
  <w:num w:numId="38">
    <w:abstractNumId w:val="26"/>
  </w:num>
  <w:num w:numId="39">
    <w:abstractNumId w:val="22"/>
  </w:num>
  <w:num w:numId="40">
    <w:abstractNumId w:val="43"/>
  </w:num>
  <w:num w:numId="41">
    <w:abstractNumId w:val="21"/>
  </w:num>
  <w:num w:numId="42">
    <w:abstractNumId w:val="12"/>
  </w:num>
  <w:num w:numId="43">
    <w:abstractNumId w:val="41"/>
  </w:num>
  <w:num w:numId="44">
    <w:abstractNumId w:val="33"/>
  </w:num>
  <w:num w:numId="45">
    <w:abstractNumId w:val="17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DD"/>
    <w:rsid w:val="0000071F"/>
    <w:rsid w:val="000009B3"/>
    <w:rsid w:val="00000AD9"/>
    <w:rsid w:val="000038EA"/>
    <w:rsid w:val="00005179"/>
    <w:rsid w:val="00005A7F"/>
    <w:rsid w:val="0000653A"/>
    <w:rsid w:val="00007697"/>
    <w:rsid w:val="00014EF7"/>
    <w:rsid w:val="00016CD2"/>
    <w:rsid w:val="0002405E"/>
    <w:rsid w:val="00024A04"/>
    <w:rsid w:val="00024A21"/>
    <w:rsid w:val="00026672"/>
    <w:rsid w:val="00027544"/>
    <w:rsid w:val="00030C00"/>
    <w:rsid w:val="000423C8"/>
    <w:rsid w:val="00043A56"/>
    <w:rsid w:val="00045501"/>
    <w:rsid w:val="00047956"/>
    <w:rsid w:val="000512B5"/>
    <w:rsid w:val="00055ABD"/>
    <w:rsid w:val="00055C47"/>
    <w:rsid w:val="00055C69"/>
    <w:rsid w:val="00055E62"/>
    <w:rsid w:val="00056EB1"/>
    <w:rsid w:val="00066AFF"/>
    <w:rsid w:val="000709ED"/>
    <w:rsid w:val="00073B0A"/>
    <w:rsid w:val="00074748"/>
    <w:rsid w:val="0007569C"/>
    <w:rsid w:val="000776EB"/>
    <w:rsid w:val="0008051C"/>
    <w:rsid w:val="00085230"/>
    <w:rsid w:val="000869A2"/>
    <w:rsid w:val="00090FCC"/>
    <w:rsid w:val="0009101D"/>
    <w:rsid w:val="0009132E"/>
    <w:rsid w:val="00095E8D"/>
    <w:rsid w:val="00097E4C"/>
    <w:rsid w:val="000A2143"/>
    <w:rsid w:val="000A3BA7"/>
    <w:rsid w:val="000B2D0D"/>
    <w:rsid w:val="000C1DA4"/>
    <w:rsid w:val="000C3718"/>
    <w:rsid w:val="000C4B67"/>
    <w:rsid w:val="000D0C52"/>
    <w:rsid w:val="000D3DC7"/>
    <w:rsid w:val="000D4428"/>
    <w:rsid w:val="000D4D83"/>
    <w:rsid w:val="000E0622"/>
    <w:rsid w:val="000F0130"/>
    <w:rsid w:val="000F1069"/>
    <w:rsid w:val="000F363E"/>
    <w:rsid w:val="000F5133"/>
    <w:rsid w:val="000F5A07"/>
    <w:rsid w:val="000F68E2"/>
    <w:rsid w:val="001003F1"/>
    <w:rsid w:val="00101EE6"/>
    <w:rsid w:val="00102564"/>
    <w:rsid w:val="00103DA4"/>
    <w:rsid w:val="0010598F"/>
    <w:rsid w:val="001104DD"/>
    <w:rsid w:val="00111EA4"/>
    <w:rsid w:val="00111EF6"/>
    <w:rsid w:val="001158D7"/>
    <w:rsid w:val="00117295"/>
    <w:rsid w:val="0012375A"/>
    <w:rsid w:val="001245DE"/>
    <w:rsid w:val="001276D4"/>
    <w:rsid w:val="00132472"/>
    <w:rsid w:val="00134B3C"/>
    <w:rsid w:val="0014763A"/>
    <w:rsid w:val="00151720"/>
    <w:rsid w:val="001538F3"/>
    <w:rsid w:val="0016048D"/>
    <w:rsid w:val="00160ED3"/>
    <w:rsid w:val="00162EF1"/>
    <w:rsid w:val="001633DA"/>
    <w:rsid w:val="0016470A"/>
    <w:rsid w:val="00166A06"/>
    <w:rsid w:val="00167681"/>
    <w:rsid w:val="001704DA"/>
    <w:rsid w:val="00171F69"/>
    <w:rsid w:val="001720A1"/>
    <w:rsid w:val="001740A4"/>
    <w:rsid w:val="001741D7"/>
    <w:rsid w:val="00174F20"/>
    <w:rsid w:val="0017670B"/>
    <w:rsid w:val="00176D49"/>
    <w:rsid w:val="001770A6"/>
    <w:rsid w:val="001821FF"/>
    <w:rsid w:val="00184723"/>
    <w:rsid w:val="001862BA"/>
    <w:rsid w:val="00187E55"/>
    <w:rsid w:val="00190CAC"/>
    <w:rsid w:val="00193EF5"/>
    <w:rsid w:val="00195502"/>
    <w:rsid w:val="00197EE2"/>
    <w:rsid w:val="001A2E41"/>
    <w:rsid w:val="001A72FA"/>
    <w:rsid w:val="001A7CA4"/>
    <w:rsid w:val="001B1296"/>
    <w:rsid w:val="001B1ED2"/>
    <w:rsid w:val="001B3D2D"/>
    <w:rsid w:val="001B4786"/>
    <w:rsid w:val="001C01F7"/>
    <w:rsid w:val="001C7BEE"/>
    <w:rsid w:val="001D252F"/>
    <w:rsid w:val="001D2A19"/>
    <w:rsid w:val="001D4837"/>
    <w:rsid w:val="001D58B2"/>
    <w:rsid w:val="001E1284"/>
    <w:rsid w:val="001E53E7"/>
    <w:rsid w:val="001E6769"/>
    <w:rsid w:val="001F24F9"/>
    <w:rsid w:val="001F32D8"/>
    <w:rsid w:val="001F38E3"/>
    <w:rsid w:val="001F45F5"/>
    <w:rsid w:val="001F7076"/>
    <w:rsid w:val="00203E96"/>
    <w:rsid w:val="00204C8F"/>
    <w:rsid w:val="00206FE0"/>
    <w:rsid w:val="00210522"/>
    <w:rsid w:val="002132AA"/>
    <w:rsid w:val="0021554B"/>
    <w:rsid w:val="002236C2"/>
    <w:rsid w:val="00223DAC"/>
    <w:rsid w:val="00224D55"/>
    <w:rsid w:val="00227C85"/>
    <w:rsid w:val="002363A1"/>
    <w:rsid w:val="0023787C"/>
    <w:rsid w:val="00237AA1"/>
    <w:rsid w:val="002414F7"/>
    <w:rsid w:val="002423E7"/>
    <w:rsid w:val="00254DFE"/>
    <w:rsid w:val="00255F56"/>
    <w:rsid w:val="002639F4"/>
    <w:rsid w:val="002709C3"/>
    <w:rsid w:val="00271CC9"/>
    <w:rsid w:val="00272BFE"/>
    <w:rsid w:val="00273434"/>
    <w:rsid w:val="00273617"/>
    <w:rsid w:val="00275682"/>
    <w:rsid w:val="0028127E"/>
    <w:rsid w:val="00283668"/>
    <w:rsid w:val="002840A9"/>
    <w:rsid w:val="00285ACC"/>
    <w:rsid w:val="00286F83"/>
    <w:rsid w:val="00290077"/>
    <w:rsid w:val="002A031F"/>
    <w:rsid w:val="002A4D93"/>
    <w:rsid w:val="002A6913"/>
    <w:rsid w:val="002B21E9"/>
    <w:rsid w:val="002C4877"/>
    <w:rsid w:val="002C4899"/>
    <w:rsid w:val="002C55C2"/>
    <w:rsid w:val="002C737F"/>
    <w:rsid w:val="002D0C3F"/>
    <w:rsid w:val="002E1CB5"/>
    <w:rsid w:val="002E1F65"/>
    <w:rsid w:val="002E228B"/>
    <w:rsid w:val="002E38E1"/>
    <w:rsid w:val="002F0E20"/>
    <w:rsid w:val="002F4437"/>
    <w:rsid w:val="002F784E"/>
    <w:rsid w:val="00304A38"/>
    <w:rsid w:val="00304C00"/>
    <w:rsid w:val="003072D2"/>
    <w:rsid w:val="00310E2F"/>
    <w:rsid w:val="00312413"/>
    <w:rsid w:val="00316F38"/>
    <w:rsid w:val="003172A5"/>
    <w:rsid w:val="00322A71"/>
    <w:rsid w:val="00324A4C"/>
    <w:rsid w:val="00325B3E"/>
    <w:rsid w:val="00325D6B"/>
    <w:rsid w:val="00343E48"/>
    <w:rsid w:val="00343E64"/>
    <w:rsid w:val="0034506C"/>
    <w:rsid w:val="00347F6E"/>
    <w:rsid w:val="00350CE2"/>
    <w:rsid w:val="00354B9B"/>
    <w:rsid w:val="00356CE0"/>
    <w:rsid w:val="00357C51"/>
    <w:rsid w:val="00361A27"/>
    <w:rsid w:val="00363BD7"/>
    <w:rsid w:val="00370646"/>
    <w:rsid w:val="003735DD"/>
    <w:rsid w:val="00373B0F"/>
    <w:rsid w:val="003746DD"/>
    <w:rsid w:val="00374C3C"/>
    <w:rsid w:val="00374D2C"/>
    <w:rsid w:val="003753B8"/>
    <w:rsid w:val="00375602"/>
    <w:rsid w:val="00380242"/>
    <w:rsid w:val="00380487"/>
    <w:rsid w:val="00381B77"/>
    <w:rsid w:val="0038244A"/>
    <w:rsid w:val="003A2EEC"/>
    <w:rsid w:val="003A3589"/>
    <w:rsid w:val="003A7A5D"/>
    <w:rsid w:val="003B6017"/>
    <w:rsid w:val="003B779E"/>
    <w:rsid w:val="003C2315"/>
    <w:rsid w:val="003C2D0C"/>
    <w:rsid w:val="003C3885"/>
    <w:rsid w:val="003C449D"/>
    <w:rsid w:val="003C6772"/>
    <w:rsid w:val="003D1A96"/>
    <w:rsid w:val="003D3A7B"/>
    <w:rsid w:val="003D6243"/>
    <w:rsid w:val="003E10FD"/>
    <w:rsid w:val="003E57BD"/>
    <w:rsid w:val="003E7FCE"/>
    <w:rsid w:val="003F1D54"/>
    <w:rsid w:val="003F4698"/>
    <w:rsid w:val="003F46FB"/>
    <w:rsid w:val="003F4EED"/>
    <w:rsid w:val="003F79E7"/>
    <w:rsid w:val="004051ED"/>
    <w:rsid w:val="00406FEA"/>
    <w:rsid w:val="00410898"/>
    <w:rsid w:val="00411431"/>
    <w:rsid w:val="00411652"/>
    <w:rsid w:val="004131AA"/>
    <w:rsid w:val="004150DE"/>
    <w:rsid w:val="004202CB"/>
    <w:rsid w:val="00423A2B"/>
    <w:rsid w:val="004306EE"/>
    <w:rsid w:val="00432D83"/>
    <w:rsid w:val="00434207"/>
    <w:rsid w:val="004353EA"/>
    <w:rsid w:val="004358E7"/>
    <w:rsid w:val="00440CEB"/>
    <w:rsid w:val="00443861"/>
    <w:rsid w:val="0044500C"/>
    <w:rsid w:val="004534FB"/>
    <w:rsid w:val="00454716"/>
    <w:rsid w:val="00466555"/>
    <w:rsid w:val="00471326"/>
    <w:rsid w:val="004714B4"/>
    <w:rsid w:val="00477B04"/>
    <w:rsid w:val="00477B91"/>
    <w:rsid w:val="004803C6"/>
    <w:rsid w:val="00480F1D"/>
    <w:rsid w:val="00481144"/>
    <w:rsid w:val="00481C64"/>
    <w:rsid w:val="00485EAC"/>
    <w:rsid w:val="00487E2C"/>
    <w:rsid w:val="00492268"/>
    <w:rsid w:val="004A2423"/>
    <w:rsid w:val="004A4B6B"/>
    <w:rsid w:val="004A55B0"/>
    <w:rsid w:val="004A63BE"/>
    <w:rsid w:val="004B2084"/>
    <w:rsid w:val="004B2D88"/>
    <w:rsid w:val="004B4081"/>
    <w:rsid w:val="004B416E"/>
    <w:rsid w:val="004C005A"/>
    <w:rsid w:val="004C05E7"/>
    <w:rsid w:val="004C33B2"/>
    <w:rsid w:val="004C5B5B"/>
    <w:rsid w:val="004C731B"/>
    <w:rsid w:val="004D37C0"/>
    <w:rsid w:val="004E1D64"/>
    <w:rsid w:val="004E40B4"/>
    <w:rsid w:val="004E6BEC"/>
    <w:rsid w:val="004E7B21"/>
    <w:rsid w:val="004F2113"/>
    <w:rsid w:val="004F2C8A"/>
    <w:rsid w:val="004F6EE1"/>
    <w:rsid w:val="00507FC3"/>
    <w:rsid w:val="00514C04"/>
    <w:rsid w:val="00515789"/>
    <w:rsid w:val="005157AF"/>
    <w:rsid w:val="005218AA"/>
    <w:rsid w:val="00522138"/>
    <w:rsid w:val="00523905"/>
    <w:rsid w:val="00526751"/>
    <w:rsid w:val="00532F08"/>
    <w:rsid w:val="005368CC"/>
    <w:rsid w:val="00541FA2"/>
    <w:rsid w:val="00544D73"/>
    <w:rsid w:val="00546089"/>
    <w:rsid w:val="0054639D"/>
    <w:rsid w:val="00546492"/>
    <w:rsid w:val="005516C5"/>
    <w:rsid w:val="005524C3"/>
    <w:rsid w:val="00553C28"/>
    <w:rsid w:val="00556D04"/>
    <w:rsid w:val="005579D0"/>
    <w:rsid w:val="005617F4"/>
    <w:rsid w:val="00564554"/>
    <w:rsid w:val="005675D1"/>
    <w:rsid w:val="00567D10"/>
    <w:rsid w:val="0057079A"/>
    <w:rsid w:val="00590681"/>
    <w:rsid w:val="00591FA7"/>
    <w:rsid w:val="005A0D39"/>
    <w:rsid w:val="005A1408"/>
    <w:rsid w:val="005A4D0D"/>
    <w:rsid w:val="005A5569"/>
    <w:rsid w:val="005A6663"/>
    <w:rsid w:val="005A6CF5"/>
    <w:rsid w:val="005B1E09"/>
    <w:rsid w:val="005B5CAF"/>
    <w:rsid w:val="005C0975"/>
    <w:rsid w:val="005C103A"/>
    <w:rsid w:val="005D6E2D"/>
    <w:rsid w:val="005E3A9D"/>
    <w:rsid w:val="005E62C4"/>
    <w:rsid w:val="005E688D"/>
    <w:rsid w:val="005E6E19"/>
    <w:rsid w:val="005E7B47"/>
    <w:rsid w:val="005F0EFC"/>
    <w:rsid w:val="005F44FA"/>
    <w:rsid w:val="005F579B"/>
    <w:rsid w:val="00611674"/>
    <w:rsid w:val="006120EB"/>
    <w:rsid w:val="0061396D"/>
    <w:rsid w:val="00617097"/>
    <w:rsid w:val="00617884"/>
    <w:rsid w:val="006200B5"/>
    <w:rsid w:val="00620287"/>
    <w:rsid w:val="00623EAF"/>
    <w:rsid w:val="006249C6"/>
    <w:rsid w:val="0063068A"/>
    <w:rsid w:val="00632B14"/>
    <w:rsid w:val="00632E80"/>
    <w:rsid w:val="0063523D"/>
    <w:rsid w:val="00635ECD"/>
    <w:rsid w:val="00640044"/>
    <w:rsid w:val="006403F9"/>
    <w:rsid w:val="00641D59"/>
    <w:rsid w:val="006433C4"/>
    <w:rsid w:val="00644597"/>
    <w:rsid w:val="0064473C"/>
    <w:rsid w:val="00651190"/>
    <w:rsid w:val="00651F0F"/>
    <w:rsid w:val="00652E47"/>
    <w:rsid w:val="00655535"/>
    <w:rsid w:val="00661BDC"/>
    <w:rsid w:val="0066251F"/>
    <w:rsid w:val="0066400C"/>
    <w:rsid w:val="00664C3A"/>
    <w:rsid w:val="00666465"/>
    <w:rsid w:val="006716AC"/>
    <w:rsid w:val="00673F02"/>
    <w:rsid w:val="0068493B"/>
    <w:rsid w:val="0069110E"/>
    <w:rsid w:val="006936AF"/>
    <w:rsid w:val="006944DC"/>
    <w:rsid w:val="006967C8"/>
    <w:rsid w:val="006A0E87"/>
    <w:rsid w:val="006A0F73"/>
    <w:rsid w:val="006A493F"/>
    <w:rsid w:val="006A4E9A"/>
    <w:rsid w:val="006A52F2"/>
    <w:rsid w:val="006A6FF1"/>
    <w:rsid w:val="006B0644"/>
    <w:rsid w:val="006B108E"/>
    <w:rsid w:val="006B157B"/>
    <w:rsid w:val="006B5E72"/>
    <w:rsid w:val="006C19EA"/>
    <w:rsid w:val="006C5FC3"/>
    <w:rsid w:val="006D1853"/>
    <w:rsid w:val="006D21F0"/>
    <w:rsid w:val="006D4742"/>
    <w:rsid w:val="006D49FB"/>
    <w:rsid w:val="006D72AF"/>
    <w:rsid w:val="006D7622"/>
    <w:rsid w:val="006D7B5A"/>
    <w:rsid w:val="006E0C76"/>
    <w:rsid w:val="006E1D1B"/>
    <w:rsid w:val="006E3BE1"/>
    <w:rsid w:val="006E3E08"/>
    <w:rsid w:val="006E606C"/>
    <w:rsid w:val="006E677B"/>
    <w:rsid w:val="006E725A"/>
    <w:rsid w:val="006F1263"/>
    <w:rsid w:val="006F1F89"/>
    <w:rsid w:val="006F39C7"/>
    <w:rsid w:val="006F3D08"/>
    <w:rsid w:val="006F4E33"/>
    <w:rsid w:val="006F6656"/>
    <w:rsid w:val="006F69FB"/>
    <w:rsid w:val="006F78B0"/>
    <w:rsid w:val="0070024A"/>
    <w:rsid w:val="00702A42"/>
    <w:rsid w:val="0070704A"/>
    <w:rsid w:val="00707967"/>
    <w:rsid w:val="007112E8"/>
    <w:rsid w:val="00711B86"/>
    <w:rsid w:val="00713870"/>
    <w:rsid w:val="00715D55"/>
    <w:rsid w:val="007161A4"/>
    <w:rsid w:val="00716EE8"/>
    <w:rsid w:val="00717EE5"/>
    <w:rsid w:val="00720D00"/>
    <w:rsid w:val="00720F07"/>
    <w:rsid w:val="00722918"/>
    <w:rsid w:val="00730A36"/>
    <w:rsid w:val="00742A60"/>
    <w:rsid w:val="00743787"/>
    <w:rsid w:val="00744BCD"/>
    <w:rsid w:val="00746B07"/>
    <w:rsid w:val="00746B86"/>
    <w:rsid w:val="0074720C"/>
    <w:rsid w:val="00747B3E"/>
    <w:rsid w:val="00756258"/>
    <w:rsid w:val="007614E2"/>
    <w:rsid w:val="00766F5C"/>
    <w:rsid w:val="00771668"/>
    <w:rsid w:val="0077438F"/>
    <w:rsid w:val="00774F8E"/>
    <w:rsid w:val="00776280"/>
    <w:rsid w:val="00781CF0"/>
    <w:rsid w:val="007835B1"/>
    <w:rsid w:val="00783771"/>
    <w:rsid w:val="00785839"/>
    <w:rsid w:val="00787412"/>
    <w:rsid w:val="00787619"/>
    <w:rsid w:val="0078792E"/>
    <w:rsid w:val="007902C4"/>
    <w:rsid w:val="00794170"/>
    <w:rsid w:val="00794AAA"/>
    <w:rsid w:val="00795048"/>
    <w:rsid w:val="007A6485"/>
    <w:rsid w:val="007A7742"/>
    <w:rsid w:val="007B399D"/>
    <w:rsid w:val="007B7DAB"/>
    <w:rsid w:val="007C1E58"/>
    <w:rsid w:val="007C20D7"/>
    <w:rsid w:val="007C4E96"/>
    <w:rsid w:val="007D2796"/>
    <w:rsid w:val="007D409D"/>
    <w:rsid w:val="007D573F"/>
    <w:rsid w:val="007E0ACD"/>
    <w:rsid w:val="007F3537"/>
    <w:rsid w:val="007F6E11"/>
    <w:rsid w:val="007F72A1"/>
    <w:rsid w:val="00800114"/>
    <w:rsid w:val="00813B7F"/>
    <w:rsid w:val="0081532D"/>
    <w:rsid w:val="00817DA0"/>
    <w:rsid w:val="00832431"/>
    <w:rsid w:val="00832D2C"/>
    <w:rsid w:val="008332C3"/>
    <w:rsid w:val="00835E65"/>
    <w:rsid w:val="008373D9"/>
    <w:rsid w:val="00837B60"/>
    <w:rsid w:val="00841352"/>
    <w:rsid w:val="00843086"/>
    <w:rsid w:val="00844195"/>
    <w:rsid w:val="008443DA"/>
    <w:rsid w:val="00845295"/>
    <w:rsid w:val="008528A7"/>
    <w:rsid w:val="008558DA"/>
    <w:rsid w:val="0086011D"/>
    <w:rsid w:val="0087032A"/>
    <w:rsid w:val="0087384A"/>
    <w:rsid w:val="0087645E"/>
    <w:rsid w:val="00885C7A"/>
    <w:rsid w:val="0088753F"/>
    <w:rsid w:val="00890FF2"/>
    <w:rsid w:val="008910BE"/>
    <w:rsid w:val="00892FB9"/>
    <w:rsid w:val="00897671"/>
    <w:rsid w:val="008A2EDD"/>
    <w:rsid w:val="008A7E2B"/>
    <w:rsid w:val="008B0404"/>
    <w:rsid w:val="008B40C8"/>
    <w:rsid w:val="008B5798"/>
    <w:rsid w:val="008B58A0"/>
    <w:rsid w:val="008B5EF7"/>
    <w:rsid w:val="008B7BFC"/>
    <w:rsid w:val="008B7ECB"/>
    <w:rsid w:val="008C0368"/>
    <w:rsid w:val="008C1A90"/>
    <w:rsid w:val="008C415B"/>
    <w:rsid w:val="008C4A38"/>
    <w:rsid w:val="008C584B"/>
    <w:rsid w:val="008C6AF4"/>
    <w:rsid w:val="008C7F4F"/>
    <w:rsid w:val="008D6C41"/>
    <w:rsid w:val="008E1056"/>
    <w:rsid w:val="008E2052"/>
    <w:rsid w:val="008E2E60"/>
    <w:rsid w:val="008F0F75"/>
    <w:rsid w:val="008F2D8F"/>
    <w:rsid w:val="009003E6"/>
    <w:rsid w:val="00903C3D"/>
    <w:rsid w:val="00904CFA"/>
    <w:rsid w:val="0090513E"/>
    <w:rsid w:val="009065BC"/>
    <w:rsid w:val="0091276C"/>
    <w:rsid w:val="0092151B"/>
    <w:rsid w:val="00923A97"/>
    <w:rsid w:val="00925A59"/>
    <w:rsid w:val="00926DDA"/>
    <w:rsid w:val="00927850"/>
    <w:rsid w:val="00931210"/>
    <w:rsid w:val="00932067"/>
    <w:rsid w:val="009403EC"/>
    <w:rsid w:val="009437E6"/>
    <w:rsid w:val="00944C3C"/>
    <w:rsid w:val="00947EE9"/>
    <w:rsid w:val="00951474"/>
    <w:rsid w:val="0095464D"/>
    <w:rsid w:val="009560F4"/>
    <w:rsid w:val="009636EF"/>
    <w:rsid w:val="00964000"/>
    <w:rsid w:val="009648A0"/>
    <w:rsid w:val="0096610A"/>
    <w:rsid w:val="0097173D"/>
    <w:rsid w:val="009764B5"/>
    <w:rsid w:val="00976561"/>
    <w:rsid w:val="0097736E"/>
    <w:rsid w:val="009849DA"/>
    <w:rsid w:val="009857D9"/>
    <w:rsid w:val="00990378"/>
    <w:rsid w:val="00990AB9"/>
    <w:rsid w:val="009A246E"/>
    <w:rsid w:val="009A31C1"/>
    <w:rsid w:val="009A4CB0"/>
    <w:rsid w:val="009B53EF"/>
    <w:rsid w:val="009C0547"/>
    <w:rsid w:val="009C28F9"/>
    <w:rsid w:val="009C2D41"/>
    <w:rsid w:val="009C47BF"/>
    <w:rsid w:val="009C5DF1"/>
    <w:rsid w:val="009C7124"/>
    <w:rsid w:val="009C745F"/>
    <w:rsid w:val="009D0966"/>
    <w:rsid w:val="009D3A28"/>
    <w:rsid w:val="009E1697"/>
    <w:rsid w:val="009F186C"/>
    <w:rsid w:val="00A03117"/>
    <w:rsid w:val="00A03370"/>
    <w:rsid w:val="00A05640"/>
    <w:rsid w:val="00A07E67"/>
    <w:rsid w:val="00A11083"/>
    <w:rsid w:val="00A118EF"/>
    <w:rsid w:val="00A12A52"/>
    <w:rsid w:val="00A138CD"/>
    <w:rsid w:val="00A15268"/>
    <w:rsid w:val="00A16964"/>
    <w:rsid w:val="00A2003C"/>
    <w:rsid w:val="00A2027B"/>
    <w:rsid w:val="00A20710"/>
    <w:rsid w:val="00A22F1E"/>
    <w:rsid w:val="00A279EE"/>
    <w:rsid w:val="00A30BE4"/>
    <w:rsid w:val="00A30DBB"/>
    <w:rsid w:val="00A31AA0"/>
    <w:rsid w:val="00A32CE0"/>
    <w:rsid w:val="00A33A3E"/>
    <w:rsid w:val="00A40E6F"/>
    <w:rsid w:val="00A42D72"/>
    <w:rsid w:val="00A46660"/>
    <w:rsid w:val="00A52040"/>
    <w:rsid w:val="00A5260D"/>
    <w:rsid w:val="00A5344B"/>
    <w:rsid w:val="00A543D4"/>
    <w:rsid w:val="00A552AA"/>
    <w:rsid w:val="00A62B42"/>
    <w:rsid w:val="00A71097"/>
    <w:rsid w:val="00A741FA"/>
    <w:rsid w:val="00A765EB"/>
    <w:rsid w:val="00A8240D"/>
    <w:rsid w:val="00A824BF"/>
    <w:rsid w:val="00A83D00"/>
    <w:rsid w:val="00A84103"/>
    <w:rsid w:val="00A86144"/>
    <w:rsid w:val="00A93951"/>
    <w:rsid w:val="00A9452E"/>
    <w:rsid w:val="00A9547E"/>
    <w:rsid w:val="00A96704"/>
    <w:rsid w:val="00A973FC"/>
    <w:rsid w:val="00A97553"/>
    <w:rsid w:val="00AA14D9"/>
    <w:rsid w:val="00AA25DA"/>
    <w:rsid w:val="00AA2ED4"/>
    <w:rsid w:val="00AB17CF"/>
    <w:rsid w:val="00AB7080"/>
    <w:rsid w:val="00AB7587"/>
    <w:rsid w:val="00AC064B"/>
    <w:rsid w:val="00AC0D1C"/>
    <w:rsid w:val="00AC78DF"/>
    <w:rsid w:val="00AD3FCD"/>
    <w:rsid w:val="00AD6533"/>
    <w:rsid w:val="00AE02A2"/>
    <w:rsid w:val="00AE03C1"/>
    <w:rsid w:val="00AE5BB3"/>
    <w:rsid w:val="00AE65FC"/>
    <w:rsid w:val="00AF2957"/>
    <w:rsid w:val="00AF301D"/>
    <w:rsid w:val="00AF43D2"/>
    <w:rsid w:val="00AF7029"/>
    <w:rsid w:val="00B00565"/>
    <w:rsid w:val="00B03225"/>
    <w:rsid w:val="00B036F9"/>
    <w:rsid w:val="00B10EE0"/>
    <w:rsid w:val="00B11833"/>
    <w:rsid w:val="00B203FA"/>
    <w:rsid w:val="00B2280E"/>
    <w:rsid w:val="00B23097"/>
    <w:rsid w:val="00B252F2"/>
    <w:rsid w:val="00B2552A"/>
    <w:rsid w:val="00B258D9"/>
    <w:rsid w:val="00B26686"/>
    <w:rsid w:val="00B274FB"/>
    <w:rsid w:val="00B276D6"/>
    <w:rsid w:val="00B360B9"/>
    <w:rsid w:val="00B367BB"/>
    <w:rsid w:val="00B3789C"/>
    <w:rsid w:val="00B41459"/>
    <w:rsid w:val="00B43256"/>
    <w:rsid w:val="00B446F3"/>
    <w:rsid w:val="00B478B1"/>
    <w:rsid w:val="00B47913"/>
    <w:rsid w:val="00B56FA1"/>
    <w:rsid w:val="00B578BF"/>
    <w:rsid w:val="00B62810"/>
    <w:rsid w:val="00B645F1"/>
    <w:rsid w:val="00B64E45"/>
    <w:rsid w:val="00B66C63"/>
    <w:rsid w:val="00B72E6C"/>
    <w:rsid w:val="00B80948"/>
    <w:rsid w:val="00B93E65"/>
    <w:rsid w:val="00B95437"/>
    <w:rsid w:val="00B97D5A"/>
    <w:rsid w:val="00BA0BFF"/>
    <w:rsid w:val="00BA7749"/>
    <w:rsid w:val="00BB2087"/>
    <w:rsid w:val="00BB3712"/>
    <w:rsid w:val="00BC5613"/>
    <w:rsid w:val="00BC5C79"/>
    <w:rsid w:val="00BC5E25"/>
    <w:rsid w:val="00BC6254"/>
    <w:rsid w:val="00BD0EBB"/>
    <w:rsid w:val="00BD1FBF"/>
    <w:rsid w:val="00BD3F78"/>
    <w:rsid w:val="00BD4930"/>
    <w:rsid w:val="00BE0C67"/>
    <w:rsid w:val="00BE27E6"/>
    <w:rsid w:val="00BE3E19"/>
    <w:rsid w:val="00BE483F"/>
    <w:rsid w:val="00BE7F85"/>
    <w:rsid w:val="00BF0F7F"/>
    <w:rsid w:val="00BF12F6"/>
    <w:rsid w:val="00BF3F43"/>
    <w:rsid w:val="00BF43C3"/>
    <w:rsid w:val="00BF564C"/>
    <w:rsid w:val="00BF59A1"/>
    <w:rsid w:val="00BF5CB0"/>
    <w:rsid w:val="00C0155D"/>
    <w:rsid w:val="00C0170F"/>
    <w:rsid w:val="00C02720"/>
    <w:rsid w:val="00C03293"/>
    <w:rsid w:val="00C03815"/>
    <w:rsid w:val="00C04E58"/>
    <w:rsid w:val="00C050EF"/>
    <w:rsid w:val="00C06DCA"/>
    <w:rsid w:val="00C119B9"/>
    <w:rsid w:val="00C124F6"/>
    <w:rsid w:val="00C12C0D"/>
    <w:rsid w:val="00C140F3"/>
    <w:rsid w:val="00C167AD"/>
    <w:rsid w:val="00C21CB0"/>
    <w:rsid w:val="00C22011"/>
    <w:rsid w:val="00C2449B"/>
    <w:rsid w:val="00C2722F"/>
    <w:rsid w:val="00C30246"/>
    <w:rsid w:val="00C30CD6"/>
    <w:rsid w:val="00C32171"/>
    <w:rsid w:val="00C3410D"/>
    <w:rsid w:val="00C34A7F"/>
    <w:rsid w:val="00C37BE3"/>
    <w:rsid w:val="00C46FE8"/>
    <w:rsid w:val="00C47F0E"/>
    <w:rsid w:val="00C5002B"/>
    <w:rsid w:val="00C524C9"/>
    <w:rsid w:val="00C53456"/>
    <w:rsid w:val="00C537B9"/>
    <w:rsid w:val="00C53CC1"/>
    <w:rsid w:val="00C6119E"/>
    <w:rsid w:val="00C612A6"/>
    <w:rsid w:val="00C61534"/>
    <w:rsid w:val="00C6278F"/>
    <w:rsid w:val="00C64F06"/>
    <w:rsid w:val="00C65F0A"/>
    <w:rsid w:val="00C6615A"/>
    <w:rsid w:val="00C70172"/>
    <w:rsid w:val="00C70429"/>
    <w:rsid w:val="00C70A19"/>
    <w:rsid w:val="00C71C78"/>
    <w:rsid w:val="00C71F07"/>
    <w:rsid w:val="00C74BE5"/>
    <w:rsid w:val="00C80C9B"/>
    <w:rsid w:val="00C8105E"/>
    <w:rsid w:val="00C81381"/>
    <w:rsid w:val="00C81E9B"/>
    <w:rsid w:val="00C8413F"/>
    <w:rsid w:val="00C86A0B"/>
    <w:rsid w:val="00C913C3"/>
    <w:rsid w:val="00C979BE"/>
    <w:rsid w:val="00CA17FC"/>
    <w:rsid w:val="00CA409A"/>
    <w:rsid w:val="00CA7C26"/>
    <w:rsid w:val="00CB403F"/>
    <w:rsid w:val="00CB4944"/>
    <w:rsid w:val="00CC4B84"/>
    <w:rsid w:val="00CC5347"/>
    <w:rsid w:val="00CC589F"/>
    <w:rsid w:val="00CC58CF"/>
    <w:rsid w:val="00CC7519"/>
    <w:rsid w:val="00CD1D58"/>
    <w:rsid w:val="00CD630F"/>
    <w:rsid w:val="00CD6C04"/>
    <w:rsid w:val="00CE620A"/>
    <w:rsid w:val="00CF2D3A"/>
    <w:rsid w:val="00CF2EE8"/>
    <w:rsid w:val="00CF4239"/>
    <w:rsid w:val="00CF43E5"/>
    <w:rsid w:val="00CF46D3"/>
    <w:rsid w:val="00CF4923"/>
    <w:rsid w:val="00D00173"/>
    <w:rsid w:val="00D0398E"/>
    <w:rsid w:val="00D05061"/>
    <w:rsid w:val="00D057A9"/>
    <w:rsid w:val="00D05C90"/>
    <w:rsid w:val="00D065FF"/>
    <w:rsid w:val="00D104A3"/>
    <w:rsid w:val="00D10672"/>
    <w:rsid w:val="00D1384E"/>
    <w:rsid w:val="00D22DEE"/>
    <w:rsid w:val="00D254ED"/>
    <w:rsid w:val="00D25F3E"/>
    <w:rsid w:val="00D2688B"/>
    <w:rsid w:val="00D31AA0"/>
    <w:rsid w:val="00D31F3B"/>
    <w:rsid w:val="00D371D1"/>
    <w:rsid w:val="00D376FF"/>
    <w:rsid w:val="00D379A6"/>
    <w:rsid w:val="00D42F20"/>
    <w:rsid w:val="00D4303F"/>
    <w:rsid w:val="00D54825"/>
    <w:rsid w:val="00D552CD"/>
    <w:rsid w:val="00D56072"/>
    <w:rsid w:val="00D56642"/>
    <w:rsid w:val="00D617ED"/>
    <w:rsid w:val="00D63AA6"/>
    <w:rsid w:val="00D6430A"/>
    <w:rsid w:val="00D654B1"/>
    <w:rsid w:val="00D658BC"/>
    <w:rsid w:val="00D66044"/>
    <w:rsid w:val="00D715B7"/>
    <w:rsid w:val="00D77E51"/>
    <w:rsid w:val="00D806D4"/>
    <w:rsid w:val="00D81E07"/>
    <w:rsid w:val="00D82D1A"/>
    <w:rsid w:val="00D92781"/>
    <w:rsid w:val="00D94D30"/>
    <w:rsid w:val="00D963B8"/>
    <w:rsid w:val="00DA48A5"/>
    <w:rsid w:val="00DB23A2"/>
    <w:rsid w:val="00DB2B00"/>
    <w:rsid w:val="00DC241B"/>
    <w:rsid w:val="00DC7434"/>
    <w:rsid w:val="00DC77A6"/>
    <w:rsid w:val="00DD2BE0"/>
    <w:rsid w:val="00DD41D9"/>
    <w:rsid w:val="00DD4E17"/>
    <w:rsid w:val="00DD5048"/>
    <w:rsid w:val="00DD6131"/>
    <w:rsid w:val="00DD69E8"/>
    <w:rsid w:val="00DD6D96"/>
    <w:rsid w:val="00DE10DF"/>
    <w:rsid w:val="00DF25E5"/>
    <w:rsid w:val="00DF4DE8"/>
    <w:rsid w:val="00E02972"/>
    <w:rsid w:val="00E03E62"/>
    <w:rsid w:val="00E12809"/>
    <w:rsid w:val="00E12FC1"/>
    <w:rsid w:val="00E13456"/>
    <w:rsid w:val="00E134AA"/>
    <w:rsid w:val="00E16D5E"/>
    <w:rsid w:val="00E202DB"/>
    <w:rsid w:val="00E22A97"/>
    <w:rsid w:val="00E235C6"/>
    <w:rsid w:val="00E23E84"/>
    <w:rsid w:val="00E2693B"/>
    <w:rsid w:val="00E26B30"/>
    <w:rsid w:val="00E357EE"/>
    <w:rsid w:val="00E36667"/>
    <w:rsid w:val="00E37C72"/>
    <w:rsid w:val="00E420E3"/>
    <w:rsid w:val="00E51B5B"/>
    <w:rsid w:val="00E57E24"/>
    <w:rsid w:val="00E61506"/>
    <w:rsid w:val="00E615C9"/>
    <w:rsid w:val="00E65870"/>
    <w:rsid w:val="00E66FF2"/>
    <w:rsid w:val="00E6790F"/>
    <w:rsid w:val="00E70CA1"/>
    <w:rsid w:val="00E71102"/>
    <w:rsid w:val="00E73303"/>
    <w:rsid w:val="00E757AE"/>
    <w:rsid w:val="00E75D5F"/>
    <w:rsid w:val="00E76643"/>
    <w:rsid w:val="00E80085"/>
    <w:rsid w:val="00E83DF8"/>
    <w:rsid w:val="00E83F2C"/>
    <w:rsid w:val="00E903DB"/>
    <w:rsid w:val="00E90C4B"/>
    <w:rsid w:val="00E9277E"/>
    <w:rsid w:val="00E9723E"/>
    <w:rsid w:val="00EA3B8C"/>
    <w:rsid w:val="00EA44C1"/>
    <w:rsid w:val="00EB3D8F"/>
    <w:rsid w:val="00EB5221"/>
    <w:rsid w:val="00EB7652"/>
    <w:rsid w:val="00EC0A75"/>
    <w:rsid w:val="00EC21A0"/>
    <w:rsid w:val="00EC21C8"/>
    <w:rsid w:val="00EC5AF4"/>
    <w:rsid w:val="00ED2A8A"/>
    <w:rsid w:val="00ED40E8"/>
    <w:rsid w:val="00ED51E6"/>
    <w:rsid w:val="00EE2902"/>
    <w:rsid w:val="00EF6B11"/>
    <w:rsid w:val="00F011C0"/>
    <w:rsid w:val="00F034A6"/>
    <w:rsid w:val="00F04EAE"/>
    <w:rsid w:val="00F052B1"/>
    <w:rsid w:val="00F107A6"/>
    <w:rsid w:val="00F15FD9"/>
    <w:rsid w:val="00F210DC"/>
    <w:rsid w:val="00F26E0A"/>
    <w:rsid w:val="00F302EB"/>
    <w:rsid w:val="00F313A7"/>
    <w:rsid w:val="00F332A3"/>
    <w:rsid w:val="00F34357"/>
    <w:rsid w:val="00F34CCC"/>
    <w:rsid w:val="00F3614F"/>
    <w:rsid w:val="00F36460"/>
    <w:rsid w:val="00F4407D"/>
    <w:rsid w:val="00F440AA"/>
    <w:rsid w:val="00F442DE"/>
    <w:rsid w:val="00F44A53"/>
    <w:rsid w:val="00F451A0"/>
    <w:rsid w:val="00F47008"/>
    <w:rsid w:val="00F515F4"/>
    <w:rsid w:val="00F53F1F"/>
    <w:rsid w:val="00F542A9"/>
    <w:rsid w:val="00F562CF"/>
    <w:rsid w:val="00F65C1E"/>
    <w:rsid w:val="00F72B1B"/>
    <w:rsid w:val="00F73753"/>
    <w:rsid w:val="00F760BB"/>
    <w:rsid w:val="00F779FE"/>
    <w:rsid w:val="00F77E75"/>
    <w:rsid w:val="00F77E8C"/>
    <w:rsid w:val="00F81B9C"/>
    <w:rsid w:val="00F85F64"/>
    <w:rsid w:val="00F87464"/>
    <w:rsid w:val="00F91DC8"/>
    <w:rsid w:val="00F93E4A"/>
    <w:rsid w:val="00F94B27"/>
    <w:rsid w:val="00F97926"/>
    <w:rsid w:val="00FA0786"/>
    <w:rsid w:val="00FA1678"/>
    <w:rsid w:val="00FA3432"/>
    <w:rsid w:val="00FA5814"/>
    <w:rsid w:val="00FA5E77"/>
    <w:rsid w:val="00FB04FE"/>
    <w:rsid w:val="00FB31E1"/>
    <w:rsid w:val="00FB4AE3"/>
    <w:rsid w:val="00FC0372"/>
    <w:rsid w:val="00FC061A"/>
    <w:rsid w:val="00FC0792"/>
    <w:rsid w:val="00FC1BB5"/>
    <w:rsid w:val="00FC2CF3"/>
    <w:rsid w:val="00FC348A"/>
    <w:rsid w:val="00FC4433"/>
    <w:rsid w:val="00FC6341"/>
    <w:rsid w:val="00FD00ED"/>
    <w:rsid w:val="00FE130B"/>
    <w:rsid w:val="00FE4B9A"/>
    <w:rsid w:val="00FE67B9"/>
    <w:rsid w:val="00FE69D4"/>
    <w:rsid w:val="00FE7715"/>
    <w:rsid w:val="00FE7E3F"/>
    <w:rsid w:val="00FE7FCB"/>
    <w:rsid w:val="00FF0F8E"/>
    <w:rsid w:val="00FF295A"/>
    <w:rsid w:val="00FF48B0"/>
    <w:rsid w:val="00FF616D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9F4B958"/>
  <w15:docId w15:val="{239B23AB-46B3-4617-B745-8657331E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663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5A666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A6663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link w:val="Heading3Char"/>
    <w:qFormat/>
    <w:rsid w:val="005A6663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5A6663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5A6663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5A6663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5A6663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5A6663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5A6663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A6663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5A6663"/>
    <w:pPr>
      <w:ind w:left="283" w:hanging="283"/>
    </w:pPr>
  </w:style>
  <w:style w:type="paragraph" w:styleId="List2">
    <w:name w:val="List 2"/>
    <w:basedOn w:val="Normal"/>
    <w:semiHidden/>
    <w:rsid w:val="005A6663"/>
    <w:pPr>
      <w:ind w:left="566" w:hanging="283"/>
    </w:pPr>
  </w:style>
  <w:style w:type="paragraph" w:styleId="BodyText2">
    <w:name w:val="Body Text 2"/>
    <w:basedOn w:val="Normal"/>
    <w:semiHidden/>
    <w:rsid w:val="005A6663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link w:val="BodyTextIndentChar"/>
    <w:semiHidden/>
    <w:rsid w:val="005A6663"/>
    <w:pPr>
      <w:ind w:left="2040"/>
    </w:pPr>
  </w:style>
  <w:style w:type="paragraph" w:styleId="BodyText3">
    <w:name w:val="Body Text 3"/>
    <w:basedOn w:val="Normal"/>
    <w:semiHidden/>
    <w:rsid w:val="005A6663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rsid w:val="005A6663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rsid w:val="005A666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5A6663"/>
  </w:style>
  <w:style w:type="paragraph" w:customStyle="1" w:styleId="xl24">
    <w:name w:val="xl24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5A6663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5A6663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5A6663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5A6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5A6663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5A6663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5A6663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5A6663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5A6663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5A6663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5A6663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5A6663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5A6663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5A6663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5A6663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5A6663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5A666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5A6663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5A666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5A6663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5A6663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5A6663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5A6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5A6663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5A6663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5A6663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5A6663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5A6663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5A6663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uiPriority w:val="99"/>
    <w:rsid w:val="005A6663"/>
    <w:rPr>
      <w:vertAlign w:val="superscript"/>
    </w:rPr>
  </w:style>
  <w:style w:type="paragraph" w:styleId="FootnoteText">
    <w:name w:val="footnote text"/>
    <w:basedOn w:val="Normal"/>
    <w:link w:val="FootnoteTextChar"/>
    <w:rsid w:val="005A6663"/>
    <w:rPr>
      <w:sz w:val="20"/>
      <w:szCs w:val="20"/>
    </w:rPr>
  </w:style>
  <w:style w:type="paragraph" w:styleId="BlockText">
    <w:name w:val="Block Text"/>
    <w:basedOn w:val="Normal"/>
    <w:semiHidden/>
    <w:rsid w:val="005A6663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5A6663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5A6663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rsid w:val="005A6663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A6663"/>
    <w:rPr>
      <w:color w:val="800080"/>
      <w:u w:val="single"/>
    </w:rPr>
  </w:style>
  <w:style w:type="paragraph" w:styleId="CommentText">
    <w:name w:val="annotation text"/>
    <w:basedOn w:val="Normal"/>
    <w:semiHidden/>
    <w:rsid w:val="005A6663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5A6663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5A6663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A6663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89"/>
    <w:rPr>
      <w:rFonts w:ascii="Tahoma" w:hAnsi="Tahoma" w:cs="Tahoma"/>
      <w:sz w:val="16"/>
      <w:szCs w:val="16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260D"/>
    <w:rPr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4E7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rsid w:val="00167681"/>
    <w:rPr>
      <w:lang w:eastAsia="ar-SA"/>
    </w:rPr>
  </w:style>
  <w:style w:type="character" w:customStyle="1" w:styleId="Heading3Char">
    <w:name w:val="Heading 3 Char"/>
    <w:basedOn w:val="DefaultParagraphFont"/>
    <w:link w:val="Heading3"/>
    <w:rsid w:val="00E71102"/>
    <w:rPr>
      <w:rFonts w:cs="Simplified Arabic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rsid w:val="00E71102"/>
    <w:rPr>
      <w:rFonts w:cs="Simplified Arabic"/>
      <w:b/>
      <w:bCs/>
      <w:sz w:val="22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71102"/>
    <w:rPr>
      <w:rFonts w:cs="Simplified Arabic"/>
      <w:snapToGrid w:val="0"/>
    </w:rPr>
  </w:style>
  <w:style w:type="character" w:customStyle="1" w:styleId="jlqj4b">
    <w:name w:val="jlqj4b"/>
    <w:basedOn w:val="DefaultParagraphFont"/>
    <w:rsid w:val="00443861"/>
  </w:style>
  <w:style w:type="character" w:customStyle="1" w:styleId="fszzbb">
    <w:name w:val="fszzbb"/>
    <w:basedOn w:val="DefaultParagraphFont"/>
    <w:rsid w:val="00443861"/>
  </w:style>
  <w:style w:type="paragraph" w:styleId="ListParagraph">
    <w:name w:val="List Paragraph"/>
    <w:basedOn w:val="Normal"/>
    <w:uiPriority w:val="34"/>
    <w:qFormat/>
    <w:rsid w:val="00443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8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7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0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47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00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74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2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590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27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0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081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108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195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52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64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665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26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10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4325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136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98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13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7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89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682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89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97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70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455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743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0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8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7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08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0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62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00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12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145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65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38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747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2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06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8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674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853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9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92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647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936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70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767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75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70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54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55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61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09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8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97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726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323664813463938E-3"/>
          <c:y val="0.10184652028628595"/>
          <c:w val="0.85920857336922363"/>
          <c:h val="0.712809403609238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1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2C30-44AB-9981-1381CC14C98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2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2C30-44AB-9981-1381CC14C982}"/>
              </c:ext>
            </c:extLst>
          </c:dPt>
          <c:dPt>
            <c:idx val="2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2C30-44AB-9981-1381CC14C982}"/>
              </c:ext>
            </c:extLst>
          </c:dPt>
          <c:dPt>
            <c:idx val="3"/>
            <c:invertIfNegative val="0"/>
            <c:bubble3D val="0"/>
            <c:spPr>
              <a:solidFill>
                <a:schemeClr val="bg2">
                  <a:lumMod val="9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2C30-44AB-9981-1381CC14C98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دولة فلسطين</c:v>
                </c:pt>
                <c:pt idx="1">
                  <c:v>أراضي 1948 </c:v>
                </c:pt>
                <c:pt idx="2">
                  <c:v>الدول العربية </c:v>
                </c:pt>
                <c:pt idx="3">
                  <c:v>الدول الأجنبية </c:v>
                </c:pt>
              </c:strCache>
            </c:strRef>
          </c:cat>
          <c:val>
            <c:numRef>
              <c:f>Sheet1!$B$2:$B$5</c:f>
              <c:numCache>
                <c:formatCode>0.0</c:formatCode>
                <c:ptCount val="4"/>
                <c:pt idx="0">
                  <c:v>5.2</c:v>
                </c:pt>
                <c:pt idx="1">
                  <c:v>1.7</c:v>
                </c:pt>
                <c:pt idx="2">
                  <c:v>6.2</c:v>
                </c:pt>
                <c:pt idx="3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2F-479A-8FC6-E96CBB9E0D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432960"/>
        <c:axId val="145434880"/>
      </c:barChart>
      <c:catAx>
        <c:axId val="145432960"/>
        <c:scaling>
          <c:orientation val="maxMin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45434880"/>
        <c:crosses val="autoZero"/>
        <c:auto val="1"/>
        <c:lblAlgn val="ctr"/>
        <c:lblOffset val="100"/>
        <c:noMultiLvlLbl val="0"/>
      </c:catAx>
      <c:valAx>
        <c:axId val="145434880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1000">
                    <a:latin typeface="Arial" pitchFamily="34" charset="0"/>
                    <a:cs typeface="Arial" pitchFamily="34" charset="0"/>
                  </a:defRPr>
                </a:pPr>
                <a:r>
                  <a:rPr lang="ar-SA" sz="800">
                    <a:latin typeface="Arial" pitchFamily="34" charset="0"/>
                    <a:cs typeface="Arial" pitchFamily="34" charset="0"/>
                  </a:rPr>
                  <a:t>عدد السكان (بالمليون)</a:t>
                </a:r>
                <a:endParaRPr lang="en-US" sz="800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9317304317923305"/>
              <c:y val="0.22697617986430937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454329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0168243953732904E-2"/>
          <c:y val="5.2184915564799685E-2"/>
          <c:w val="0.81834918900121667"/>
          <c:h val="0.739850174978136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قطاع غزة</c:v>
                </c:pt>
              </c:strCache>
            </c:strRef>
          </c:tx>
          <c:spPr>
            <a:pattFill prst="dkVert">
              <a:fgClr>
                <a:srgbClr val="EEECE1">
                  <a:lumMod val="75000"/>
                </a:srgbClr>
              </a:fgClr>
              <a:bgClr>
                <a:sysClr val="window" lastClr="FFFFFF"/>
              </a:bgClr>
            </a:pattFill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1999-2003</c:v>
                </c:pt>
                <c:pt idx="1">
                  <c:v>2017-2019</c:v>
                </c:pt>
              </c:strCache>
            </c:strRef>
          </c:cat>
          <c:val>
            <c:numRef>
              <c:f>Sheet1!$B$2:$C$2</c:f>
              <c:numCache>
                <c:formatCode>0.0</c:formatCode>
                <c:ptCount val="2"/>
                <c:pt idx="0">
                  <c:v>5.8</c:v>
                </c:pt>
                <c:pt idx="1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98-499B-B48A-DA17631E82F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solidFill>
              <a:schemeClr val="tx2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1999-2003</c:v>
                </c:pt>
                <c:pt idx="1">
                  <c:v>2017-2019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4.0999999999999996</c:v>
                </c:pt>
                <c:pt idx="1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98-499B-B48A-DA17631E82F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فلسطين</c:v>
                </c:pt>
              </c:strCache>
            </c:strRef>
          </c:tx>
          <c:spPr>
            <a:pattFill prst="wdDnDiag">
              <a:fgClr>
                <a:srgbClr val="1F497D">
                  <a:lumMod val="60000"/>
                  <a:lumOff val="40000"/>
                </a:srgbClr>
              </a:fgClr>
              <a:bgClr>
                <a:sysClr val="window" lastClr="FFFFFF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1999-2003</c:v>
                </c:pt>
                <c:pt idx="1">
                  <c:v>2017-2019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4.5999999999999996</c:v>
                </c:pt>
                <c:pt idx="1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E98-499B-B48A-DA17631E82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5150336"/>
        <c:axId val="145152256"/>
      </c:barChart>
      <c:catAx>
        <c:axId val="145150336"/>
        <c:scaling>
          <c:orientation val="maxMin"/>
        </c:scaling>
        <c:delete val="0"/>
        <c:axPos val="b"/>
        <c:title>
          <c:tx>
            <c:rich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r>
                  <a:rPr lang="ar-SA" sz="800">
                    <a:latin typeface="Arial" pitchFamily="34" charset="0"/>
                    <a:cs typeface="Arial" pitchFamily="34" charset="0"/>
                  </a:rPr>
                  <a:t>السنة</a:t>
                </a:r>
              </a:p>
            </c:rich>
          </c:tx>
          <c:layout>
            <c:manualLayout>
              <c:xMode val="edge"/>
              <c:yMode val="edge"/>
              <c:x val="0.45141210660970232"/>
              <c:y val="0.87915218144901697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451522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5152256"/>
        <c:scaling>
          <c:orientation val="minMax"/>
          <c:max val="7"/>
          <c:min val="1"/>
        </c:scaling>
        <c:delete val="0"/>
        <c:axPos val="r"/>
        <c:title>
          <c:tx>
            <c:rich>
              <a:bodyPr/>
              <a:lstStyle/>
              <a:p>
                <a:pPr>
                  <a:defRPr sz="800"/>
                </a:pPr>
                <a:r>
                  <a:rPr lang="ar-SA" sz="800"/>
                  <a:t>معدل الخصوبة</a:t>
                </a:r>
              </a:p>
            </c:rich>
          </c:tx>
          <c:layout>
            <c:manualLayout>
              <c:xMode val="edge"/>
              <c:yMode val="edge"/>
              <c:x val="0.9379600420609886"/>
              <c:y val="0.27961669885603935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45150336"/>
        <c:crosses val="autoZero"/>
        <c:crossBetween val="between"/>
        <c:majorUnit val="1"/>
      </c:valAx>
      <c:spPr>
        <a:ln>
          <a:noFill/>
        </a:ln>
      </c:spPr>
    </c:plotArea>
    <c:legend>
      <c:legendPos val="t"/>
      <c:layout>
        <c:manualLayout>
          <c:xMode val="edge"/>
          <c:yMode val="edge"/>
          <c:x val="5.9396624851551352E-2"/>
          <c:y val="0.10232385622455874"/>
          <c:w val="0.62485804416403834"/>
          <c:h val="0.11372901500519987"/>
        </c:manualLayout>
      </c:layout>
      <c:overlay val="0"/>
      <c:txPr>
        <a:bodyPr/>
        <a:lstStyle/>
        <a:p>
          <a:pPr>
            <a:defRPr sz="900">
              <a:latin typeface="Simplified Arabic" panose="02020603050405020304" pitchFamily="18" charset="-78"/>
              <a:cs typeface="Simplified Arabic" panose="02020603050405020304" pitchFamily="18" charset="-78"/>
            </a:defRPr>
          </a:pPr>
          <a:endParaRPr lang="ar-SA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725948212049"/>
          <c:y val="0.22600424946881637"/>
          <c:w val="0.88287414824773558"/>
          <c:h val="0.659127109111361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فلسطين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6FFD-48F6-B5BC-62BFAC8D4E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2007</c:v>
                </c:pt>
                <c:pt idx="1">
                  <c:v>2020</c:v>
                </c:pt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  <c:pt idx="0">
                  <c:v>5.8</c:v>
                </c:pt>
                <c:pt idx="1">
                  <c:v>5.0999999999999996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FD-48F6-B5BC-62BFAC8D4E5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pattFill prst="ltHorz">
              <a:fgClr>
                <a:schemeClr val="bg2">
                  <a:lumMod val="50000"/>
                </a:schemeClr>
              </a:fgClr>
              <a:bgClr>
                <a:schemeClr val="bg1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2007</c:v>
                </c:pt>
                <c:pt idx="1">
                  <c:v>2020</c:v>
                </c:pt>
              </c:numCache>
            </c:numRef>
          </c:cat>
          <c:val>
            <c:numRef>
              <c:f>Sheet1!$C$2:$C$3</c:f>
              <c:numCache>
                <c:formatCode>General</c:formatCode>
                <c:ptCount val="2"/>
                <c:pt idx="0">
                  <c:v>5.5</c:v>
                </c:pt>
                <c:pt idx="1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FD-48F6-B5BC-62BFAC8D4E5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قطاع غزة</c:v>
                </c:pt>
              </c:strCache>
            </c:strRef>
          </c:tx>
          <c:spPr>
            <a:pattFill prst="narVert">
              <a:fgClr>
                <a:schemeClr val="bg2">
                  <a:lumMod val="25000"/>
                </a:schemeClr>
              </a:fgClr>
              <a:bgClr>
                <a:schemeClr val="bg1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2007</c:v>
                </c:pt>
                <c:pt idx="1">
                  <c:v>2020</c:v>
                </c:pt>
              </c:numCache>
            </c:numRef>
          </c:cat>
          <c:val>
            <c:numRef>
              <c:f>Sheet1!$D$2:$D$3</c:f>
              <c:numCache>
                <c:formatCode>General</c:formatCode>
                <c:ptCount val="2"/>
                <c:pt idx="0">
                  <c:v>6.5</c:v>
                </c:pt>
                <c:pt idx="1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FD-48F6-B5BC-62BFAC8D4E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041344"/>
        <c:axId val="106042880"/>
      </c:barChart>
      <c:catAx>
        <c:axId val="106041344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ar-SA"/>
          </a:p>
        </c:txPr>
        <c:crossAx val="106042880"/>
        <c:crosses val="autoZero"/>
        <c:auto val="1"/>
        <c:lblAlgn val="ctr"/>
        <c:lblOffset val="100"/>
        <c:noMultiLvlLbl val="0"/>
      </c:catAx>
      <c:valAx>
        <c:axId val="10604288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ar-SA"/>
          </a:p>
        </c:txPr>
        <c:crossAx val="10604134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0461293303111623"/>
          <c:y val="3.8095238095238099E-2"/>
          <c:w val="0.75038822413296613"/>
          <c:h val="0.1148121484814398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7409809067984151E-3"/>
          <c:y val="6.6096826392276181E-2"/>
          <c:w val="0.90298316368990461"/>
          <c:h val="0.770145889852861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ذكور</c:v>
                </c:pt>
              </c:strCache>
            </c:strRef>
          </c:tx>
          <c:dLbls>
            <c:dLbl>
              <c:idx val="0"/>
              <c:layout>
                <c:manualLayout>
                  <c:x val="-8.0717258233329273E-2"/>
                  <c:y val="-8.4817421421142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6DB-48A9-95A3-B48EA45E53E8}"/>
                </c:ext>
              </c:extLst>
            </c:dLbl>
            <c:dLbl>
              <c:idx val="20"/>
              <c:layout>
                <c:manualLayout>
                  <c:x val="-5.5119779520881915E-2"/>
                  <c:y val="-4.53074634107314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6DB-48A9-95A3-B48EA45E53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Sheet1!$A$2:$A$22</c:f>
              <c:numCache>
                <c:formatCode>General</c:formatCode>
                <c:ptCount val="21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</c:numCache>
            </c:numRef>
          </c:cat>
          <c:val>
            <c:numRef>
              <c:f>Sheet1!$B$2:$B$22</c:f>
              <c:numCache>
                <c:formatCode>0.0</c:formatCode>
                <c:ptCount val="21"/>
                <c:pt idx="0">
                  <c:v>5.6</c:v>
                </c:pt>
                <c:pt idx="1">
                  <c:v>4.7</c:v>
                </c:pt>
                <c:pt idx="2">
                  <c:v>4.3</c:v>
                </c:pt>
                <c:pt idx="3">
                  <c:v>3.7</c:v>
                </c:pt>
                <c:pt idx="4">
                  <c:v>3.5</c:v>
                </c:pt>
                <c:pt idx="5">
                  <c:v>3.1</c:v>
                </c:pt>
                <c:pt idx="6">
                  <c:v>2.9</c:v>
                </c:pt>
                <c:pt idx="7">
                  <c:v>2.8</c:v>
                </c:pt>
                <c:pt idx="8">
                  <c:v>2.9</c:v>
                </c:pt>
                <c:pt idx="9">
                  <c:v>2.6</c:v>
                </c:pt>
                <c:pt idx="10">
                  <c:v>2.4</c:v>
                </c:pt>
                <c:pt idx="11">
                  <c:v>2.1</c:v>
                </c:pt>
                <c:pt idx="12">
                  <c:v>1.8</c:v>
                </c:pt>
                <c:pt idx="13">
                  <c:v>1.6</c:v>
                </c:pt>
                <c:pt idx="14">
                  <c:v>1.6</c:v>
                </c:pt>
                <c:pt idx="15">
                  <c:v>1.5</c:v>
                </c:pt>
                <c:pt idx="16">
                  <c:v>1.4</c:v>
                </c:pt>
                <c:pt idx="17">
                  <c:v>1.7</c:v>
                </c:pt>
                <c:pt idx="18">
                  <c:v>1.3</c:v>
                </c:pt>
                <c:pt idx="19">
                  <c:v>1.2</c:v>
                </c:pt>
                <c:pt idx="20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6DB-48A9-95A3-B48EA45E53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اناث</c:v>
                </c:pt>
              </c:strCache>
            </c:strRef>
          </c:tx>
          <c:dLbls>
            <c:dLbl>
              <c:idx val="0"/>
              <c:layout>
                <c:manualLayout>
                  <c:x val="-9.1389050052953905E-2"/>
                  <c:y val="-8.4817421421142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6DB-48A9-95A3-B48EA45E53E8}"/>
                </c:ext>
              </c:extLst>
            </c:dLbl>
            <c:dLbl>
              <c:idx val="20"/>
              <c:layout>
                <c:manualLayout>
                  <c:x val="-5.5119779520881915E-2"/>
                  <c:y val="-0.103477109609086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E6DB-48A9-95A3-B48EA45E53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Sheet1!$A$2:$A$22</c:f>
              <c:numCache>
                <c:formatCode>General</c:formatCode>
                <c:ptCount val="21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</c:numCache>
            </c:numRef>
          </c:cat>
          <c:val>
            <c:numRef>
              <c:f>Sheet1!$C$2:$C$22</c:f>
              <c:numCache>
                <c:formatCode>0.0</c:formatCode>
                <c:ptCount val="21"/>
                <c:pt idx="0">
                  <c:v>16.100000000000001</c:v>
                </c:pt>
                <c:pt idx="1">
                  <c:v>15</c:v>
                </c:pt>
                <c:pt idx="2">
                  <c:v>13.6</c:v>
                </c:pt>
                <c:pt idx="3">
                  <c:v>12.6</c:v>
                </c:pt>
                <c:pt idx="4">
                  <c:v>12</c:v>
                </c:pt>
                <c:pt idx="5">
                  <c:v>11.1</c:v>
                </c:pt>
                <c:pt idx="6">
                  <c:v>10.200000000000001</c:v>
                </c:pt>
                <c:pt idx="7">
                  <c:v>9.5</c:v>
                </c:pt>
                <c:pt idx="8">
                  <c:v>9.1</c:v>
                </c:pt>
                <c:pt idx="9">
                  <c:v>8.3000000000000007</c:v>
                </c:pt>
                <c:pt idx="10">
                  <c:v>7.8</c:v>
                </c:pt>
                <c:pt idx="11">
                  <c:v>7.4</c:v>
                </c:pt>
                <c:pt idx="12">
                  <c:v>6.4</c:v>
                </c:pt>
                <c:pt idx="13">
                  <c:v>5.9</c:v>
                </c:pt>
                <c:pt idx="14">
                  <c:v>5.6</c:v>
                </c:pt>
                <c:pt idx="15">
                  <c:v>5.0999999999999996</c:v>
                </c:pt>
                <c:pt idx="16">
                  <c:v>4.8</c:v>
                </c:pt>
                <c:pt idx="17">
                  <c:v>5</c:v>
                </c:pt>
                <c:pt idx="18">
                  <c:v>4.3</c:v>
                </c:pt>
                <c:pt idx="19">
                  <c:v>4.0999999999999996</c:v>
                </c:pt>
                <c:pt idx="20">
                  <c:v>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6DB-48A9-95A3-B48EA45E53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5248"/>
        <c:axId val="50166784"/>
      </c:lineChart>
      <c:catAx>
        <c:axId val="50165248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0166784"/>
        <c:crossesAt val="0"/>
        <c:auto val="1"/>
        <c:lblAlgn val="ctr"/>
        <c:lblOffset val="100"/>
        <c:noMultiLvlLbl val="0"/>
      </c:catAx>
      <c:valAx>
        <c:axId val="50166784"/>
        <c:scaling>
          <c:orientation val="minMax"/>
          <c:max val="20"/>
          <c:min val="0"/>
        </c:scaling>
        <c:delete val="0"/>
        <c:axPos val="r"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0165248"/>
        <c:crosses val="autoZero"/>
        <c:crossBetween val="between"/>
        <c:majorUnit val="2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12529463228861099"/>
          <c:y val="9.7810192604980431E-2"/>
          <c:w val="0.67290968001482321"/>
          <c:h val="0.10571337916015409"/>
        </c:manualLayout>
      </c:layout>
      <c:overlay val="0"/>
      <c:txPr>
        <a:bodyPr/>
        <a:lstStyle/>
        <a:p>
          <a:pPr>
            <a:defRPr sz="900">
              <a:latin typeface="Simplified Arabic" panose="02020603050405020304" pitchFamily="18" charset="-78"/>
              <a:cs typeface="Simplified Arabic" panose="02020603050405020304" pitchFamily="18" charset="-78"/>
            </a:defRPr>
          </a:pPr>
          <a:endParaRPr lang="ar-SA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151961993989995"/>
          <c:y val="4.6431359846476623E-2"/>
          <c:w val="0.86375221920296241"/>
          <c:h val="0.8244386621909375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فلسطين</c:v>
                </c:pt>
              </c:strCache>
            </c:strRef>
          </c:tx>
          <c:dLbls>
            <c:dLbl>
              <c:idx val="0"/>
              <c:layout>
                <c:manualLayout>
                  <c:x val="-5.8203400968200002E-2"/>
                  <c:y val="-7.11492203379817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74B-4C70-ABD0-446226CF194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4B-4C70-ABD0-446226CF194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74B-4C70-ABD0-446226CF194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4B-4C70-ABD0-446226CF194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74B-4C70-ABD0-446226CF194D}"/>
                </c:ext>
              </c:extLst>
            </c:dLbl>
            <c:dLbl>
              <c:idx val="5"/>
              <c:layout>
                <c:manualLayout>
                  <c:x val="-6.56024491581019E-2"/>
                  <c:y val="-7.17488789237668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F74B-4C70-ABD0-446226CF19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 formatCode="0.0">
                  <c:v>23</c:v>
                </c:pt>
                <c:pt idx="1">
                  <c:v>23.9</c:v>
                </c:pt>
                <c:pt idx="2">
                  <c:v>25.7</c:v>
                </c:pt>
                <c:pt idx="3">
                  <c:v>26.2</c:v>
                </c:pt>
                <c:pt idx="4">
                  <c:v>25.3</c:v>
                </c:pt>
                <c:pt idx="5">
                  <c:v>25.9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74B-4C70-ABD0-446226CF194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الضفة الغربية</c:v>
                </c:pt>
              </c:strCache>
            </c:strRef>
          </c:tx>
          <c:dLbls>
            <c:dLbl>
              <c:idx val="0"/>
              <c:layout>
                <c:manualLayout>
                  <c:x val="-9.7668444188845682E-2"/>
                  <c:y val="8.4574697221143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F74B-4C70-ABD0-446226CF194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74B-4C70-ABD0-446226CF194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74B-4C70-ABD0-446226CF194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74B-4C70-ABD0-446226CF194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74B-4C70-ABD0-446226CF194D}"/>
                </c:ext>
              </c:extLst>
            </c:dLbl>
            <c:dLbl>
              <c:idx val="5"/>
              <c:layout>
                <c:manualLayout>
                  <c:x val="-8.3096435600262405E-2"/>
                  <c:y val="-7.17488789237668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F74B-4C70-ABD0-446226CF19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16.600000000000001</c:v>
                </c:pt>
                <c:pt idx="1">
                  <c:v>17.5</c:v>
                </c:pt>
                <c:pt idx="2">
                  <c:v>18.399999999999999</c:v>
                </c:pt>
                <c:pt idx="3">
                  <c:v>17.3</c:v>
                </c:pt>
                <c:pt idx="4">
                  <c:v>14.6</c:v>
                </c:pt>
                <c:pt idx="5">
                  <c:v>15.7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F74B-4C70-ABD0-446226CF194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قطاع غزة</c:v>
                </c:pt>
              </c:strCache>
            </c:strRef>
          </c:tx>
          <c:dLbls>
            <c:dLbl>
              <c:idx val="0"/>
              <c:layout>
                <c:manualLayout>
                  <c:x val="-8.3096435600262405E-2"/>
                  <c:y val="-8.3707025411061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F74B-4C70-ABD0-446226CF194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74B-4C70-ABD0-446226CF194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74B-4C70-ABD0-446226CF194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74B-4C70-ABD0-446226CF194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74B-4C70-ABD0-446226CF194D}"/>
                </c:ext>
              </c:extLst>
            </c:dLbl>
            <c:dLbl>
              <c:idx val="5"/>
              <c:layout>
                <c:manualLayout>
                  <c:x val="-7.8722938989722283E-2"/>
                  <c:y val="6.5769805680119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F74B-4C70-ABD0-446226CF194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34.800000000000011</c:v>
                </c:pt>
                <c:pt idx="1">
                  <c:v>35.4</c:v>
                </c:pt>
                <c:pt idx="2">
                  <c:v>38.800000000000011</c:v>
                </c:pt>
                <c:pt idx="3">
                  <c:v>43.1</c:v>
                </c:pt>
                <c:pt idx="4">
                  <c:v>45.1</c:v>
                </c:pt>
                <c:pt idx="5">
                  <c:v>46.6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F74B-4C70-ABD0-446226CF19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180608"/>
        <c:axId val="106182144"/>
      </c:lineChart>
      <c:catAx>
        <c:axId val="106180608"/>
        <c:scaling>
          <c:orientation val="maxMin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6182144"/>
        <c:crosses val="autoZero"/>
        <c:auto val="1"/>
        <c:lblAlgn val="ctr"/>
        <c:lblOffset val="100"/>
        <c:noMultiLvlLbl val="0"/>
      </c:catAx>
      <c:valAx>
        <c:axId val="106182144"/>
        <c:scaling>
          <c:orientation val="minMax"/>
          <c:max val="55"/>
          <c:min val="0"/>
        </c:scaling>
        <c:delete val="0"/>
        <c:axPos val="r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6180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3836651150460197"/>
          <c:y val="3.8813249339565196E-2"/>
          <c:w val="0.74074950186914013"/>
          <c:h val="0.10571337916015409"/>
        </c:manualLayout>
      </c:layout>
      <c:overlay val="0"/>
      <c:txPr>
        <a:bodyPr/>
        <a:lstStyle/>
        <a:p>
          <a:pPr>
            <a:defRPr sz="900">
              <a:latin typeface="Simplified Arabic" panose="02020603050405020304" pitchFamily="18" charset="-78"/>
              <a:cs typeface="Simplified Arabic" panose="02020603050405020304" pitchFamily="18" charset="-78"/>
            </a:defRPr>
          </a:pPr>
          <a:endParaRPr lang="ar-SA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5878A-0BD9-4C95-B6A3-4BDD789F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1273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8545</CharactersWithSpaces>
  <SharedDoc>false</SharedDoc>
  <HLinks>
    <vt:vector size="6" baseType="variant">
      <vt:variant>
        <vt:i4>4522005</vt:i4>
      </vt:variant>
      <vt:variant>
        <vt:i4>6</vt:i4>
      </vt:variant>
      <vt:variant>
        <vt:i4>0</vt:i4>
      </vt:variant>
      <vt:variant>
        <vt:i4>5</vt:i4>
      </vt:variant>
      <vt:variant>
        <vt:lpwstr>http://www.unrwa.org/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LOAY SHEHADEH</cp:lastModifiedBy>
  <cp:revision>4</cp:revision>
  <cp:lastPrinted>2021-07-11T08:23:00Z</cp:lastPrinted>
  <dcterms:created xsi:type="dcterms:W3CDTF">2021-07-11T09:11:00Z</dcterms:created>
  <dcterms:modified xsi:type="dcterms:W3CDTF">2021-07-11T10:25:00Z</dcterms:modified>
</cp:coreProperties>
</file>