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F4" w:rsidRDefault="004F57F4" w:rsidP="000A48AE">
      <w:pPr>
        <w:rPr>
          <w:rFonts w:ascii="Simplified Arabic" w:hAnsi="Simplified Arabic" w:cs="Simplified Arabic" w:hint="cs"/>
          <w:b/>
          <w:bCs/>
          <w:sz w:val="28"/>
          <w:szCs w:val="28"/>
          <w:rtl/>
        </w:rPr>
      </w:pPr>
    </w:p>
    <w:p w:rsidR="000A48AE" w:rsidRPr="001D2A82" w:rsidRDefault="00876B33" w:rsidP="000A48AE">
      <w:pPr>
        <w:rPr>
          <w:rFonts w:ascii="Simplified Arabic" w:hAnsi="Simplified Arabic" w:cs="Simplified Arabic"/>
          <w:b/>
          <w:bCs/>
          <w:sz w:val="32"/>
          <w:szCs w:val="32"/>
          <w:rtl/>
        </w:rPr>
      </w:pPr>
      <w:r w:rsidRPr="001D2A82">
        <w:rPr>
          <w:rFonts w:ascii="Simplified Arabic" w:hAnsi="Simplified Arabic" w:cs="Simplified Arabic"/>
          <w:b/>
          <w:bCs/>
          <w:sz w:val="32"/>
          <w:szCs w:val="32"/>
          <w:rtl/>
        </w:rPr>
        <w:t>الإحصاء الفلسطيني يصدر بياناً صحفياً يستعرض فيه</w:t>
      </w:r>
    </w:p>
    <w:p w:rsidR="00876B33" w:rsidRPr="00876B33" w:rsidRDefault="00876B33" w:rsidP="00876B33">
      <w:pPr>
        <w:jc w:val="center"/>
        <w:rPr>
          <w:rFonts w:ascii="Simplified Arabic" w:hAnsi="Simplified Arabic" w:cs="Simplified Arabic"/>
          <w:b/>
          <w:bCs/>
          <w:sz w:val="28"/>
          <w:szCs w:val="28"/>
        </w:rPr>
      </w:pPr>
      <w:r w:rsidRPr="00876B33">
        <w:rPr>
          <w:rFonts w:ascii="Simplified Arabic" w:hAnsi="Simplified Arabic" w:cs="Simplified Arabic"/>
          <w:b/>
          <w:bCs/>
          <w:sz w:val="28"/>
          <w:szCs w:val="28"/>
          <w:rtl/>
        </w:rPr>
        <w:t xml:space="preserve"> أوضاع الشباب في المجتمع </w:t>
      </w:r>
      <w:proofErr w:type="spellStart"/>
      <w:r w:rsidRPr="00876B33">
        <w:rPr>
          <w:rFonts w:ascii="Simplified Arabic" w:hAnsi="Simplified Arabic" w:cs="Simplified Arabic"/>
          <w:b/>
          <w:bCs/>
          <w:sz w:val="28"/>
          <w:szCs w:val="28"/>
          <w:rtl/>
        </w:rPr>
        <w:t>الفلسطيني،</w:t>
      </w:r>
      <w:proofErr w:type="spellEnd"/>
      <w:r w:rsidR="000A48AE">
        <w:rPr>
          <w:rFonts w:ascii="Simplified Arabic" w:hAnsi="Simplified Arabic" w:cs="Simplified Arabic" w:hint="cs"/>
          <w:b/>
          <w:bCs/>
          <w:sz w:val="28"/>
          <w:szCs w:val="28"/>
          <w:rtl/>
        </w:rPr>
        <w:t xml:space="preserve"> بمناسبة اليوم العالمي </w:t>
      </w:r>
      <w:proofErr w:type="spellStart"/>
      <w:r w:rsidR="000A48AE">
        <w:rPr>
          <w:rFonts w:ascii="Simplified Arabic" w:hAnsi="Simplified Arabic" w:cs="Simplified Arabic" w:hint="cs"/>
          <w:b/>
          <w:bCs/>
          <w:sz w:val="28"/>
          <w:szCs w:val="28"/>
          <w:rtl/>
        </w:rPr>
        <w:t>للشباب،</w:t>
      </w:r>
      <w:proofErr w:type="spellEnd"/>
      <w:r w:rsidRPr="00876B33">
        <w:rPr>
          <w:rFonts w:ascii="Simplified Arabic" w:hAnsi="Simplified Arabic" w:cs="Simplified Arabic"/>
          <w:b/>
          <w:bCs/>
          <w:sz w:val="28"/>
          <w:szCs w:val="28"/>
          <w:rtl/>
        </w:rPr>
        <w:t xml:space="preserve"> 12/08/</w:t>
      </w:r>
      <w:r>
        <w:rPr>
          <w:rFonts w:ascii="Simplified Arabic" w:hAnsi="Simplified Arabic" w:cs="Simplified Arabic" w:hint="cs"/>
          <w:b/>
          <w:bCs/>
          <w:sz w:val="28"/>
          <w:szCs w:val="28"/>
          <w:rtl/>
        </w:rPr>
        <w:t>2018</w:t>
      </w:r>
    </w:p>
    <w:p w:rsidR="00876B33" w:rsidRPr="00876B33" w:rsidRDefault="00876B33" w:rsidP="002145D7">
      <w:pPr>
        <w:jc w:val="both"/>
        <w:rPr>
          <w:rFonts w:cs="Simplified Arabic"/>
          <w:snapToGrid w:val="0"/>
          <w:color w:val="000000" w:themeColor="text1"/>
          <w:sz w:val="16"/>
          <w:szCs w:val="16"/>
          <w:lang w:eastAsia="en-US"/>
        </w:rPr>
      </w:pPr>
    </w:p>
    <w:p w:rsidR="002A0304" w:rsidRPr="00876B33" w:rsidRDefault="00575D0F" w:rsidP="00D9187E">
      <w:pPr>
        <w:pStyle w:val="Heading4"/>
        <w:jc w:val="both"/>
        <w:rPr>
          <w:rFonts w:ascii="Simplified Arabic" w:hAnsi="Simplified Arabic"/>
          <w:snapToGrid w:val="0"/>
          <w:color w:val="000000" w:themeColor="text1"/>
          <w:sz w:val="26"/>
          <w:szCs w:val="26"/>
          <w:rtl/>
          <w:lang w:eastAsia="en-US"/>
        </w:rPr>
      </w:pPr>
      <w:r w:rsidRPr="00876B33">
        <w:rPr>
          <w:rFonts w:ascii="Simplified Arabic" w:hAnsi="Simplified Arabic"/>
          <w:snapToGrid w:val="0"/>
          <w:color w:val="000000" w:themeColor="text1"/>
          <w:sz w:val="26"/>
          <w:szCs w:val="26"/>
          <w:rtl/>
          <w:lang w:eastAsia="en-US"/>
        </w:rPr>
        <w:t xml:space="preserve">ثلث المجتمع الفلسطيني من </w:t>
      </w:r>
      <w:proofErr w:type="spellStart"/>
      <w:r w:rsidRPr="00876B33">
        <w:rPr>
          <w:rFonts w:ascii="Simplified Arabic" w:hAnsi="Simplified Arabic"/>
          <w:snapToGrid w:val="0"/>
          <w:color w:val="000000" w:themeColor="text1"/>
          <w:sz w:val="26"/>
          <w:szCs w:val="26"/>
          <w:rtl/>
          <w:lang w:eastAsia="en-US"/>
        </w:rPr>
        <w:t>الشباب</w:t>
      </w:r>
      <w:r w:rsidR="00924789" w:rsidRPr="00876B33">
        <w:rPr>
          <w:rFonts w:ascii="Simplified Arabic" w:hAnsi="Simplified Arabic"/>
          <w:snapToGrid w:val="0"/>
          <w:color w:val="000000" w:themeColor="text1"/>
          <w:sz w:val="26"/>
          <w:szCs w:val="26"/>
          <w:rtl/>
          <w:lang w:eastAsia="en-US"/>
        </w:rPr>
        <w:t>،</w:t>
      </w:r>
      <w:proofErr w:type="spellEnd"/>
      <w:r w:rsidR="00924789" w:rsidRPr="00876B33">
        <w:rPr>
          <w:rFonts w:ascii="Simplified Arabic" w:hAnsi="Simplified Arabic"/>
          <w:snapToGrid w:val="0"/>
          <w:color w:val="000000" w:themeColor="text1"/>
          <w:sz w:val="26"/>
          <w:szCs w:val="26"/>
          <w:rtl/>
          <w:lang w:eastAsia="en-US"/>
        </w:rPr>
        <w:t xml:space="preserve"> </w:t>
      </w:r>
      <w:proofErr w:type="spellStart"/>
      <w:r w:rsidR="00924789" w:rsidRPr="00876B33">
        <w:rPr>
          <w:rFonts w:ascii="Simplified Arabic" w:hAnsi="Simplified Arabic"/>
          <w:snapToGrid w:val="0"/>
          <w:color w:val="000000" w:themeColor="text1"/>
          <w:sz w:val="26"/>
          <w:szCs w:val="26"/>
          <w:rtl/>
          <w:lang w:eastAsia="en-US"/>
        </w:rPr>
        <w:t>واكثر</w:t>
      </w:r>
      <w:proofErr w:type="spellEnd"/>
      <w:r w:rsidR="00924789" w:rsidRPr="00876B33">
        <w:rPr>
          <w:rFonts w:ascii="Simplified Arabic" w:hAnsi="Simplified Arabic"/>
          <w:snapToGrid w:val="0"/>
          <w:color w:val="000000" w:themeColor="text1"/>
          <w:sz w:val="26"/>
          <w:szCs w:val="26"/>
          <w:rtl/>
          <w:lang w:eastAsia="en-US"/>
        </w:rPr>
        <w:t xml:space="preserve"> من نصفهم يعيشون في مناطق ج والقريبة من الجدار والمستعمرات</w:t>
      </w:r>
    </w:p>
    <w:p w:rsidR="00924789" w:rsidRPr="00876B33" w:rsidRDefault="00CF785C" w:rsidP="0020267A">
      <w:pPr>
        <w:jc w:val="both"/>
        <w:rPr>
          <w:rFonts w:ascii="Simplified Arabic" w:hAnsi="Simplified Arabic" w:cs="Simplified Arabic"/>
          <w:snapToGrid w:val="0"/>
          <w:color w:val="000000" w:themeColor="text1"/>
          <w:rtl/>
          <w:lang w:eastAsia="en-US"/>
        </w:rPr>
      </w:pPr>
      <w:r w:rsidRPr="00876B33">
        <w:rPr>
          <w:rFonts w:ascii="Simplified Arabic" w:hAnsi="Simplified Arabic" w:cs="Simplified Arabic"/>
          <w:snapToGrid w:val="0"/>
          <w:color w:val="000000" w:themeColor="text1"/>
          <w:rtl/>
          <w:lang w:eastAsia="en-US"/>
        </w:rPr>
        <w:t xml:space="preserve">ارتفعت نسبة </w:t>
      </w:r>
      <w:r w:rsidR="00E01E7F" w:rsidRPr="00876B33">
        <w:rPr>
          <w:rFonts w:ascii="Simplified Arabic" w:hAnsi="Simplified Arabic" w:cs="Simplified Arabic"/>
          <w:snapToGrid w:val="0"/>
          <w:color w:val="000000" w:themeColor="text1"/>
          <w:rtl/>
          <w:lang w:eastAsia="en-US"/>
        </w:rPr>
        <w:t>الأفراد</w:t>
      </w:r>
      <w:r w:rsidRPr="00876B33">
        <w:rPr>
          <w:rFonts w:ascii="Simplified Arabic" w:hAnsi="Simplified Arabic" w:cs="Simplified Arabic"/>
          <w:snapToGrid w:val="0"/>
          <w:color w:val="000000" w:themeColor="text1"/>
          <w:rtl/>
          <w:lang w:eastAsia="en-US"/>
        </w:rPr>
        <w:t xml:space="preserve"> </w:t>
      </w:r>
      <w:r w:rsidR="00F329D4" w:rsidRPr="00876B33">
        <w:rPr>
          <w:rFonts w:ascii="Simplified Arabic" w:hAnsi="Simplified Arabic" w:cs="Simplified Arabic"/>
          <w:snapToGrid w:val="0"/>
          <w:color w:val="000000" w:themeColor="text1"/>
          <w:rtl/>
          <w:lang w:eastAsia="en-US"/>
        </w:rPr>
        <w:t>(15-29 سنة</w:t>
      </w:r>
      <w:proofErr w:type="spellStart"/>
      <w:r w:rsidR="00F329D4" w:rsidRPr="00876B33">
        <w:rPr>
          <w:rFonts w:ascii="Simplified Arabic" w:hAnsi="Simplified Arabic" w:cs="Simplified Arabic"/>
          <w:snapToGrid w:val="0"/>
          <w:color w:val="000000" w:themeColor="text1"/>
          <w:rtl/>
          <w:lang w:eastAsia="en-US"/>
        </w:rPr>
        <w:t>)</w:t>
      </w:r>
      <w:proofErr w:type="spellEnd"/>
      <w:r w:rsidR="0020267A" w:rsidRPr="00876B33">
        <w:rPr>
          <w:rFonts w:ascii="Simplified Arabic" w:hAnsi="Simplified Arabic" w:cs="Simplified Arabic"/>
          <w:snapToGrid w:val="0"/>
          <w:color w:val="000000" w:themeColor="text1"/>
          <w:rtl/>
          <w:lang w:eastAsia="en-US"/>
        </w:rPr>
        <w:t xml:space="preserve"> </w:t>
      </w:r>
      <w:r w:rsidR="00F329D4" w:rsidRPr="00876B33">
        <w:rPr>
          <w:rFonts w:ascii="Simplified Arabic" w:hAnsi="Simplified Arabic" w:cs="Simplified Arabic"/>
          <w:snapToGrid w:val="0"/>
          <w:color w:val="000000" w:themeColor="text1"/>
          <w:rtl/>
          <w:lang w:eastAsia="en-US"/>
        </w:rPr>
        <w:t xml:space="preserve">في فلسطين من نحو </w:t>
      </w:r>
      <w:proofErr w:type="spellStart"/>
      <w:r w:rsidR="00F329D4" w:rsidRPr="00876B33">
        <w:rPr>
          <w:rFonts w:ascii="Simplified Arabic" w:hAnsi="Simplified Arabic" w:cs="Simplified Arabic"/>
          <w:snapToGrid w:val="0"/>
          <w:color w:val="000000" w:themeColor="text1"/>
          <w:rtl/>
          <w:lang w:eastAsia="en-US"/>
        </w:rPr>
        <w:t>28.2%</w:t>
      </w:r>
      <w:proofErr w:type="spellEnd"/>
      <w:r w:rsidR="00F329D4" w:rsidRPr="00876B33">
        <w:rPr>
          <w:rFonts w:ascii="Simplified Arabic" w:hAnsi="Simplified Arabic" w:cs="Simplified Arabic"/>
          <w:snapToGrid w:val="0"/>
          <w:color w:val="000000" w:themeColor="text1"/>
          <w:rtl/>
          <w:lang w:eastAsia="en-US"/>
        </w:rPr>
        <w:t xml:space="preserve"> في العام 2007 إلى نحو</w:t>
      </w:r>
      <w:r w:rsidRPr="00876B33">
        <w:rPr>
          <w:rFonts w:ascii="Simplified Arabic" w:hAnsi="Simplified Arabic" w:cs="Simplified Arabic"/>
          <w:snapToGrid w:val="0"/>
          <w:color w:val="000000" w:themeColor="text1"/>
          <w:rtl/>
          <w:lang w:eastAsia="en-US"/>
        </w:rPr>
        <w:t xml:space="preserve"> </w:t>
      </w:r>
      <w:proofErr w:type="spellStart"/>
      <w:r w:rsidRPr="00876B33">
        <w:rPr>
          <w:rFonts w:ascii="Simplified Arabic" w:hAnsi="Simplified Arabic" w:cs="Simplified Arabic"/>
          <w:snapToGrid w:val="0"/>
          <w:color w:val="000000" w:themeColor="text1"/>
          <w:rtl/>
          <w:lang w:eastAsia="en-US"/>
        </w:rPr>
        <w:t>2</w:t>
      </w:r>
      <w:r w:rsidR="00F329D4" w:rsidRPr="00876B33">
        <w:rPr>
          <w:rFonts w:ascii="Simplified Arabic" w:hAnsi="Simplified Arabic" w:cs="Simplified Arabic"/>
          <w:snapToGrid w:val="0"/>
          <w:color w:val="000000" w:themeColor="text1"/>
          <w:rtl/>
          <w:lang w:eastAsia="en-US"/>
        </w:rPr>
        <w:t>9</w:t>
      </w:r>
      <w:r w:rsidRPr="00876B33">
        <w:rPr>
          <w:rFonts w:ascii="Simplified Arabic" w:hAnsi="Simplified Arabic" w:cs="Simplified Arabic"/>
          <w:snapToGrid w:val="0"/>
          <w:color w:val="000000" w:themeColor="text1"/>
          <w:rtl/>
          <w:lang w:eastAsia="en-US"/>
        </w:rPr>
        <w:t>.2%</w:t>
      </w:r>
      <w:proofErr w:type="spellEnd"/>
      <w:r w:rsidRPr="00876B33">
        <w:rPr>
          <w:rFonts w:ascii="Simplified Arabic" w:hAnsi="Simplified Arabic" w:cs="Simplified Arabic"/>
          <w:snapToGrid w:val="0"/>
          <w:color w:val="000000" w:themeColor="text1"/>
          <w:rtl/>
          <w:lang w:eastAsia="en-US"/>
        </w:rPr>
        <w:t xml:space="preserve"> </w:t>
      </w:r>
      <w:r w:rsidR="00F329D4" w:rsidRPr="00876B33">
        <w:rPr>
          <w:rFonts w:ascii="Simplified Arabic" w:hAnsi="Simplified Arabic" w:cs="Simplified Arabic"/>
          <w:snapToGrid w:val="0"/>
          <w:color w:val="000000" w:themeColor="text1"/>
          <w:rtl/>
          <w:lang w:eastAsia="en-US"/>
        </w:rPr>
        <w:t>من إجمالي السكان في</w:t>
      </w:r>
      <w:r w:rsidRPr="00876B33">
        <w:rPr>
          <w:rFonts w:ascii="Simplified Arabic" w:hAnsi="Simplified Arabic" w:cs="Simplified Arabic"/>
          <w:snapToGrid w:val="0"/>
          <w:color w:val="000000" w:themeColor="text1"/>
          <w:rtl/>
          <w:lang w:eastAsia="en-US"/>
        </w:rPr>
        <w:t xml:space="preserve"> العام </w:t>
      </w:r>
      <w:r w:rsidR="00F329D4" w:rsidRPr="00876B33">
        <w:rPr>
          <w:rFonts w:ascii="Simplified Arabic" w:hAnsi="Simplified Arabic" w:cs="Simplified Arabic"/>
          <w:snapToGrid w:val="0"/>
          <w:color w:val="000000" w:themeColor="text1"/>
          <w:rtl/>
          <w:lang w:eastAsia="en-US"/>
        </w:rPr>
        <w:t xml:space="preserve">2017 وهو ما يعادل نحو 1.37 مليون </w:t>
      </w:r>
      <w:proofErr w:type="spellStart"/>
      <w:r w:rsidR="00F329D4" w:rsidRPr="00876B33">
        <w:rPr>
          <w:rFonts w:ascii="Simplified Arabic" w:hAnsi="Simplified Arabic" w:cs="Simplified Arabic"/>
          <w:snapToGrid w:val="0"/>
          <w:color w:val="000000" w:themeColor="text1"/>
          <w:rtl/>
          <w:lang w:eastAsia="en-US"/>
        </w:rPr>
        <w:t>فرد</w:t>
      </w:r>
      <w:r w:rsidR="00A65B1B" w:rsidRPr="00876B33">
        <w:rPr>
          <w:rFonts w:ascii="Simplified Arabic" w:hAnsi="Simplified Arabic" w:cs="Simplified Arabic"/>
          <w:snapToGrid w:val="0"/>
          <w:color w:val="000000" w:themeColor="text1"/>
          <w:rtl/>
          <w:lang w:eastAsia="en-US"/>
        </w:rPr>
        <w:t>،</w:t>
      </w:r>
      <w:proofErr w:type="spellEnd"/>
      <w:r w:rsidR="00A65B1B" w:rsidRPr="00876B33">
        <w:rPr>
          <w:rFonts w:ascii="Simplified Arabic" w:hAnsi="Simplified Arabic" w:cs="Simplified Arabic"/>
          <w:snapToGrid w:val="0"/>
          <w:color w:val="000000" w:themeColor="text1"/>
          <w:rtl/>
          <w:lang w:eastAsia="en-US"/>
        </w:rPr>
        <w:t xml:space="preserve"> وبنسبة جنس مقدارها 104.5 ذكور لكل 100 أنثى في العام 2017</w:t>
      </w:r>
      <w:r w:rsidRPr="00876B33">
        <w:rPr>
          <w:rFonts w:ascii="Simplified Arabic" w:hAnsi="Simplified Arabic" w:cs="Simplified Arabic"/>
          <w:snapToGrid w:val="0"/>
          <w:color w:val="000000" w:themeColor="text1"/>
          <w:rtl/>
          <w:lang w:eastAsia="en-US"/>
        </w:rPr>
        <w:t>.</w:t>
      </w:r>
      <w:r w:rsidR="0020267A" w:rsidRPr="00876B33">
        <w:rPr>
          <w:rFonts w:ascii="Simplified Arabic" w:hAnsi="Simplified Arabic" w:cs="Simplified Arabic"/>
          <w:snapToGrid w:val="0"/>
          <w:color w:val="000000" w:themeColor="text1"/>
          <w:rtl/>
          <w:lang w:eastAsia="en-US"/>
        </w:rPr>
        <w:t xml:space="preserve"> </w:t>
      </w:r>
      <w:r w:rsidR="00766571" w:rsidRPr="00876B33">
        <w:rPr>
          <w:rFonts w:ascii="Simplified Arabic" w:hAnsi="Simplified Arabic" w:cs="Simplified Arabic"/>
          <w:snapToGrid w:val="0"/>
          <w:color w:val="000000" w:themeColor="text1"/>
          <w:rtl/>
          <w:lang w:eastAsia="en-US"/>
        </w:rPr>
        <w:t>وعلى مستوى المنطقة فقد بلغ</w:t>
      </w:r>
      <w:r w:rsidR="0020267A" w:rsidRPr="00876B33">
        <w:rPr>
          <w:rFonts w:ascii="Simplified Arabic" w:hAnsi="Simplified Arabic" w:cs="Simplified Arabic"/>
          <w:snapToGrid w:val="0"/>
          <w:color w:val="000000" w:themeColor="text1"/>
          <w:rtl/>
          <w:lang w:eastAsia="en-US"/>
        </w:rPr>
        <w:t>ت</w:t>
      </w:r>
      <w:r w:rsidR="00766571" w:rsidRPr="00876B33">
        <w:rPr>
          <w:rFonts w:ascii="Simplified Arabic" w:hAnsi="Simplified Arabic" w:cs="Simplified Arabic"/>
          <w:snapToGrid w:val="0"/>
          <w:color w:val="000000" w:themeColor="text1"/>
          <w:rtl/>
          <w:lang w:eastAsia="en-US"/>
        </w:rPr>
        <w:t xml:space="preserve"> نسبة الأفراد (15-29 سنة</w:t>
      </w:r>
      <w:proofErr w:type="spellStart"/>
      <w:r w:rsidR="00766571" w:rsidRPr="00876B33">
        <w:rPr>
          <w:rFonts w:ascii="Simplified Arabic" w:hAnsi="Simplified Arabic" w:cs="Simplified Arabic"/>
          <w:snapToGrid w:val="0"/>
          <w:color w:val="000000" w:themeColor="text1"/>
          <w:rtl/>
          <w:lang w:eastAsia="en-US"/>
        </w:rPr>
        <w:t>)</w:t>
      </w:r>
      <w:proofErr w:type="spellEnd"/>
      <w:r w:rsidR="00766571" w:rsidRPr="00876B33">
        <w:rPr>
          <w:rFonts w:ascii="Simplified Arabic" w:hAnsi="Simplified Arabic" w:cs="Simplified Arabic"/>
          <w:snapToGrid w:val="0"/>
          <w:color w:val="000000" w:themeColor="text1"/>
          <w:rtl/>
          <w:lang w:eastAsia="en-US"/>
        </w:rPr>
        <w:t xml:space="preserve"> لعام </w:t>
      </w:r>
      <w:r w:rsidR="00BB7B2B" w:rsidRPr="00876B33">
        <w:rPr>
          <w:rFonts w:ascii="Simplified Arabic" w:hAnsi="Simplified Arabic" w:cs="Simplified Arabic"/>
          <w:snapToGrid w:val="0"/>
          <w:color w:val="000000" w:themeColor="text1"/>
          <w:rtl/>
          <w:lang w:eastAsia="en-US"/>
        </w:rPr>
        <w:t>2017</w:t>
      </w:r>
      <w:r w:rsidR="00766571" w:rsidRPr="00876B33">
        <w:rPr>
          <w:rFonts w:ascii="Simplified Arabic" w:hAnsi="Simplified Arabic" w:cs="Simplified Arabic"/>
          <w:snapToGrid w:val="0"/>
          <w:color w:val="000000" w:themeColor="text1"/>
          <w:rtl/>
          <w:lang w:eastAsia="en-US"/>
        </w:rPr>
        <w:t xml:space="preserve"> في الضفة الغربية </w:t>
      </w:r>
      <w:proofErr w:type="spellStart"/>
      <w:r w:rsidR="00766571" w:rsidRPr="00876B33">
        <w:rPr>
          <w:rFonts w:ascii="Simplified Arabic" w:hAnsi="Simplified Arabic" w:cs="Simplified Arabic"/>
          <w:snapToGrid w:val="0"/>
          <w:color w:val="000000" w:themeColor="text1"/>
          <w:rtl/>
          <w:lang w:eastAsia="en-US"/>
        </w:rPr>
        <w:t>29.0%</w:t>
      </w:r>
      <w:proofErr w:type="spellEnd"/>
      <w:r w:rsidR="00766571" w:rsidRPr="00876B33">
        <w:rPr>
          <w:rFonts w:ascii="Simplified Arabic" w:hAnsi="Simplified Arabic" w:cs="Simplified Arabic"/>
          <w:snapToGrid w:val="0"/>
          <w:color w:val="000000" w:themeColor="text1"/>
          <w:rtl/>
          <w:lang w:eastAsia="en-US"/>
        </w:rPr>
        <w:t xml:space="preserve"> مقابل </w:t>
      </w:r>
      <w:proofErr w:type="spellStart"/>
      <w:r w:rsidR="00766571" w:rsidRPr="00876B33">
        <w:rPr>
          <w:rFonts w:ascii="Simplified Arabic" w:hAnsi="Simplified Arabic" w:cs="Simplified Arabic"/>
          <w:snapToGrid w:val="0"/>
          <w:color w:val="000000" w:themeColor="text1"/>
          <w:rtl/>
          <w:lang w:eastAsia="en-US"/>
        </w:rPr>
        <w:t>29.5%</w:t>
      </w:r>
      <w:proofErr w:type="spellEnd"/>
      <w:r w:rsidR="00766571" w:rsidRPr="00876B33">
        <w:rPr>
          <w:rFonts w:ascii="Simplified Arabic" w:hAnsi="Simplified Arabic" w:cs="Simplified Arabic"/>
          <w:snapToGrid w:val="0"/>
          <w:color w:val="000000" w:themeColor="text1"/>
          <w:rtl/>
          <w:lang w:eastAsia="en-US"/>
        </w:rPr>
        <w:t xml:space="preserve"> في قطاع غزة.</w:t>
      </w:r>
      <w:r w:rsidR="00924789" w:rsidRPr="00876B33">
        <w:rPr>
          <w:rFonts w:ascii="Simplified Arabic" w:hAnsi="Simplified Arabic" w:cs="Simplified Arabic"/>
          <w:snapToGrid w:val="0"/>
          <w:color w:val="000000" w:themeColor="text1"/>
          <w:rtl/>
          <w:lang w:eastAsia="en-US"/>
        </w:rPr>
        <w:t xml:space="preserve"> من جانب آخر تشير </w:t>
      </w:r>
      <w:r w:rsidR="008C1520" w:rsidRPr="00876B33">
        <w:rPr>
          <w:rFonts w:ascii="Simplified Arabic" w:hAnsi="Simplified Arabic" w:cs="Simplified Arabic"/>
          <w:snapToGrid w:val="0"/>
          <w:color w:val="000000" w:themeColor="text1"/>
          <w:rtl/>
          <w:lang w:eastAsia="en-US"/>
        </w:rPr>
        <w:t>ال</w:t>
      </w:r>
      <w:r w:rsidR="00924789" w:rsidRPr="00876B33">
        <w:rPr>
          <w:rFonts w:ascii="Simplified Arabic" w:hAnsi="Simplified Arabic" w:cs="Simplified Arabic"/>
          <w:snapToGrid w:val="0"/>
          <w:color w:val="000000" w:themeColor="text1"/>
          <w:rtl/>
          <w:lang w:eastAsia="en-US"/>
        </w:rPr>
        <w:t>بيانات إلى أن نسبة الأفراد (15-29 سنة</w:t>
      </w:r>
      <w:proofErr w:type="spellStart"/>
      <w:r w:rsidR="00924789" w:rsidRPr="00876B33">
        <w:rPr>
          <w:rFonts w:ascii="Simplified Arabic" w:hAnsi="Simplified Arabic" w:cs="Simplified Arabic"/>
          <w:snapToGrid w:val="0"/>
          <w:color w:val="000000" w:themeColor="text1"/>
          <w:rtl/>
          <w:lang w:eastAsia="en-US"/>
        </w:rPr>
        <w:t>)</w:t>
      </w:r>
      <w:proofErr w:type="spellEnd"/>
      <w:r w:rsidR="00924789" w:rsidRPr="00876B33">
        <w:rPr>
          <w:rFonts w:ascii="Simplified Arabic" w:hAnsi="Simplified Arabic" w:cs="Simplified Arabic"/>
          <w:snapToGrid w:val="0"/>
          <w:color w:val="000000" w:themeColor="text1"/>
          <w:rtl/>
          <w:lang w:eastAsia="en-US"/>
        </w:rPr>
        <w:t xml:space="preserve"> في فلسطين الذين يعيشون في مناطق ج والقريبة من الجدار والمستعمرات </w:t>
      </w:r>
      <w:proofErr w:type="spellStart"/>
      <w:r w:rsidR="00924789" w:rsidRPr="00876B33">
        <w:rPr>
          <w:rFonts w:ascii="Simplified Arabic" w:hAnsi="Simplified Arabic" w:cs="Simplified Arabic"/>
          <w:snapToGrid w:val="0"/>
          <w:color w:val="000000" w:themeColor="text1"/>
          <w:rtl/>
          <w:lang w:eastAsia="en-US"/>
        </w:rPr>
        <w:t>54.2%</w:t>
      </w:r>
      <w:proofErr w:type="spellEnd"/>
      <w:r w:rsidR="00924789" w:rsidRPr="00876B33">
        <w:rPr>
          <w:rFonts w:ascii="Simplified Arabic" w:hAnsi="Simplified Arabic" w:cs="Simplified Arabic"/>
          <w:snapToGrid w:val="0"/>
          <w:color w:val="000000" w:themeColor="text1"/>
          <w:rtl/>
          <w:lang w:eastAsia="en-US"/>
        </w:rPr>
        <w:t xml:space="preserve"> وهو ما يعادل </w:t>
      </w:r>
      <w:r w:rsidR="00924789" w:rsidRPr="00876B33">
        <w:rPr>
          <w:rFonts w:ascii="Simplified Arabic" w:hAnsi="Simplified Arabic" w:cs="Simplified Arabic"/>
          <w:snapToGrid w:val="0"/>
          <w:color w:val="000000" w:themeColor="text1"/>
          <w:lang w:eastAsia="en-US"/>
        </w:rPr>
        <w:t xml:space="preserve">743,160 </w:t>
      </w:r>
      <w:r w:rsidR="00924789" w:rsidRPr="00876B33">
        <w:rPr>
          <w:rFonts w:ascii="Simplified Arabic" w:hAnsi="Simplified Arabic" w:cs="Simplified Arabic"/>
          <w:snapToGrid w:val="0"/>
          <w:color w:val="000000" w:themeColor="text1"/>
          <w:rtl/>
          <w:lang w:eastAsia="en-US"/>
        </w:rPr>
        <w:t xml:space="preserve"> </w:t>
      </w:r>
      <w:proofErr w:type="spellStart"/>
      <w:r w:rsidR="00924789" w:rsidRPr="00876B33">
        <w:rPr>
          <w:rFonts w:ascii="Simplified Arabic" w:hAnsi="Simplified Arabic" w:cs="Simplified Arabic"/>
          <w:snapToGrid w:val="0"/>
          <w:color w:val="000000" w:themeColor="text1"/>
          <w:rtl/>
          <w:lang w:eastAsia="en-US"/>
        </w:rPr>
        <w:t>فرد،</w:t>
      </w:r>
      <w:proofErr w:type="spellEnd"/>
      <w:r w:rsidR="00924789" w:rsidRPr="00876B33">
        <w:rPr>
          <w:rFonts w:ascii="Simplified Arabic" w:hAnsi="Simplified Arabic" w:cs="Simplified Arabic"/>
          <w:snapToGrid w:val="0"/>
          <w:color w:val="000000" w:themeColor="text1"/>
          <w:rtl/>
          <w:lang w:eastAsia="en-US"/>
        </w:rPr>
        <w:t xml:space="preserve"> موزعين بواقع </w:t>
      </w:r>
      <w:r w:rsidR="00924789" w:rsidRPr="00876B33">
        <w:rPr>
          <w:rFonts w:ascii="Simplified Arabic" w:hAnsi="Simplified Arabic" w:cs="Simplified Arabic"/>
          <w:snapToGrid w:val="0"/>
          <w:color w:val="000000" w:themeColor="text1"/>
          <w:lang w:eastAsia="en-US"/>
        </w:rPr>
        <w:t>380,841</w:t>
      </w:r>
      <w:r w:rsidR="008C1520" w:rsidRPr="00876B33">
        <w:rPr>
          <w:rFonts w:ascii="Simplified Arabic" w:hAnsi="Simplified Arabic" w:cs="Simplified Arabic"/>
          <w:snapToGrid w:val="0"/>
          <w:color w:val="000000" w:themeColor="text1"/>
          <w:rtl/>
          <w:lang w:eastAsia="en-US"/>
        </w:rPr>
        <w:t xml:space="preserve"> ذكر </w:t>
      </w:r>
      <w:r w:rsidR="00924789" w:rsidRPr="00876B33">
        <w:rPr>
          <w:rFonts w:ascii="Simplified Arabic" w:hAnsi="Simplified Arabic" w:cs="Simplified Arabic"/>
          <w:snapToGrid w:val="0"/>
          <w:color w:val="000000" w:themeColor="text1"/>
          <w:rtl/>
          <w:lang w:eastAsia="en-US"/>
        </w:rPr>
        <w:t>و</w:t>
      </w:r>
      <w:r w:rsidR="00924789" w:rsidRPr="00876B33">
        <w:rPr>
          <w:rFonts w:ascii="Simplified Arabic" w:hAnsi="Simplified Arabic" w:cs="Simplified Arabic"/>
          <w:snapToGrid w:val="0"/>
          <w:color w:val="000000" w:themeColor="text1"/>
          <w:lang w:eastAsia="en-US"/>
        </w:rPr>
        <w:t>362,319</w:t>
      </w:r>
      <w:r w:rsidR="00924789" w:rsidRPr="00876B33">
        <w:rPr>
          <w:rFonts w:ascii="Simplified Arabic" w:hAnsi="Simplified Arabic" w:cs="Simplified Arabic"/>
          <w:snapToGrid w:val="0"/>
          <w:color w:val="000000" w:themeColor="text1"/>
          <w:rtl/>
          <w:lang w:eastAsia="en-US"/>
        </w:rPr>
        <w:t xml:space="preserve"> أنثى.  </w:t>
      </w:r>
    </w:p>
    <w:p w:rsidR="007A4A83" w:rsidRPr="00876B33" w:rsidRDefault="00DD142F" w:rsidP="00A65B1B">
      <w:pPr>
        <w:pStyle w:val="Header"/>
        <w:jc w:val="lowKashida"/>
        <w:rPr>
          <w:rFonts w:cs="Simplified Arabic"/>
          <w:color w:val="000000" w:themeColor="text1"/>
          <w:sz w:val="16"/>
          <w:szCs w:val="16"/>
          <w:rtl/>
        </w:rPr>
      </w:pPr>
      <w:r w:rsidRPr="00876B33">
        <w:rPr>
          <w:rFonts w:cs="Simplified Arabic" w:hint="cs"/>
          <w:color w:val="000000" w:themeColor="text1"/>
          <w:sz w:val="16"/>
          <w:szCs w:val="16"/>
          <w:rtl/>
        </w:rPr>
        <w:t xml:space="preserve"> </w:t>
      </w:r>
    </w:p>
    <w:p w:rsidR="00766571" w:rsidRPr="00876B33" w:rsidRDefault="00766571" w:rsidP="00766571">
      <w:pPr>
        <w:pStyle w:val="Header"/>
        <w:jc w:val="center"/>
        <w:rPr>
          <w:rFonts w:ascii="Simplified Arabic" w:hAnsi="Simplified Arabic" w:cs="Simplified Arabic"/>
          <w:color w:val="000000" w:themeColor="text1"/>
          <w:sz w:val="26"/>
          <w:szCs w:val="26"/>
          <w:rtl/>
        </w:rPr>
      </w:pPr>
      <w:r w:rsidRPr="00876B33">
        <w:rPr>
          <w:rFonts w:ascii="Simplified Arabic" w:hAnsi="Simplified Arabic" w:cs="Simplified Arabic"/>
          <w:b/>
          <w:bCs/>
          <w:color w:val="000000" w:themeColor="text1"/>
          <w:sz w:val="26"/>
          <w:szCs w:val="26"/>
          <w:rtl/>
        </w:rPr>
        <w:t xml:space="preserve">الهرم السكاني في فلسطين </w:t>
      </w:r>
      <w:proofErr w:type="spellStart"/>
      <w:r w:rsidRPr="00876B33">
        <w:rPr>
          <w:rFonts w:ascii="Simplified Arabic" w:hAnsi="Simplified Arabic" w:cs="Simplified Arabic"/>
          <w:b/>
          <w:bCs/>
          <w:color w:val="000000" w:themeColor="text1"/>
          <w:sz w:val="26"/>
          <w:szCs w:val="26"/>
          <w:rtl/>
        </w:rPr>
        <w:t>عام،</w:t>
      </w:r>
      <w:proofErr w:type="spellEnd"/>
      <w:r w:rsidRPr="00876B33">
        <w:rPr>
          <w:rFonts w:ascii="Simplified Arabic" w:hAnsi="Simplified Arabic" w:cs="Simplified Arabic"/>
          <w:b/>
          <w:bCs/>
          <w:color w:val="000000" w:themeColor="text1"/>
          <w:sz w:val="26"/>
          <w:szCs w:val="26"/>
          <w:rtl/>
        </w:rPr>
        <w:t xml:space="preserve"> 2017</w:t>
      </w:r>
    </w:p>
    <w:tbl>
      <w:tblPr>
        <w:tblStyle w:val="TableGrid"/>
        <w:bidiVisual/>
        <w:tblW w:w="0" w:type="auto"/>
        <w:jc w:val="center"/>
        <w:tblInd w:w="2149" w:type="dxa"/>
        <w:tblLayout w:type="fixed"/>
        <w:tblLook w:val="04A0"/>
      </w:tblPr>
      <w:tblGrid>
        <w:gridCol w:w="7596"/>
      </w:tblGrid>
      <w:tr w:rsidR="00766571" w:rsidRPr="0015641E" w:rsidTr="00876B33">
        <w:trPr>
          <w:trHeight w:val="4218"/>
          <w:jc w:val="center"/>
        </w:trPr>
        <w:tc>
          <w:tcPr>
            <w:tcW w:w="7596" w:type="dxa"/>
          </w:tcPr>
          <w:p w:rsidR="00766571" w:rsidRPr="0015641E" w:rsidRDefault="00766571" w:rsidP="00766571">
            <w:pPr>
              <w:pStyle w:val="Header"/>
              <w:jc w:val="center"/>
              <w:rPr>
                <w:rFonts w:cs="Simplified Arabic"/>
                <w:b/>
                <w:bCs/>
                <w:color w:val="000000" w:themeColor="text1"/>
                <w:sz w:val="22"/>
                <w:szCs w:val="22"/>
                <w:rtl/>
              </w:rPr>
            </w:pPr>
            <w:r w:rsidRPr="0015641E">
              <w:rPr>
                <w:rFonts w:cs="Simplified Arabic"/>
                <w:b/>
                <w:bCs/>
                <w:noProof/>
                <w:color w:val="000000" w:themeColor="text1"/>
                <w:sz w:val="22"/>
                <w:szCs w:val="22"/>
                <w:rtl/>
              </w:rPr>
              <w:drawing>
                <wp:inline distT="0" distB="0" distL="0" distR="0">
                  <wp:extent cx="4629150" cy="2971800"/>
                  <wp:effectExtent l="19050" t="0" r="0" b="0"/>
                  <wp:docPr id="2"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766571" w:rsidRPr="00876B33" w:rsidRDefault="00766571" w:rsidP="00766571">
      <w:pPr>
        <w:pStyle w:val="Header"/>
        <w:jc w:val="lowKashida"/>
        <w:rPr>
          <w:rFonts w:cs="Simplified Arabic"/>
          <w:b/>
          <w:bCs/>
          <w:color w:val="000000" w:themeColor="text1"/>
          <w:sz w:val="16"/>
          <w:szCs w:val="16"/>
          <w:rtl/>
        </w:rPr>
      </w:pPr>
    </w:p>
    <w:p w:rsidR="00AB685A" w:rsidRPr="00876B33" w:rsidRDefault="007562D5" w:rsidP="00DA31A7">
      <w:pPr>
        <w:pStyle w:val="Heading4"/>
        <w:jc w:val="both"/>
        <w:rPr>
          <w:rFonts w:ascii="Simplified Arabic" w:hAnsi="Simplified Arabic"/>
          <w:snapToGrid w:val="0"/>
          <w:color w:val="000000" w:themeColor="text1"/>
          <w:sz w:val="26"/>
          <w:szCs w:val="26"/>
          <w:rtl/>
          <w:lang w:eastAsia="en-US"/>
        </w:rPr>
      </w:pPr>
      <w:bookmarkStart w:id="0" w:name="OLE_LINK1"/>
      <w:bookmarkStart w:id="1" w:name="OLE_LINK2"/>
      <w:proofErr w:type="spellStart"/>
      <w:r w:rsidRPr="00876B33">
        <w:rPr>
          <w:rFonts w:ascii="Simplified Arabic" w:hAnsi="Simplified Arabic"/>
          <w:snapToGrid w:val="0"/>
          <w:color w:val="000000" w:themeColor="text1"/>
          <w:sz w:val="26"/>
          <w:szCs w:val="26"/>
          <w:rtl/>
          <w:lang w:eastAsia="en-US"/>
        </w:rPr>
        <w:t>إرتفاع</w:t>
      </w:r>
      <w:proofErr w:type="spellEnd"/>
      <w:r w:rsidR="00575D0F" w:rsidRPr="00876B33">
        <w:rPr>
          <w:rFonts w:ascii="Simplified Arabic" w:hAnsi="Simplified Arabic"/>
          <w:snapToGrid w:val="0"/>
          <w:color w:val="000000" w:themeColor="text1"/>
          <w:sz w:val="26"/>
          <w:szCs w:val="26"/>
          <w:rtl/>
          <w:lang w:eastAsia="en-US"/>
        </w:rPr>
        <w:t xml:space="preserve"> نسبة الأسر التي يرأسها شباب خلال العشر سنوات الماضية</w:t>
      </w:r>
    </w:p>
    <w:p w:rsidR="000174A0" w:rsidRPr="00876B33" w:rsidRDefault="00AB685A" w:rsidP="0020267A">
      <w:pPr>
        <w:jc w:val="both"/>
        <w:rPr>
          <w:rFonts w:cs="Simplified Arabic"/>
          <w:snapToGrid w:val="0"/>
          <w:color w:val="000000" w:themeColor="text1"/>
          <w:rtl/>
          <w:lang w:eastAsia="en-US"/>
        </w:rPr>
      </w:pPr>
      <w:r w:rsidRPr="00876B33">
        <w:rPr>
          <w:rFonts w:cs="Simplified Arabic"/>
          <w:snapToGrid w:val="0"/>
          <w:color w:val="000000" w:themeColor="text1"/>
          <w:rtl/>
          <w:lang w:eastAsia="en-US"/>
        </w:rPr>
        <w:t xml:space="preserve">تشير بيانات </w:t>
      </w:r>
      <w:r w:rsidRPr="00876B33">
        <w:rPr>
          <w:rFonts w:cs="Simplified Arabic" w:hint="cs"/>
          <w:snapToGrid w:val="0"/>
          <w:color w:val="000000" w:themeColor="text1"/>
          <w:rtl/>
          <w:lang w:eastAsia="en-US"/>
        </w:rPr>
        <w:t xml:space="preserve">التعداد العام </w:t>
      </w:r>
      <w:r w:rsidR="00A65B1B" w:rsidRPr="00876B33">
        <w:rPr>
          <w:rFonts w:cs="Simplified Arabic" w:hint="cs"/>
          <w:snapToGrid w:val="0"/>
          <w:color w:val="000000" w:themeColor="text1"/>
          <w:rtl/>
          <w:lang w:eastAsia="en-US"/>
        </w:rPr>
        <w:t>للسكان</w:t>
      </w:r>
      <w:r w:rsidRPr="00876B33">
        <w:rPr>
          <w:rFonts w:cs="Simplified Arabic" w:hint="cs"/>
          <w:snapToGrid w:val="0"/>
          <w:color w:val="000000" w:themeColor="text1"/>
          <w:rtl/>
          <w:lang w:eastAsia="en-US"/>
        </w:rPr>
        <w:t xml:space="preserve"> والمساكن والمنشآت </w:t>
      </w:r>
      <w:proofErr w:type="spellStart"/>
      <w:r w:rsidRPr="00876B33">
        <w:rPr>
          <w:rFonts w:cs="Simplified Arabic" w:hint="cs"/>
          <w:snapToGrid w:val="0"/>
          <w:color w:val="000000" w:themeColor="text1"/>
          <w:rtl/>
          <w:lang w:eastAsia="en-US"/>
        </w:rPr>
        <w:t>2017</w:t>
      </w:r>
      <w:r w:rsidRPr="00876B33">
        <w:rPr>
          <w:rFonts w:cs="Simplified Arabic"/>
          <w:snapToGrid w:val="0"/>
          <w:color w:val="000000" w:themeColor="text1"/>
          <w:rtl/>
          <w:lang w:eastAsia="en-US"/>
        </w:rPr>
        <w:t>،</w:t>
      </w:r>
      <w:proofErr w:type="spellEnd"/>
      <w:r w:rsidRPr="00876B33">
        <w:rPr>
          <w:rFonts w:cs="Simplified Arabic"/>
          <w:snapToGrid w:val="0"/>
          <w:color w:val="000000" w:themeColor="text1"/>
          <w:rtl/>
          <w:lang w:eastAsia="en-US"/>
        </w:rPr>
        <w:t xml:space="preserve"> إلى أن</w:t>
      </w:r>
      <w:r w:rsidR="0020267A" w:rsidRPr="00876B33">
        <w:rPr>
          <w:rFonts w:cs="Simplified Arabic" w:hint="cs"/>
          <w:snapToGrid w:val="0"/>
          <w:color w:val="000000" w:themeColor="text1"/>
          <w:rtl/>
          <w:lang w:eastAsia="en-US"/>
        </w:rPr>
        <w:t xml:space="preserve"> </w:t>
      </w:r>
      <w:r w:rsidR="008675B6" w:rsidRPr="00876B33">
        <w:rPr>
          <w:rFonts w:cs="Simplified Arabic"/>
          <w:snapToGrid w:val="0"/>
          <w:color w:val="000000" w:themeColor="text1"/>
          <w:rtl/>
          <w:lang w:eastAsia="en-US"/>
        </w:rPr>
        <w:t>نسبة الأسر</w:t>
      </w:r>
      <w:r w:rsidR="00362247" w:rsidRPr="00876B33">
        <w:rPr>
          <w:rFonts w:cs="Simplified Arabic" w:hint="cs"/>
          <w:snapToGrid w:val="0"/>
          <w:color w:val="000000" w:themeColor="text1"/>
          <w:rtl/>
          <w:lang w:eastAsia="en-US"/>
        </w:rPr>
        <w:t xml:space="preserve"> في فلسطين</w:t>
      </w:r>
      <w:r w:rsidR="008675B6" w:rsidRPr="00876B33">
        <w:rPr>
          <w:rFonts w:cs="Simplified Arabic"/>
          <w:snapToGrid w:val="0"/>
          <w:color w:val="000000" w:themeColor="text1"/>
          <w:rtl/>
          <w:lang w:eastAsia="en-US"/>
        </w:rPr>
        <w:t xml:space="preserve"> التي يرأسها ش</w:t>
      </w:r>
      <w:r w:rsidR="008675B6" w:rsidRPr="00876B33">
        <w:rPr>
          <w:rFonts w:cs="Simplified Arabic" w:hint="cs"/>
          <w:snapToGrid w:val="0"/>
          <w:color w:val="000000" w:themeColor="text1"/>
          <w:rtl/>
          <w:lang w:eastAsia="en-US"/>
        </w:rPr>
        <w:t>ا</w:t>
      </w:r>
      <w:r w:rsidR="00690B3D" w:rsidRPr="00876B33">
        <w:rPr>
          <w:rFonts w:cs="Simplified Arabic"/>
          <w:snapToGrid w:val="0"/>
          <w:color w:val="000000" w:themeColor="text1"/>
          <w:rtl/>
          <w:lang w:eastAsia="en-US"/>
        </w:rPr>
        <w:t>ب</w:t>
      </w:r>
      <w:r w:rsidR="00690B3D" w:rsidRPr="00876B33">
        <w:rPr>
          <w:rFonts w:cs="Simplified Arabic" w:hint="cs"/>
          <w:snapToGrid w:val="0"/>
          <w:color w:val="000000" w:themeColor="text1"/>
          <w:rtl/>
          <w:lang w:eastAsia="en-US"/>
        </w:rPr>
        <w:t xml:space="preserve"> </w:t>
      </w:r>
      <w:r w:rsidR="008675B6" w:rsidRPr="00876B33">
        <w:rPr>
          <w:rFonts w:cs="Simplified Arabic"/>
          <w:snapToGrid w:val="0"/>
          <w:color w:val="000000" w:themeColor="text1"/>
          <w:rtl/>
          <w:lang w:eastAsia="en-US"/>
        </w:rPr>
        <w:t>(15-29 سنة</w:t>
      </w:r>
      <w:proofErr w:type="spellStart"/>
      <w:r w:rsidR="008675B6" w:rsidRPr="00876B33">
        <w:rPr>
          <w:rFonts w:cs="Simplified Arabic"/>
          <w:snapToGrid w:val="0"/>
          <w:color w:val="000000" w:themeColor="text1"/>
          <w:rtl/>
          <w:lang w:eastAsia="en-US"/>
        </w:rPr>
        <w:t>)</w:t>
      </w:r>
      <w:proofErr w:type="spellEnd"/>
      <w:r w:rsidR="008675B6" w:rsidRPr="00876B33">
        <w:rPr>
          <w:rFonts w:cs="Simplified Arabic"/>
          <w:snapToGrid w:val="0"/>
          <w:color w:val="000000" w:themeColor="text1"/>
          <w:rtl/>
          <w:lang w:eastAsia="en-US"/>
        </w:rPr>
        <w:t xml:space="preserve"> </w:t>
      </w:r>
      <w:proofErr w:type="spellStart"/>
      <w:r w:rsidR="00690B3D" w:rsidRPr="00876B33">
        <w:rPr>
          <w:rFonts w:cs="Simplified Arabic" w:hint="cs"/>
          <w:snapToGrid w:val="0"/>
          <w:color w:val="000000" w:themeColor="text1"/>
          <w:rtl/>
          <w:lang w:eastAsia="en-US"/>
        </w:rPr>
        <w:t>14.9</w:t>
      </w:r>
      <w:r w:rsidR="00690B3D" w:rsidRPr="00876B33">
        <w:rPr>
          <w:rFonts w:cs="Simplified Arabic"/>
          <w:snapToGrid w:val="0"/>
          <w:color w:val="000000" w:themeColor="text1"/>
          <w:rtl/>
          <w:lang w:eastAsia="en-US"/>
        </w:rPr>
        <w:t>%</w:t>
      </w:r>
      <w:proofErr w:type="spellEnd"/>
      <w:r w:rsidR="00690B3D" w:rsidRPr="00876B33">
        <w:rPr>
          <w:rFonts w:cs="Simplified Arabic"/>
          <w:snapToGrid w:val="0"/>
          <w:color w:val="000000" w:themeColor="text1"/>
          <w:rtl/>
          <w:lang w:eastAsia="en-US"/>
        </w:rPr>
        <w:t xml:space="preserve"> بواقع </w:t>
      </w:r>
      <w:proofErr w:type="spellStart"/>
      <w:r w:rsidR="00690B3D" w:rsidRPr="00876B33">
        <w:rPr>
          <w:rFonts w:cs="Simplified Arabic" w:hint="cs"/>
          <w:snapToGrid w:val="0"/>
          <w:color w:val="000000" w:themeColor="text1"/>
          <w:rtl/>
          <w:lang w:eastAsia="en-US"/>
        </w:rPr>
        <w:t>13.9</w:t>
      </w:r>
      <w:r w:rsidR="00690B3D" w:rsidRPr="00876B33">
        <w:rPr>
          <w:rFonts w:cs="Simplified Arabic"/>
          <w:snapToGrid w:val="0"/>
          <w:color w:val="000000" w:themeColor="text1"/>
          <w:rtl/>
          <w:lang w:eastAsia="en-US"/>
        </w:rPr>
        <w:t>%</w:t>
      </w:r>
      <w:proofErr w:type="spellEnd"/>
      <w:r w:rsidR="00690B3D" w:rsidRPr="00876B33">
        <w:rPr>
          <w:rFonts w:cs="Simplified Arabic"/>
          <w:snapToGrid w:val="0"/>
          <w:color w:val="000000" w:themeColor="text1"/>
          <w:rtl/>
          <w:lang w:eastAsia="en-US"/>
        </w:rPr>
        <w:t xml:space="preserve"> في الضفة الغربية </w:t>
      </w:r>
      <w:proofErr w:type="spellStart"/>
      <w:r w:rsidR="00690B3D" w:rsidRPr="00876B33">
        <w:rPr>
          <w:rFonts w:cs="Simplified Arabic" w:hint="cs"/>
          <w:snapToGrid w:val="0"/>
          <w:color w:val="000000" w:themeColor="text1"/>
          <w:rtl/>
          <w:lang w:eastAsia="en-US"/>
        </w:rPr>
        <w:t>16.5</w:t>
      </w:r>
      <w:r w:rsidR="00690B3D" w:rsidRPr="00876B33">
        <w:rPr>
          <w:rFonts w:cs="Simplified Arabic"/>
          <w:snapToGrid w:val="0"/>
          <w:color w:val="000000" w:themeColor="text1"/>
          <w:rtl/>
          <w:lang w:eastAsia="en-US"/>
        </w:rPr>
        <w:t>%</w:t>
      </w:r>
      <w:proofErr w:type="spellEnd"/>
      <w:r w:rsidR="00690B3D" w:rsidRPr="00876B33">
        <w:rPr>
          <w:rFonts w:cs="Simplified Arabic"/>
          <w:snapToGrid w:val="0"/>
          <w:color w:val="000000" w:themeColor="text1"/>
          <w:rtl/>
          <w:lang w:eastAsia="en-US"/>
        </w:rPr>
        <w:t xml:space="preserve"> في قطاع غزة.</w:t>
      </w:r>
      <w:r w:rsidR="0020267A" w:rsidRPr="00876B33">
        <w:rPr>
          <w:rFonts w:cs="Simplified Arabic" w:hint="cs"/>
          <w:snapToGrid w:val="0"/>
          <w:color w:val="000000" w:themeColor="text1"/>
          <w:rtl/>
          <w:lang w:eastAsia="en-US"/>
        </w:rPr>
        <w:t xml:space="preserve"> </w:t>
      </w:r>
      <w:r w:rsidR="00362247" w:rsidRPr="00876B33">
        <w:rPr>
          <w:rFonts w:cs="Simplified Arabic" w:hint="cs"/>
          <w:snapToGrid w:val="0"/>
          <w:color w:val="000000" w:themeColor="text1"/>
          <w:rtl/>
          <w:lang w:eastAsia="en-US"/>
        </w:rPr>
        <w:t xml:space="preserve">في حين </w:t>
      </w:r>
      <w:r w:rsidR="00FF4140" w:rsidRPr="00876B33">
        <w:rPr>
          <w:rFonts w:cs="Simplified Arabic" w:hint="cs"/>
          <w:snapToGrid w:val="0"/>
          <w:color w:val="000000" w:themeColor="text1"/>
          <w:rtl/>
          <w:lang w:eastAsia="en-US"/>
        </w:rPr>
        <w:t>بلغت</w:t>
      </w:r>
      <w:r w:rsidR="00362247" w:rsidRPr="00876B33">
        <w:rPr>
          <w:rFonts w:cs="Simplified Arabic" w:hint="cs"/>
          <w:snapToGrid w:val="0"/>
          <w:color w:val="000000" w:themeColor="text1"/>
          <w:rtl/>
          <w:lang w:eastAsia="en-US"/>
        </w:rPr>
        <w:t xml:space="preserve"> هذه النسبة لعام 2007 في فلسطين </w:t>
      </w:r>
      <w:proofErr w:type="spellStart"/>
      <w:r w:rsidR="00362247" w:rsidRPr="00876B33">
        <w:rPr>
          <w:rFonts w:cs="Simplified Arabic" w:hint="cs"/>
          <w:snapToGrid w:val="0"/>
          <w:color w:val="000000" w:themeColor="text1"/>
          <w:rtl/>
          <w:lang w:eastAsia="en-US"/>
        </w:rPr>
        <w:t>9.2%</w:t>
      </w:r>
      <w:proofErr w:type="spellEnd"/>
      <w:r w:rsidR="00362247" w:rsidRPr="00876B33">
        <w:rPr>
          <w:rFonts w:cs="Simplified Arabic" w:hint="cs"/>
          <w:snapToGrid w:val="0"/>
          <w:color w:val="000000" w:themeColor="text1"/>
          <w:rtl/>
          <w:lang w:eastAsia="en-US"/>
        </w:rPr>
        <w:t xml:space="preserve"> بواقع </w:t>
      </w:r>
      <w:proofErr w:type="spellStart"/>
      <w:r w:rsidR="00362247" w:rsidRPr="00876B33">
        <w:rPr>
          <w:rFonts w:cs="Simplified Arabic" w:hint="cs"/>
          <w:snapToGrid w:val="0"/>
          <w:color w:val="000000" w:themeColor="text1"/>
          <w:rtl/>
          <w:lang w:eastAsia="en-US"/>
        </w:rPr>
        <w:t>9.9%</w:t>
      </w:r>
      <w:proofErr w:type="spellEnd"/>
      <w:r w:rsidR="00362247" w:rsidRPr="00876B33">
        <w:rPr>
          <w:rFonts w:cs="Simplified Arabic" w:hint="cs"/>
          <w:snapToGrid w:val="0"/>
          <w:color w:val="000000" w:themeColor="text1"/>
          <w:rtl/>
          <w:lang w:eastAsia="en-US"/>
        </w:rPr>
        <w:t xml:space="preserve"> في الضفة الغربية </w:t>
      </w:r>
      <w:proofErr w:type="spellStart"/>
      <w:r w:rsidR="00362247" w:rsidRPr="00876B33">
        <w:rPr>
          <w:rFonts w:cs="Simplified Arabic" w:hint="cs"/>
          <w:snapToGrid w:val="0"/>
          <w:color w:val="000000" w:themeColor="text1"/>
          <w:rtl/>
          <w:lang w:eastAsia="en-US"/>
        </w:rPr>
        <w:t>و8.1%</w:t>
      </w:r>
      <w:proofErr w:type="spellEnd"/>
      <w:r w:rsidR="00362247" w:rsidRPr="00876B33">
        <w:rPr>
          <w:rFonts w:cs="Simplified Arabic" w:hint="cs"/>
          <w:snapToGrid w:val="0"/>
          <w:color w:val="000000" w:themeColor="text1"/>
          <w:rtl/>
          <w:lang w:eastAsia="en-US"/>
        </w:rPr>
        <w:t xml:space="preserve"> في قطاع غزة.</w:t>
      </w:r>
      <w:r w:rsidR="00924789" w:rsidRPr="00876B33">
        <w:rPr>
          <w:rFonts w:cs="Simplified Arabic" w:hint="cs"/>
          <w:snapToGrid w:val="0"/>
          <w:color w:val="000000" w:themeColor="text1"/>
          <w:rtl/>
          <w:lang w:eastAsia="en-US"/>
        </w:rPr>
        <w:t xml:space="preserve"> وهو ما يزيد من واقع التحديات الاجتماعية والاقتصادية التي تقع على عاتق الشباب.</w:t>
      </w:r>
    </w:p>
    <w:p w:rsidR="00690B3D" w:rsidRPr="00876B33" w:rsidRDefault="00690B3D" w:rsidP="00690B3D">
      <w:pPr>
        <w:jc w:val="both"/>
        <w:rPr>
          <w:rFonts w:cs="Simplified Arabic"/>
          <w:snapToGrid w:val="0"/>
          <w:color w:val="000000" w:themeColor="text1"/>
          <w:sz w:val="16"/>
          <w:szCs w:val="16"/>
          <w:rtl/>
          <w:lang w:eastAsia="en-US"/>
        </w:rPr>
      </w:pPr>
    </w:p>
    <w:p w:rsidR="009763E5" w:rsidRPr="00876B33" w:rsidRDefault="00FF4140" w:rsidP="00766571">
      <w:pPr>
        <w:pStyle w:val="Heading4"/>
        <w:jc w:val="both"/>
        <w:rPr>
          <w:rFonts w:ascii="Simplified Arabic" w:hAnsi="Simplified Arabic"/>
          <w:snapToGrid w:val="0"/>
          <w:color w:val="000000" w:themeColor="text1"/>
          <w:sz w:val="26"/>
          <w:szCs w:val="26"/>
          <w:rtl/>
          <w:lang w:eastAsia="en-US"/>
        </w:rPr>
      </w:pPr>
      <w:r w:rsidRPr="00876B33">
        <w:rPr>
          <w:rFonts w:ascii="Simplified Arabic" w:hAnsi="Simplified Arabic"/>
          <w:snapToGrid w:val="0"/>
          <w:color w:val="000000" w:themeColor="text1"/>
          <w:sz w:val="26"/>
          <w:szCs w:val="26"/>
          <w:rtl/>
          <w:lang w:eastAsia="en-US"/>
        </w:rPr>
        <w:t>انخفاض</w:t>
      </w:r>
      <w:r w:rsidR="00575D0F" w:rsidRPr="00876B33">
        <w:rPr>
          <w:rFonts w:ascii="Simplified Arabic" w:hAnsi="Simplified Arabic"/>
          <w:snapToGrid w:val="0"/>
          <w:color w:val="000000" w:themeColor="text1"/>
          <w:sz w:val="26"/>
          <w:szCs w:val="26"/>
          <w:rtl/>
          <w:lang w:eastAsia="en-US"/>
        </w:rPr>
        <w:t xml:space="preserve"> ملحوظ في</w:t>
      </w:r>
      <w:r w:rsidRPr="00876B33">
        <w:rPr>
          <w:rFonts w:ascii="Simplified Arabic" w:hAnsi="Simplified Arabic"/>
          <w:snapToGrid w:val="0"/>
          <w:color w:val="000000" w:themeColor="text1"/>
          <w:sz w:val="26"/>
          <w:szCs w:val="26"/>
          <w:rtl/>
          <w:lang w:eastAsia="en-US"/>
        </w:rPr>
        <w:t xml:space="preserve"> نسبة </w:t>
      </w:r>
      <w:r w:rsidR="00766571" w:rsidRPr="00876B33">
        <w:rPr>
          <w:rFonts w:ascii="Simplified Arabic" w:hAnsi="Simplified Arabic"/>
          <w:snapToGrid w:val="0"/>
          <w:color w:val="000000" w:themeColor="text1"/>
          <w:sz w:val="26"/>
          <w:szCs w:val="26"/>
          <w:rtl/>
          <w:lang w:eastAsia="en-US"/>
        </w:rPr>
        <w:t>الزواج المبكر بين الاناث</w:t>
      </w:r>
    </w:p>
    <w:p w:rsidR="00E768FB" w:rsidRDefault="00E768FB" w:rsidP="00924789">
      <w:pPr>
        <w:jc w:val="both"/>
        <w:rPr>
          <w:rFonts w:cs="Simplified Arabic"/>
          <w:color w:val="000000" w:themeColor="text1"/>
          <w:rtl/>
        </w:rPr>
      </w:pPr>
      <w:r w:rsidRPr="00876B33">
        <w:rPr>
          <w:rFonts w:cs="Simplified Arabic" w:hint="cs"/>
          <w:snapToGrid w:val="0"/>
          <w:color w:val="000000" w:themeColor="text1"/>
          <w:rtl/>
          <w:lang w:eastAsia="en-US"/>
        </w:rPr>
        <w:t>كما أشارت نتائج التعداد العام للسكان والمساكن والمنشآت 2017 أن نسبة النساء في العمر (20-24 سنة</w:t>
      </w:r>
      <w:proofErr w:type="spellStart"/>
      <w:r w:rsidRPr="00876B33">
        <w:rPr>
          <w:rFonts w:cs="Simplified Arabic" w:hint="cs"/>
          <w:snapToGrid w:val="0"/>
          <w:color w:val="000000" w:themeColor="text1"/>
          <w:rtl/>
          <w:lang w:eastAsia="en-US"/>
        </w:rPr>
        <w:t>)</w:t>
      </w:r>
      <w:proofErr w:type="spellEnd"/>
      <w:r w:rsidRPr="00876B33">
        <w:rPr>
          <w:rFonts w:cs="Simplified Arabic" w:hint="cs"/>
          <w:snapToGrid w:val="0"/>
          <w:color w:val="000000" w:themeColor="text1"/>
          <w:rtl/>
          <w:lang w:eastAsia="en-US"/>
        </w:rPr>
        <w:t xml:space="preserve"> اللواتي تزوجن قبل بلوغهن سن 18 سنة قد بلغت </w:t>
      </w:r>
      <w:proofErr w:type="spellStart"/>
      <w:r w:rsidRPr="00876B33">
        <w:rPr>
          <w:rFonts w:cs="Simplified Arabic" w:hint="cs"/>
          <w:snapToGrid w:val="0"/>
          <w:color w:val="000000" w:themeColor="text1"/>
          <w:rtl/>
          <w:lang w:eastAsia="en-US"/>
        </w:rPr>
        <w:t>10.8%،</w:t>
      </w:r>
      <w:proofErr w:type="spellEnd"/>
      <w:r w:rsidRPr="00876B33">
        <w:rPr>
          <w:rFonts w:cs="Simplified Arabic" w:hint="cs"/>
          <w:snapToGrid w:val="0"/>
          <w:color w:val="000000" w:themeColor="text1"/>
          <w:rtl/>
          <w:lang w:eastAsia="en-US"/>
        </w:rPr>
        <w:t xml:space="preserve"> بواقع </w:t>
      </w:r>
      <w:proofErr w:type="spellStart"/>
      <w:r w:rsidRPr="00876B33">
        <w:rPr>
          <w:rFonts w:cs="Simplified Arabic" w:hint="cs"/>
          <w:snapToGrid w:val="0"/>
          <w:color w:val="000000" w:themeColor="text1"/>
          <w:rtl/>
          <w:lang w:eastAsia="en-US"/>
        </w:rPr>
        <w:t>8.5%</w:t>
      </w:r>
      <w:proofErr w:type="spellEnd"/>
      <w:r w:rsidRPr="00876B33">
        <w:rPr>
          <w:rFonts w:cs="Simplified Arabic" w:hint="cs"/>
          <w:snapToGrid w:val="0"/>
          <w:color w:val="000000" w:themeColor="text1"/>
          <w:rtl/>
          <w:lang w:eastAsia="en-US"/>
        </w:rPr>
        <w:t xml:space="preserve"> في الضفة الغربية </w:t>
      </w:r>
      <w:proofErr w:type="spellStart"/>
      <w:r w:rsidRPr="00876B33">
        <w:rPr>
          <w:rFonts w:cs="Simplified Arabic" w:hint="cs"/>
          <w:snapToGrid w:val="0"/>
          <w:color w:val="000000" w:themeColor="text1"/>
          <w:rtl/>
          <w:lang w:eastAsia="en-US"/>
        </w:rPr>
        <w:t>و13.8%</w:t>
      </w:r>
      <w:proofErr w:type="spellEnd"/>
      <w:r w:rsidRPr="00876B33">
        <w:rPr>
          <w:rFonts w:cs="Simplified Arabic" w:hint="cs"/>
          <w:snapToGrid w:val="0"/>
          <w:color w:val="000000" w:themeColor="text1"/>
          <w:rtl/>
          <w:lang w:eastAsia="en-US"/>
        </w:rPr>
        <w:t xml:space="preserve"> في قطاع غزة. في حين بلغت هذه النسبة في العام 2007 في فلسطين </w:t>
      </w:r>
      <w:proofErr w:type="spellStart"/>
      <w:r w:rsidRPr="00876B33">
        <w:rPr>
          <w:rFonts w:cs="Simplified Arabic" w:hint="cs"/>
          <w:snapToGrid w:val="0"/>
          <w:color w:val="000000" w:themeColor="text1"/>
          <w:rtl/>
          <w:lang w:eastAsia="en-US"/>
        </w:rPr>
        <w:t>18.1%</w:t>
      </w:r>
      <w:proofErr w:type="spellEnd"/>
      <w:r w:rsidRPr="00876B33">
        <w:rPr>
          <w:rFonts w:cs="Simplified Arabic" w:hint="cs"/>
          <w:snapToGrid w:val="0"/>
          <w:color w:val="000000" w:themeColor="text1"/>
          <w:rtl/>
          <w:lang w:eastAsia="en-US"/>
        </w:rPr>
        <w:t xml:space="preserve"> بواقع </w:t>
      </w:r>
      <w:proofErr w:type="spellStart"/>
      <w:r w:rsidRPr="00876B33">
        <w:rPr>
          <w:rFonts w:cs="Simplified Arabic" w:hint="cs"/>
          <w:snapToGrid w:val="0"/>
          <w:color w:val="000000" w:themeColor="text1"/>
          <w:rtl/>
          <w:lang w:eastAsia="en-US"/>
        </w:rPr>
        <w:t>17.0%</w:t>
      </w:r>
      <w:proofErr w:type="spellEnd"/>
      <w:r w:rsidRPr="00876B33">
        <w:rPr>
          <w:rFonts w:cs="Simplified Arabic" w:hint="cs"/>
          <w:snapToGrid w:val="0"/>
          <w:color w:val="000000" w:themeColor="text1"/>
          <w:rtl/>
          <w:lang w:eastAsia="en-US"/>
        </w:rPr>
        <w:t xml:space="preserve"> في الضفة الغربية </w:t>
      </w:r>
      <w:proofErr w:type="spellStart"/>
      <w:r w:rsidRPr="00876B33">
        <w:rPr>
          <w:rFonts w:cs="Simplified Arabic" w:hint="cs"/>
          <w:snapToGrid w:val="0"/>
          <w:color w:val="000000" w:themeColor="text1"/>
          <w:rtl/>
          <w:lang w:eastAsia="en-US"/>
        </w:rPr>
        <w:t>و19.7%</w:t>
      </w:r>
      <w:proofErr w:type="spellEnd"/>
      <w:r w:rsidRPr="00876B33">
        <w:rPr>
          <w:rFonts w:cs="Simplified Arabic" w:hint="cs"/>
          <w:snapToGrid w:val="0"/>
          <w:color w:val="000000" w:themeColor="text1"/>
          <w:rtl/>
          <w:lang w:eastAsia="en-US"/>
        </w:rPr>
        <w:t xml:space="preserve"> في قطاع </w:t>
      </w:r>
      <w:proofErr w:type="spellStart"/>
      <w:r w:rsidRPr="00876B33">
        <w:rPr>
          <w:rFonts w:cs="Simplified Arabic" w:hint="cs"/>
          <w:snapToGrid w:val="0"/>
          <w:color w:val="000000" w:themeColor="text1"/>
          <w:rtl/>
          <w:lang w:eastAsia="en-US"/>
        </w:rPr>
        <w:t>غزة،</w:t>
      </w:r>
      <w:proofErr w:type="spellEnd"/>
      <w:r w:rsidRPr="00876B33">
        <w:rPr>
          <w:rFonts w:cs="Simplified Arabic" w:hint="cs"/>
          <w:snapToGrid w:val="0"/>
          <w:color w:val="000000" w:themeColor="text1"/>
          <w:rtl/>
          <w:lang w:eastAsia="en-US"/>
        </w:rPr>
        <w:t xml:space="preserve"> وكانت قد بلغت لعام 1997 في فلسطين </w:t>
      </w:r>
      <w:proofErr w:type="spellStart"/>
      <w:r w:rsidRPr="00876B33">
        <w:rPr>
          <w:rFonts w:cs="Simplified Arabic" w:hint="cs"/>
          <w:snapToGrid w:val="0"/>
          <w:color w:val="000000" w:themeColor="text1"/>
          <w:rtl/>
          <w:lang w:eastAsia="en-US"/>
        </w:rPr>
        <w:t>30.5%.</w:t>
      </w:r>
      <w:proofErr w:type="spellEnd"/>
      <w:r w:rsidR="00575D0F" w:rsidRPr="00876B33">
        <w:rPr>
          <w:rFonts w:cs="Simplified Arabic" w:hint="cs"/>
          <w:snapToGrid w:val="0"/>
          <w:color w:val="000000" w:themeColor="text1"/>
          <w:rtl/>
          <w:lang w:eastAsia="en-US"/>
        </w:rPr>
        <w:t xml:space="preserve">  </w:t>
      </w:r>
    </w:p>
    <w:p w:rsidR="00876B33" w:rsidRDefault="00876B33" w:rsidP="00924789">
      <w:pPr>
        <w:jc w:val="both"/>
        <w:rPr>
          <w:rFonts w:cs="Simplified Arabic"/>
          <w:color w:val="000000" w:themeColor="text1"/>
          <w:rtl/>
        </w:rPr>
      </w:pPr>
    </w:p>
    <w:p w:rsidR="00876B33" w:rsidRDefault="00876B33" w:rsidP="00924789">
      <w:pPr>
        <w:jc w:val="both"/>
        <w:rPr>
          <w:rFonts w:cs="Simplified Arabic"/>
          <w:color w:val="000000" w:themeColor="text1"/>
          <w:rtl/>
        </w:rPr>
      </w:pPr>
    </w:p>
    <w:p w:rsidR="004F57F4" w:rsidRDefault="004F57F4" w:rsidP="00924789">
      <w:pPr>
        <w:jc w:val="both"/>
        <w:rPr>
          <w:rFonts w:cs="Simplified Arabic"/>
          <w:color w:val="000000" w:themeColor="text1"/>
          <w:rtl/>
        </w:rPr>
      </w:pPr>
    </w:p>
    <w:p w:rsidR="004F57F4" w:rsidRDefault="004F57F4" w:rsidP="00924789">
      <w:pPr>
        <w:jc w:val="both"/>
        <w:rPr>
          <w:rFonts w:cs="Simplified Arabic"/>
          <w:color w:val="000000" w:themeColor="text1"/>
          <w:rtl/>
        </w:rPr>
      </w:pPr>
    </w:p>
    <w:p w:rsidR="004F57F4" w:rsidRPr="00876B33" w:rsidRDefault="004F57F4" w:rsidP="00924789">
      <w:pPr>
        <w:jc w:val="both"/>
        <w:rPr>
          <w:rFonts w:cs="Simplified Arabic"/>
          <w:color w:val="000000" w:themeColor="text1"/>
          <w:rtl/>
        </w:rPr>
      </w:pPr>
    </w:p>
    <w:p w:rsidR="00E768FB" w:rsidRPr="00876B33" w:rsidRDefault="00E768FB" w:rsidP="00E768FB">
      <w:pPr>
        <w:jc w:val="both"/>
        <w:rPr>
          <w:rFonts w:cs="Simplified Arabic"/>
          <w:color w:val="000000" w:themeColor="text1"/>
          <w:sz w:val="16"/>
          <w:szCs w:val="16"/>
        </w:rPr>
      </w:pPr>
    </w:p>
    <w:p w:rsidR="004F5E2D" w:rsidRPr="00876B33" w:rsidRDefault="004F5E2D" w:rsidP="004F5E2D">
      <w:pPr>
        <w:pStyle w:val="Header"/>
        <w:rPr>
          <w:rFonts w:ascii="Simplified Arabic" w:hAnsi="Simplified Arabic" w:cs="Simplified Arabic"/>
          <w:b/>
          <w:bCs/>
          <w:sz w:val="26"/>
          <w:szCs w:val="26"/>
          <w:rtl/>
        </w:rPr>
      </w:pPr>
      <w:r w:rsidRPr="00876B33">
        <w:rPr>
          <w:rFonts w:ascii="Simplified Arabic" w:hAnsi="Simplified Arabic" w:cs="Simplified Arabic"/>
          <w:b/>
          <w:bCs/>
          <w:sz w:val="26"/>
          <w:szCs w:val="26"/>
        </w:rPr>
        <w:t>35.3</w:t>
      </w:r>
      <w:proofErr w:type="spellStart"/>
      <w:r w:rsidRPr="00876B33">
        <w:rPr>
          <w:rFonts w:ascii="Simplified Arabic" w:hAnsi="Simplified Arabic" w:cs="Simplified Arabic"/>
          <w:b/>
          <w:bCs/>
          <w:sz w:val="26"/>
          <w:szCs w:val="26"/>
          <w:rtl/>
        </w:rPr>
        <w:t>%</w:t>
      </w:r>
      <w:proofErr w:type="spellEnd"/>
      <w:r w:rsidRPr="00876B33">
        <w:rPr>
          <w:rFonts w:ascii="Simplified Arabic" w:hAnsi="Simplified Arabic" w:cs="Simplified Arabic"/>
          <w:b/>
          <w:bCs/>
          <w:sz w:val="26"/>
          <w:szCs w:val="26"/>
          <w:rtl/>
        </w:rPr>
        <w:t xml:space="preserve"> من الشباب (15-29 سنة</w:t>
      </w:r>
      <w:proofErr w:type="spellStart"/>
      <w:r w:rsidRPr="00876B33">
        <w:rPr>
          <w:rFonts w:ascii="Simplified Arabic" w:hAnsi="Simplified Arabic" w:cs="Simplified Arabic"/>
          <w:b/>
          <w:bCs/>
          <w:sz w:val="26"/>
          <w:szCs w:val="26"/>
          <w:rtl/>
        </w:rPr>
        <w:t>)</w:t>
      </w:r>
      <w:proofErr w:type="spellEnd"/>
      <w:r w:rsidRPr="00876B33">
        <w:rPr>
          <w:rFonts w:ascii="Simplified Arabic" w:hAnsi="Simplified Arabic" w:cs="Simplified Arabic"/>
          <w:b/>
          <w:bCs/>
          <w:sz w:val="26"/>
          <w:szCs w:val="26"/>
          <w:rtl/>
        </w:rPr>
        <w:t xml:space="preserve"> ملتحقون حالياً في التعليم</w:t>
      </w:r>
    </w:p>
    <w:p w:rsidR="00575D0F" w:rsidRPr="00876B33" w:rsidRDefault="00E546BE" w:rsidP="00406DE7">
      <w:pPr>
        <w:jc w:val="both"/>
        <w:rPr>
          <w:rFonts w:cs="Simplified Arabic"/>
          <w:color w:val="000000" w:themeColor="text1"/>
          <w:rtl/>
        </w:rPr>
      </w:pPr>
      <w:r w:rsidRPr="00876B33">
        <w:rPr>
          <w:rFonts w:cs="Simplified Arabic" w:hint="cs"/>
          <w:rtl/>
        </w:rPr>
        <w:t xml:space="preserve">اظهرت نتائج </w:t>
      </w:r>
      <w:r w:rsidRPr="00876B33">
        <w:rPr>
          <w:rFonts w:cs="Simplified Arabic" w:hint="cs"/>
          <w:snapToGrid w:val="0"/>
          <w:rtl/>
          <w:lang w:eastAsia="en-US"/>
        </w:rPr>
        <w:t xml:space="preserve">التعداد العام للسكان والمساكن والمنشآت 2017 </w:t>
      </w:r>
      <w:r w:rsidR="004F5E2D" w:rsidRPr="00876B33">
        <w:rPr>
          <w:rFonts w:cs="Simplified Arabic" w:hint="cs"/>
          <w:rtl/>
        </w:rPr>
        <w:t xml:space="preserve">أن </w:t>
      </w:r>
      <w:r w:rsidR="004F5E2D" w:rsidRPr="00876B33">
        <w:rPr>
          <w:rFonts w:cs="Simplified Arabic"/>
        </w:rPr>
        <w:t>35.3</w:t>
      </w:r>
      <w:proofErr w:type="spellStart"/>
      <w:r w:rsidR="004F5E2D" w:rsidRPr="00876B33">
        <w:rPr>
          <w:rFonts w:cs="Simplified Arabic" w:hint="cs"/>
          <w:rtl/>
        </w:rPr>
        <w:t>%</w:t>
      </w:r>
      <w:proofErr w:type="spellEnd"/>
      <w:r w:rsidR="004F5E2D" w:rsidRPr="00876B33">
        <w:rPr>
          <w:rFonts w:cs="Simplified Arabic" w:hint="cs"/>
          <w:rtl/>
        </w:rPr>
        <w:t xml:space="preserve"> </w:t>
      </w:r>
      <w:r w:rsidR="00B74F43" w:rsidRPr="00876B33">
        <w:rPr>
          <w:rFonts w:cs="Simplified Arabic" w:hint="cs"/>
          <w:rtl/>
        </w:rPr>
        <w:t xml:space="preserve">من </w:t>
      </w:r>
      <w:r w:rsidR="004F5E2D" w:rsidRPr="00876B33">
        <w:rPr>
          <w:rFonts w:cs="Simplified Arabic" w:hint="cs"/>
          <w:rtl/>
        </w:rPr>
        <w:t>الأفراد (15-29 سنة</w:t>
      </w:r>
      <w:proofErr w:type="spellStart"/>
      <w:r w:rsidR="004F5E2D" w:rsidRPr="00876B33">
        <w:rPr>
          <w:rFonts w:cs="Simplified Arabic" w:hint="cs"/>
          <w:rtl/>
        </w:rPr>
        <w:t>)</w:t>
      </w:r>
      <w:proofErr w:type="spellEnd"/>
      <w:r w:rsidR="004F5E2D" w:rsidRPr="00876B33">
        <w:rPr>
          <w:rFonts w:cs="Simplified Arabic" w:hint="cs"/>
          <w:rtl/>
        </w:rPr>
        <w:t xml:space="preserve"> ملتحقون بالتعليم بواقع </w:t>
      </w:r>
      <w:proofErr w:type="spellStart"/>
      <w:r w:rsidRPr="00876B33">
        <w:rPr>
          <w:rFonts w:cs="Simplified Arabic" w:hint="cs"/>
          <w:rtl/>
        </w:rPr>
        <w:t>80.7</w:t>
      </w:r>
      <w:r w:rsidR="004F5E2D" w:rsidRPr="00876B33">
        <w:rPr>
          <w:rFonts w:cs="Simplified Arabic" w:hint="cs"/>
          <w:rtl/>
        </w:rPr>
        <w:t>%</w:t>
      </w:r>
      <w:proofErr w:type="spellEnd"/>
      <w:r w:rsidR="004F5E2D" w:rsidRPr="00876B33">
        <w:rPr>
          <w:rFonts w:cs="Simplified Arabic" w:hint="cs"/>
          <w:rtl/>
        </w:rPr>
        <w:t xml:space="preserve"> من الأفراد ضمن الفئة العمرية (15-</w:t>
      </w:r>
      <w:r w:rsidRPr="00876B33">
        <w:rPr>
          <w:rFonts w:cs="Simplified Arabic" w:hint="cs"/>
          <w:rtl/>
        </w:rPr>
        <w:t>17</w:t>
      </w:r>
      <w:r w:rsidR="004F5E2D" w:rsidRPr="00876B33">
        <w:rPr>
          <w:rFonts w:cs="Simplified Arabic" w:hint="cs"/>
          <w:rtl/>
        </w:rPr>
        <w:t xml:space="preserve"> سنة</w:t>
      </w:r>
      <w:proofErr w:type="spellStart"/>
      <w:r w:rsidR="004F5E2D" w:rsidRPr="00876B33">
        <w:rPr>
          <w:rFonts w:cs="Simplified Arabic" w:hint="cs"/>
          <w:rtl/>
        </w:rPr>
        <w:t>)،</w:t>
      </w:r>
      <w:proofErr w:type="spellEnd"/>
      <w:r w:rsidR="004F5E2D" w:rsidRPr="00876B33">
        <w:rPr>
          <w:rFonts w:cs="Simplified Arabic" w:hint="cs"/>
          <w:rtl/>
        </w:rPr>
        <w:t xml:space="preserve"> </w:t>
      </w:r>
      <w:proofErr w:type="spellStart"/>
      <w:r w:rsidRPr="00876B33">
        <w:rPr>
          <w:rFonts w:cs="Simplified Arabic" w:hint="cs"/>
          <w:rtl/>
        </w:rPr>
        <w:t>و42.4%</w:t>
      </w:r>
      <w:proofErr w:type="spellEnd"/>
      <w:r w:rsidRPr="00876B33">
        <w:rPr>
          <w:rFonts w:cs="Simplified Arabic" w:hint="cs"/>
          <w:rtl/>
        </w:rPr>
        <w:t xml:space="preserve"> في الفئة العمرية (18-22 سنة</w:t>
      </w:r>
      <w:proofErr w:type="spellStart"/>
      <w:r w:rsidRPr="00876B33">
        <w:rPr>
          <w:rFonts w:cs="Simplified Arabic" w:hint="cs"/>
          <w:rtl/>
        </w:rPr>
        <w:t>)</w:t>
      </w:r>
      <w:proofErr w:type="spellEnd"/>
      <w:r w:rsidRPr="00876B33">
        <w:rPr>
          <w:rFonts w:cs="Simplified Arabic" w:hint="cs"/>
          <w:rtl/>
        </w:rPr>
        <w:t xml:space="preserve"> </w:t>
      </w:r>
      <w:proofErr w:type="spellStart"/>
      <w:r w:rsidR="004F5E2D" w:rsidRPr="00876B33">
        <w:rPr>
          <w:rFonts w:cs="Simplified Arabic" w:hint="cs"/>
          <w:rtl/>
        </w:rPr>
        <w:t>و</w:t>
      </w:r>
      <w:r w:rsidRPr="00876B33">
        <w:rPr>
          <w:rFonts w:cs="Simplified Arabic" w:hint="cs"/>
          <w:rtl/>
        </w:rPr>
        <w:t>7.1</w:t>
      </w:r>
      <w:r w:rsidR="004F5E2D" w:rsidRPr="00876B33">
        <w:rPr>
          <w:rFonts w:cs="Simplified Arabic" w:hint="cs"/>
          <w:rtl/>
        </w:rPr>
        <w:t>%</w:t>
      </w:r>
      <w:proofErr w:type="spellEnd"/>
      <w:r w:rsidR="004F5E2D" w:rsidRPr="00876B33">
        <w:rPr>
          <w:rFonts w:cs="Simplified Arabic" w:hint="cs"/>
          <w:rtl/>
        </w:rPr>
        <w:t xml:space="preserve"> للفئة العمرية (</w:t>
      </w:r>
      <w:r w:rsidRPr="00876B33">
        <w:rPr>
          <w:rFonts w:cs="Simplified Arabic" w:hint="cs"/>
          <w:rtl/>
        </w:rPr>
        <w:t>23-29 سنة</w:t>
      </w:r>
      <w:proofErr w:type="spellStart"/>
      <w:r w:rsidRPr="00876B33">
        <w:rPr>
          <w:rFonts w:cs="Simplified Arabic" w:hint="cs"/>
          <w:rtl/>
        </w:rPr>
        <w:t>).</w:t>
      </w:r>
      <w:proofErr w:type="spellEnd"/>
      <w:r w:rsidR="00406DE7" w:rsidRPr="00876B33">
        <w:rPr>
          <w:rFonts w:cs="Simplified Arabic" w:hint="cs"/>
          <w:rtl/>
        </w:rPr>
        <w:t xml:space="preserve">  </w:t>
      </w:r>
      <w:r w:rsidR="00406DE7" w:rsidRPr="00876B33">
        <w:rPr>
          <w:rFonts w:cs="Simplified Arabic" w:hint="cs"/>
          <w:color w:val="000000" w:themeColor="text1"/>
          <w:rtl/>
        </w:rPr>
        <w:t xml:space="preserve">في حين بلغت نسبة الالتحاق بين الشباب الذكور </w:t>
      </w:r>
      <w:proofErr w:type="spellStart"/>
      <w:r w:rsidR="00406DE7" w:rsidRPr="00876B33">
        <w:rPr>
          <w:rFonts w:cs="Simplified Arabic" w:hint="cs"/>
          <w:color w:val="000000" w:themeColor="text1"/>
          <w:rtl/>
        </w:rPr>
        <w:t>31.1%</w:t>
      </w:r>
      <w:proofErr w:type="spellEnd"/>
      <w:r w:rsidR="00406DE7" w:rsidRPr="00876B33">
        <w:rPr>
          <w:rFonts w:cs="Simplified Arabic" w:hint="cs"/>
          <w:color w:val="000000" w:themeColor="text1"/>
          <w:rtl/>
        </w:rPr>
        <w:t xml:space="preserve"> مقابل </w:t>
      </w:r>
      <w:proofErr w:type="spellStart"/>
      <w:r w:rsidR="00406DE7" w:rsidRPr="00876B33">
        <w:rPr>
          <w:rFonts w:cs="Simplified Arabic" w:hint="cs"/>
          <w:color w:val="000000" w:themeColor="text1"/>
          <w:rtl/>
        </w:rPr>
        <w:t>39.7%</w:t>
      </w:r>
      <w:proofErr w:type="spellEnd"/>
      <w:r w:rsidR="00406DE7" w:rsidRPr="00876B33">
        <w:rPr>
          <w:rFonts w:cs="Simplified Arabic" w:hint="cs"/>
          <w:color w:val="000000" w:themeColor="text1"/>
          <w:rtl/>
        </w:rPr>
        <w:t xml:space="preserve"> للشابات </w:t>
      </w:r>
      <w:proofErr w:type="spellStart"/>
      <w:r w:rsidR="00406DE7" w:rsidRPr="00876B33">
        <w:rPr>
          <w:rFonts w:cs="Simplified Arabic" w:hint="cs"/>
          <w:color w:val="000000" w:themeColor="text1"/>
          <w:rtl/>
        </w:rPr>
        <w:t>الاناث،</w:t>
      </w:r>
      <w:proofErr w:type="spellEnd"/>
      <w:r w:rsidR="00406DE7" w:rsidRPr="00876B33">
        <w:rPr>
          <w:rFonts w:cs="Simplified Arabic" w:hint="cs"/>
          <w:color w:val="000000" w:themeColor="text1"/>
          <w:rtl/>
        </w:rPr>
        <w:t xml:space="preserve"> كما بلغت نسبة الالتحاق في عام 1997  للشباب </w:t>
      </w:r>
      <w:proofErr w:type="spellStart"/>
      <w:r w:rsidR="00406DE7" w:rsidRPr="00876B33">
        <w:rPr>
          <w:rFonts w:cs="Simplified Arabic" w:hint="cs"/>
          <w:color w:val="000000" w:themeColor="text1"/>
          <w:rtl/>
        </w:rPr>
        <w:t>28%</w:t>
      </w:r>
      <w:proofErr w:type="spellEnd"/>
      <w:r w:rsidR="00406DE7" w:rsidRPr="00876B33">
        <w:rPr>
          <w:rFonts w:cs="Simplified Arabic" w:hint="cs"/>
          <w:color w:val="000000" w:themeColor="text1"/>
          <w:rtl/>
        </w:rPr>
        <w:t xml:space="preserve"> لترتفع بشكل ملحوظ في عام 2007 الى </w:t>
      </w:r>
      <w:proofErr w:type="spellStart"/>
      <w:r w:rsidR="00406DE7" w:rsidRPr="00876B33">
        <w:rPr>
          <w:rFonts w:cs="Simplified Arabic" w:hint="cs"/>
          <w:color w:val="000000" w:themeColor="text1"/>
          <w:rtl/>
        </w:rPr>
        <w:t>44.4%.</w:t>
      </w:r>
      <w:proofErr w:type="spellEnd"/>
    </w:p>
    <w:p w:rsidR="00406DE7" w:rsidRPr="00876B33" w:rsidRDefault="00406DE7" w:rsidP="00406DE7">
      <w:pPr>
        <w:jc w:val="both"/>
        <w:rPr>
          <w:rFonts w:cs="Simplified Arabic"/>
          <w:sz w:val="16"/>
          <w:szCs w:val="16"/>
          <w:rtl/>
        </w:rPr>
      </w:pPr>
    </w:p>
    <w:p w:rsidR="001742CB" w:rsidRPr="00876B33" w:rsidRDefault="00DC5186" w:rsidP="00575D0F">
      <w:pPr>
        <w:jc w:val="both"/>
        <w:rPr>
          <w:rFonts w:cs="Simplified Arabic"/>
          <w:strike/>
          <w:rtl/>
        </w:rPr>
      </w:pPr>
      <w:r w:rsidRPr="00876B33">
        <w:rPr>
          <w:rFonts w:cs="Simplified Arabic" w:hint="cs"/>
          <w:rtl/>
        </w:rPr>
        <w:t xml:space="preserve">كما </w:t>
      </w:r>
      <w:r w:rsidR="001742CB" w:rsidRPr="00876B33">
        <w:rPr>
          <w:rFonts w:cs="Simplified Arabic" w:hint="cs"/>
          <w:rtl/>
        </w:rPr>
        <w:t>انخفضت نسبة الأمية بين الأفراد</w:t>
      </w:r>
      <w:r w:rsidR="00B57AA0" w:rsidRPr="00876B33">
        <w:rPr>
          <w:rFonts w:cs="Simplified Arabic" w:hint="cs"/>
          <w:rtl/>
        </w:rPr>
        <w:t xml:space="preserve"> </w:t>
      </w:r>
      <w:r w:rsidR="001742CB" w:rsidRPr="00876B33">
        <w:rPr>
          <w:rFonts w:cs="Simplified Arabic" w:hint="cs"/>
          <w:rtl/>
        </w:rPr>
        <w:t>(15-29 سنة</w:t>
      </w:r>
      <w:proofErr w:type="spellStart"/>
      <w:r w:rsidR="001742CB" w:rsidRPr="00876B33">
        <w:rPr>
          <w:rFonts w:cs="Simplified Arabic" w:hint="cs"/>
          <w:rtl/>
        </w:rPr>
        <w:t>)</w:t>
      </w:r>
      <w:proofErr w:type="spellEnd"/>
      <w:r w:rsidR="001742CB" w:rsidRPr="00876B33">
        <w:rPr>
          <w:rFonts w:cs="Simplified Arabic" w:hint="cs"/>
          <w:rtl/>
        </w:rPr>
        <w:t xml:space="preserve"> من نحو </w:t>
      </w:r>
      <w:proofErr w:type="spellStart"/>
      <w:r w:rsidR="001742CB" w:rsidRPr="00876B33">
        <w:rPr>
          <w:rFonts w:cs="Simplified Arabic" w:hint="cs"/>
          <w:rtl/>
        </w:rPr>
        <w:t>1.1%</w:t>
      </w:r>
      <w:proofErr w:type="spellEnd"/>
      <w:r w:rsidR="001742CB" w:rsidRPr="00876B33">
        <w:rPr>
          <w:rFonts w:cs="Simplified Arabic" w:hint="cs"/>
          <w:rtl/>
        </w:rPr>
        <w:t xml:space="preserve"> </w:t>
      </w:r>
      <w:proofErr w:type="spellStart"/>
      <w:r w:rsidR="001742CB" w:rsidRPr="00876B33">
        <w:rPr>
          <w:rFonts w:cs="Simplified Arabic" w:hint="cs"/>
          <w:rtl/>
        </w:rPr>
        <w:t>(1.1%</w:t>
      </w:r>
      <w:proofErr w:type="spellEnd"/>
      <w:r w:rsidR="001742CB" w:rsidRPr="00876B33">
        <w:rPr>
          <w:rFonts w:cs="Simplified Arabic" w:hint="cs"/>
          <w:rtl/>
        </w:rPr>
        <w:t xml:space="preserve"> في الضفة الغربية </w:t>
      </w:r>
      <w:proofErr w:type="spellStart"/>
      <w:r w:rsidR="001742CB" w:rsidRPr="00876B33">
        <w:rPr>
          <w:rFonts w:cs="Simplified Arabic" w:hint="cs"/>
          <w:rtl/>
        </w:rPr>
        <w:t>و1.2%</w:t>
      </w:r>
      <w:proofErr w:type="spellEnd"/>
      <w:r w:rsidR="001742CB" w:rsidRPr="00876B33">
        <w:rPr>
          <w:rFonts w:cs="Simplified Arabic" w:hint="cs"/>
          <w:rtl/>
        </w:rPr>
        <w:t xml:space="preserve"> في قطاع غزة</w:t>
      </w:r>
      <w:proofErr w:type="spellStart"/>
      <w:r w:rsidR="001742CB" w:rsidRPr="00876B33">
        <w:rPr>
          <w:rFonts w:cs="Simplified Arabic" w:hint="cs"/>
          <w:rtl/>
        </w:rPr>
        <w:t>)</w:t>
      </w:r>
      <w:proofErr w:type="spellEnd"/>
      <w:r w:rsidR="00763D71" w:rsidRPr="00876B33">
        <w:rPr>
          <w:rFonts w:cs="Simplified Arabic" w:hint="cs"/>
          <w:rtl/>
        </w:rPr>
        <w:t xml:space="preserve"> في العام </w:t>
      </w:r>
      <w:proofErr w:type="spellStart"/>
      <w:r w:rsidR="00763D71" w:rsidRPr="00876B33">
        <w:rPr>
          <w:rFonts w:cs="Simplified Arabic" w:hint="cs"/>
          <w:rtl/>
        </w:rPr>
        <w:t>2007</w:t>
      </w:r>
      <w:r w:rsidR="001742CB" w:rsidRPr="00876B33">
        <w:rPr>
          <w:rFonts w:cs="Simplified Arabic" w:hint="cs"/>
          <w:rtl/>
        </w:rPr>
        <w:t>،</w:t>
      </w:r>
      <w:proofErr w:type="spellEnd"/>
      <w:r w:rsidR="001742CB" w:rsidRPr="00876B33">
        <w:rPr>
          <w:rFonts w:cs="Simplified Arabic" w:hint="cs"/>
          <w:rtl/>
        </w:rPr>
        <w:t xml:space="preserve"> إلى نحو </w:t>
      </w:r>
      <w:proofErr w:type="spellStart"/>
      <w:r w:rsidR="001742CB" w:rsidRPr="00876B33">
        <w:rPr>
          <w:rFonts w:cs="Simplified Arabic" w:hint="cs"/>
          <w:rtl/>
        </w:rPr>
        <w:t>0.6%</w:t>
      </w:r>
      <w:proofErr w:type="spellEnd"/>
      <w:r w:rsidR="001742CB" w:rsidRPr="00876B33">
        <w:rPr>
          <w:rFonts w:cs="Simplified Arabic" w:hint="cs"/>
          <w:rtl/>
        </w:rPr>
        <w:t xml:space="preserve"> في فلسطين وفق بيانات تعداد 2017 بواقع </w:t>
      </w:r>
      <w:proofErr w:type="spellStart"/>
      <w:r w:rsidR="001742CB" w:rsidRPr="00876B33">
        <w:rPr>
          <w:rFonts w:cs="Simplified Arabic" w:hint="cs"/>
          <w:rtl/>
        </w:rPr>
        <w:t>(0.6%</w:t>
      </w:r>
      <w:proofErr w:type="spellEnd"/>
      <w:r w:rsidR="001742CB" w:rsidRPr="00876B33">
        <w:rPr>
          <w:rFonts w:cs="Simplified Arabic" w:hint="cs"/>
          <w:rtl/>
        </w:rPr>
        <w:t xml:space="preserve"> في الضفة الغربية </w:t>
      </w:r>
      <w:proofErr w:type="spellStart"/>
      <w:r w:rsidR="001742CB" w:rsidRPr="00876B33">
        <w:rPr>
          <w:rFonts w:cs="Simplified Arabic" w:hint="cs"/>
          <w:rtl/>
        </w:rPr>
        <w:t>و0.7%</w:t>
      </w:r>
      <w:proofErr w:type="spellEnd"/>
      <w:r w:rsidR="001742CB" w:rsidRPr="00876B33">
        <w:rPr>
          <w:rFonts w:cs="Simplified Arabic" w:hint="cs"/>
          <w:rtl/>
        </w:rPr>
        <w:t xml:space="preserve"> في قطاع غزة</w:t>
      </w:r>
      <w:proofErr w:type="spellStart"/>
      <w:r w:rsidR="001742CB" w:rsidRPr="00876B33">
        <w:rPr>
          <w:rFonts w:cs="Simplified Arabic" w:hint="cs"/>
          <w:rtl/>
        </w:rPr>
        <w:t>).</w:t>
      </w:r>
      <w:proofErr w:type="spellEnd"/>
    </w:p>
    <w:p w:rsidR="00A65B1B" w:rsidRPr="00876B33" w:rsidRDefault="0067743C" w:rsidP="0067743C">
      <w:pPr>
        <w:pStyle w:val="Heading4"/>
        <w:jc w:val="left"/>
        <w:rPr>
          <w:rFonts w:ascii="Simplified Arabic" w:hAnsi="Simplified Arabic"/>
          <w:snapToGrid w:val="0"/>
          <w:sz w:val="26"/>
          <w:szCs w:val="26"/>
          <w:rtl/>
          <w:lang w:eastAsia="en-US"/>
        </w:rPr>
      </w:pPr>
      <w:r w:rsidRPr="00876B33">
        <w:rPr>
          <w:rFonts w:ascii="Simplified Arabic" w:hAnsi="Simplified Arabic"/>
          <w:snapToGrid w:val="0"/>
          <w:sz w:val="26"/>
          <w:szCs w:val="26"/>
          <w:rtl/>
          <w:lang w:eastAsia="en-US"/>
        </w:rPr>
        <w:t>ارتفاع في معدلات مشاركة الشباب</w:t>
      </w:r>
      <w:r w:rsidR="009663F5" w:rsidRPr="00876B33">
        <w:rPr>
          <w:rFonts w:ascii="Simplified Arabic" w:hAnsi="Simplified Arabic"/>
          <w:snapToGrid w:val="0"/>
          <w:sz w:val="26"/>
          <w:szCs w:val="26"/>
          <w:rtl/>
          <w:lang w:eastAsia="en-US"/>
        </w:rPr>
        <w:t xml:space="preserve"> في القوى العاملة</w:t>
      </w:r>
      <w:r w:rsidRPr="00876B33">
        <w:rPr>
          <w:rFonts w:ascii="Simplified Arabic" w:hAnsi="Simplified Arabic"/>
          <w:snapToGrid w:val="0"/>
          <w:sz w:val="26"/>
          <w:szCs w:val="26"/>
          <w:rtl/>
          <w:lang w:eastAsia="en-US"/>
        </w:rPr>
        <w:t xml:space="preserve"> </w:t>
      </w:r>
    </w:p>
    <w:p w:rsidR="00A65B1B" w:rsidRPr="00876B33" w:rsidRDefault="001C1918" w:rsidP="00575D0F">
      <w:pPr>
        <w:jc w:val="both"/>
        <w:rPr>
          <w:rFonts w:cs="Simplified Arabic"/>
          <w:rtl/>
        </w:rPr>
      </w:pPr>
      <w:r w:rsidRPr="00876B33">
        <w:rPr>
          <w:rFonts w:cs="Simplified Arabic" w:hint="cs"/>
          <w:rtl/>
        </w:rPr>
        <w:t>ارتفعت</w:t>
      </w:r>
      <w:r w:rsidR="009663F5" w:rsidRPr="00876B33">
        <w:rPr>
          <w:rFonts w:cs="Simplified Arabic" w:hint="cs"/>
          <w:rtl/>
        </w:rPr>
        <w:t xml:space="preserve"> </w:t>
      </w:r>
      <w:r w:rsidR="00A65B1B" w:rsidRPr="00876B33">
        <w:rPr>
          <w:rFonts w:cs="Simplified Arabic" w:hint="cs"/>
          <w:rtl/>
        </w:rPr>
        <w:t xml:space="preserve">نسبة المشاركة في القوى العاملة بين </w:t>
      </w:r>
      <w:r w:rsidR="00766571" w:rsidRPr="00876B33">
        <w:rPr>
          <w:rFonts w:cs="Simplified Arabic" w:hint="cs"/>
          <w:rtl/>
        </w:rPr>
        <w:t>الأفراد</w:t>
      </w:r>
      <w:r w:rsidR="00A65B1B" w:rsidRPr="00876B33">
        <w:rPr>
          <w:rFonts w:cs="Simplified Arabic" w:hint="cs"/>
          <w:rtl/>
        </w:rPr>
        <w:t xml:space="preserve"> </w:t>
      </w:r>
      <w:r w:rsidR="00A65B1B" w:rsidRPr="00876B33">
        <w:rPr>
          <w:rFonts w:cs="Simplified Arabic"/>
          <w:rtl/>
        </w:rPr>
        <w:t>(15-29 سنة</w:t>
      </w:r>
      <w:proofErr w:type="spellStart"/>
      <w:r w:rsidR="00A65B1B" w:rsidRPr="00876B33">
        <w:rPr>
          <w:rFonts w:cs="Simplified Arabic"/>
          <w:rtl/>
        </w:rPr>
        <w:t>)</w:t>
      </w:r>
      <w:proofErr w:type="spellEnd"/>
      <w:r w:rsidR="00A65B1B" w:rsidRPr="00876B33">
        <w:rPr>
          <w:rFonts w:cs="Simplified Arabic" w:hint="cs"/>
          <w:rtl/>
        </w:rPr>
        <w:t xml:space="preserve"> في </w:t>
      </w:r>
      <w:r w:rsidR="00766571" w:rsidRPr="00876B33">
        <w:rPr>
          <w:rFonts w:cs="Simplified Arabic" w:hint="cs"/>
          <w:rtl/>
        </w:rPr>
        <w:t>فلسطين</w:t>
      </w:r>
      <w:r w:rsidR="00A65B1B" w:rsidRPr="00876B33">
        <w:rPr>
          <w:rFonts w:cs="Simplified Arabic" w:hint="cs"/>
          <w:rtl/>
        </w:rPr>
        <w:t xml:space="preserve"> عام 2017 </w:t>
      </w:r>
      <w:r w:rsidRPr="00876B33">
        <w:rPr>
          <w:rFonts w:cs="Simplified Arabic" w:hint="cs"/>
          <w:rtl/>
        </w:rPr>
        <w:t xml:space="preserve">حيث بلغت </w:t>
      </w:r>
      <w:proofErr w:type="spellStart"/>
      <w:r w:rsidRPr="00876B33">
        <w:rPr>
          <w:rFonts w:cs="Simplified Arabic" w:hint="cs"/>
          <w:rtl/>
        </w:rPr>
        <w:t>41.1%</w:t>
      </w:r>
      <w:proofErr w:type="spellEnd"/>
      <w:r w:rsidRPr="00876B33">
        <w:rPr>
          <w:rFonts w:cs="Simplified Arabic" w:hint="cs"/>
          <w:rtl/>
        </w:rPr>
        <w:t xml:space="preserve"> </w:t>
      </w:r>
      <w:proofErr w:type="spellStart"/>
      <w:r w:rsidR="00481960" w:rsidRPr="00876B33">
        <w:rPr>
          <w:rFonts w:cs="Simplified Arabic" w:hint="cs"/>
          <w:rtl/>
        </w:rPr>
        <w:t>(</w:t>
      </w:r>
      <w:r w:rsidR="0071255D" w:rsidRPr="00876B33">
        <w:rPr>
          <w:rFonts w:cs="Simplified Arabic" w:hint="cs"/>
          <w:rtl/>
        </w:rPr>
        <w:t>63.0%</w:t>
      </w:r>
      <w:proofErr w:type="spellEnd"/>
      <w:r w:rsidR="0071255D" w:rsidRPr="00876B33">
        <w:rPr>
          <w:rFonts w:cs="Simplified Arabic" w:hint="cs"/>
          <w:rtl/>
        </w:rPr>
        <w:t xml:space="preserve"> بين الذكور </w:t>
      </w:r>
      <w:proofErr w:type="spellStart"/>
      <w:r w:rsidR="0071255D" w:rsidRPr="00876B33">
        <w:rPr>
          <w:rFonts w:cs="Simplified Arabic" w:hint="cs"/>
          <w:rtl/>
        </w:rPr>
        <w:t>و18.9%</w:t>
      </w:r>
      <w:proofErr w:type="spellEnd"/>
      <w:r w:rsidR="0071255D" w:rsidRPr="00876B33">
        <w:rPr>
          <w:rFonts w:cs="Simplified Arabic" w:hint="cs"/>
          <w:rtl/>
        </w:rPr>
        <w:t xml:space="preserve"> بين الاناث</w:t>
      </w:r>
      <w:proofErr w:type="spellStart"/>
      <w:r w:rsidR="0071255D" w:rsidRPr="00876B33">
        <w:rPr>
          <w:rFonts w:cs="Simplified Arabic" w:hint="cs"/>
          <w:rtl/>
        </w:rPr>
        <w:t>)</w:t>
      </w:r>
      <w:proofErr w:type="spellEnd"/>
      <w:r w:rsidR="0071255D" w:rsidRPr="00876B33">
        <w:rPr>
          <w:rFonts w:cs="Simplified Arabic" w:hint="cs"/>
          <w:rtl/>
        </w:rPr>
        <w:t xml:space="preserve"> </w:t>
      </w:r>
      <w:r w:rsidR="00A65B1B" w:rsidRPr="00876B33">
        <w:rPr>
          <w:rFonts w:cs="Simplified Arabic" w:hint="cs"/>
          <w:rtl/>
        </w:rPr>
        <w:t>مقارنة مع</w:t>
      </w:r>
      <w:r w:rsidRPr="00876B33">
        <w:rPr>
          <w:rFonts w:cs="Simplified Arabic" w:hint="cs"/>
          <w:rtl/>
        </w:rPr>
        <w:t xml:space="preserve"> </w:t>
      </w:r>
      <w:proofErr w:type="spellStart"/>
      <w:r w:rsidRPr="00876B33">
        <w:rPr>
          <w:rFonts w:cs="Simplified Arabic" w:hint="cs"/>
          <w:rtl/>
        </w:rPr>
        <w:t>33.8%</w:t>
      </w:r>
      <w:proofErr w:type="spellEnd"/>
      <w:r w:rsidR="00A65B1B" w:rsidRPr="00876B33">
        <w:rPr>
          <w:rFonts w:cs="Simplified Arabic" w:hint="cs"/>
          <w:rtl/>
        </w:rPr>
        <w:t xml:space="preserve"> عام 2007</w:t>
      </w:r>
      <w:r w:rsidR="00481960" w:rsidRPr="00876B33">
        <w:rPr>
          <w:rFonts w:cs="Simplified Arabic" w:hint="cs"/>
          <w:rtl/>
        </w:rPr>
        <w:t xml:space="preserve"> </w:t>
      </w:r>
      <w:proofErr w:type="spellStart"/>
      <w:r w:rsidR="00481960" w:rsidRPr="00876B33">
        <w:rPr>
          <w:rFonts w:cs="Simplified Arabic" w:hint="cs"/>
          <w:rtl/>
        </w:rPr>
        <w:t>(54.8%</w:t>
      </w:r>
      <w:proofErr w:type="spellEnd"/>
      <w:r w:rsidR="00481960" w:rsidRPr="00876B33">
        <w:rPr>
          <w:rFonts w:cs="Simplified Arabic" w:hint="cs"/>
          <w:rtl/>
        </w:rPr>
        <w:t xml:space="preserve"> بين الذكور </w:t>
      </w:r>
      <w:proofErr w:type="spellStart"/>
      <w:r w:rsidR="00481960" w:rsidRPr="00876B33">
        <w:rPr>
          <w:rFonts w:cs="Simplified Arabic" w:hint="cs"/>
          <w:rtl/>
        </w:rPr>
        <w:t>و</w:t>
      </w:r>
      <w:r w:rsidR="0071255D" w:rsidRPr="00876B33">
        <w:rPr>
          <w:rFonts w:cs="Simplified Arabic" w:hint="cs"/>
          <w:rtl/>
        </w:rPr>
        <w:t>11.9%</w:t>
      </w:r>
      <w:proofErr w:type="spellEnd"/>
      <w:r w:rsidR="0071255D" w:rsidRPr="00876B33">
        <w:rPr>
          <w:rFonts w:cs="Simplified Arabic" w:hint="cs"/>
          <w:rtl/>
        </w:rPr>
        <w:t xml:space="preserve"> بين الاناث</w:t>
      </w:r>
      <w:proofErr w:type="spellStart"/>
      <w:r w:rsidR="0071255D" w:rsidRPr="00876B33">
        <w:rPr>
          <w:rFonts w:cs="Simplified Arabic" w:hint="cs"/>
          <w:rtl/>
        </w:rPr>
        <w:t>)</w:t>
      </w:r>
      <w:proofErr w:type="spellEnd"/>
      <w:r w:rsidR="00575D0F" w:rsidRPr="00876B33">
        <w:rPr>
          <w:rFonts w:cs="Simplified Arabic" w:hint="cs"/>
          <w:rtl/>
        </w:rPr>
        <w:t xml:space="preserve"> وعلى مستوى المنطقة</w:t>
      </w:r>
      <w:r w:rsidR="00A65B1B" w:rsidRPr="00876B33">
        <w:rPr>
          <w:rFonts w:cs="Simplified Arabic" w:hint="cs"/>
          <w:rtl/>
        </w:rPr>
        <w:t xml:space="preserve"> ارتفعت نسبة المشاركة بين </w:t>
      </w:r>
      <w:r w:rsidRPr="00876B33">
        <w:rPr>
          <w:rFonts w:cs="Simplified Arabic" w:hint="cs"/>
          <w:rtl/>
        </w:rPr>
        <w:t>الأفراد</w:t>
      </w:r>
      <w:r w:rsidR="00A65B1B" w:rsidRPr="00876B33">
        <w:rPr>
          <w:rFonts w:cs="Simplified Arabic" w:hint="cs"/>
          <w:rtl/>
        </w:rPr>
        <w:t xml:space="preserve"> في الفئة </w:t>
      </w:r>
      <w:r w:rsidR="00A65B1B" w:rsidRPr="00876B33">
        <w:rPr>
          <w:rFonts w:cs="Simplified Arabic"/>
          <w:rtl/>
        </w:rPr>
        <w:t>(15-29 سنة</w:t>
      </w:r>
      <w:proofErr w:type="spellStart"/>
      <w:r w:rsidR="00A65B1B" w:rsidRPr="00876B33">
        <w:rPr>
          <w:rFonts w:cs="Simplified Arabic"/>
          <w:rtl/>
        </w:rPr>
        <w:t>)</w:t>
      </w:r>
      <w:proofErr w:type="spellEnd"/>
      <w:r w:rsidR="00A65B1B" w:rsidRPr="00876B33">
        <w:rPr>
          <w:rFonts w:cs="Simplified Arabic" w:hint="cs"/>
          <w:rtl/>
        </w:rPr>
        <w:t xml:space="preserve"> في الضفة الغربية من </w:t>
      </w:r>
      <w:proofErr w:type="spellStart"/>
      <w:r w:rsidR="00A65B1B" w:rsidRPr="00876B33">
        <w:rPr>
          <w:rFonts w:cs="Simplified Arabic" w:hint="cs"/>
          <w:rtl/>
        </w:rPr>
        <w:t>35.6%</w:t>
      </w:r>
      <w:proofErr w:type="spellEnd"/>
      <w:r w:rsidR="00A65B1B" w:rsidRPr="00876B33">
        <w:rPr>
          <w:rFonts w:cs="Simplified Arabic" w:hint="cs"/>
          <w:rtl/>
        </w:rPr>
        <w:t xml:space="preserve"> عام 2007 إلى </w:t>
      </w:r>
      <w:proofErr w:type="spellStart"/>
      <w:r w:rsidR="00A65B1B" w:rsidRPr="00876B33">
        <w:rPr>
          <w:rFonts w:cs="Simplified Arabic" w:hint="cs"/>
          <w:rtl/>
        </w:rPr>
        <w:t>41.1%</w:t>
      </w:r>
      <w:proofErr w:type="spellEnd"/>
      <w:r w:rsidR="00A65B1B" w:rsidRPr="00876B33">
        <w:rPr>
          <w:rFonts w:cs="Simplified Arabic" w:hint="cs"/>
          <w:rtl/>
        </w:rPr>
        <w:t xml:space="preserve"> عام </w:t>
      </w:r>
      <w:proofErr w:type="spellStart"/>
      <w:r w:rsidR="00A65B1B" w:rsidRPr="00876B33">
        <w:rPr>
          <w:rFonts w:cs="Simplified Arabic" w:hint="cs"/>
          <w:rtl/>
        </w:rPr>
        <w:t>2017،</w:t>
      </w:r>
      <w:proofErr w:type="spellEnd"/>
      <w:r w:rsidR="00A65B1B" w:rsidRPr="00876B33">
        <w:rPr>
          <w:rFonts w:cs="Simplified Arabic" w:hint="cs"/>
          <w:rtl/>
        </w:rPr>
        <w:t xml:space="preserve"> وارتفعت في قطاع غزة من </w:t>
      </w:r>
      <w:proofErr w:type="spellStart"/>
      <w:r w:rsidR="00A65B1B" w:rsidRPr="00876B33">
        <w:rPr>
          <w:rFonts w:cs="Simplified Arabic" w:hint="cs"/>
          <w:rtl/>
        </w:rPr>
        <w:t>30.8%</w:t>
      </w:r>
      <w:proofErr w:type="spellEnd"/>
      <w:r w:rsidR="00A65B1B" w:rsidRPr="00876B33">
        <w:rPr>
          <w:rFonts w:cs="Simplified Arabic" w:hint="cs"/>
          <w:rtl/>
        </w:rPr>
        <w:t xml:space="preserve"> إلى </w:t>
      </w:r>
      <w:proofErr w:type="spellStart"/>
      <w:r w:rsidRPr="00876B33">
        <w:rPr>
          <w:rFonts w:cs="Simplified Arabic" w:hint="cs"/>
          <w:rtl/>
        </w:rPr>
        <w:t>42.0</w:t>
      </w:r>
      <w:r w:rsidR="00A65B1B" w:rsidRPr="00876B33">
        <w:rPr>
          <w:rFonts w:cs="Simplified Arabic" w:hint="cs"/>
          <w:rtl/>
        </w:rPr>
        <w:t>%</w:t>
      </w:r>
      <w:proofErr w:type="spellEnd"/>
      <w:r w:rsidR="00A65B1B" w:rsidRPr="00876B33">
        <w:rPr>
          <w:rFonts w:cs="Simplified Arabic" w:hint="cs"/>
          <w:rtl/>
        </w:rPr>
        <w:t xml:space="preserve"> خلال نفس الفترة.</w:t>
      </w:r>
    </w:p>
    <w:p w:rsidR="008C301A" w:rsidRPr="00876B33" w:rsidRDefault="008C301A" w:rsidP="001C1918">
      <w:pPr>
        <w:jc w:val="both"/>
        <w:rPr>
          <w:rFonts w:cs="Simplified Arabic"/>
          <w:sz w:val="16"/>
          <w:szCs w:val="16"/>
          <w:rtl/>
        </w:rPr>
      </w:pPr>
    </w:p>
    <w:p w:rsidR="008C301A" w:rsidRPr="00876B33" w:rsidRDefault="00A65B1B" w:rsidP="0067743C">
      <w:pPr>
        <w:pStyle w:val="Heading4"/>
        <w:jc w:val="left"/>
        <w:rPr>
          <w:rFonts w:ascii="Simplified Arabic" w:hAnsi="Simplified Arabic"/>
          <w:sz w:val="26"/>
          <w:szCs w:val="26"/>
          <w:rtl/>
        </w:rPr>
      </w:pPr>
      <w:r w:rsidRPr="00876B33">
        <w:rPr>
          <w:rFonts w:ascii="Simplified Arabic" w:hAnsi="Simplified Arabic"/>
          <w:snapToGrid w:val="0"/>
          <w:sz w:val="26"/>
          <w:szCs w:val="26"/>
          <w:rtl/>
          <w:lang w:eastAsia="en-US"/>
        </w:rPr>
        <w:t>ارتفاع معدل البطالة بين الشباب في العام 2017 مقارنة مع العام 2007</w:t>
      </w:r>
      <w:r w:rsidR="00605EF0" w:rsidRPr="00876B33">
        <w:rPr>
          <w:rFonts w:ascii="Simplified Arabic" w:hAnsi="Simplified Arabic"/>
          <w:snapToGrid w:val="0"/>
          <w:sz w:val="26"/>
          <w:szCs w:val="26"/>
          <w:rtl/>
          <w:lang w:eastAsia="en-US"/>
        </w:rPr>
        <w:t xml:space="preserve"> </w:t>
      </w:r>
    </w:p>
    <w:p w:rsidR="007D0000" w:rsidRPr="00876B33" w:rsidRDefault="007D0000" w:rsidP="000B1418">
      <w:pPr>
        <w:jc w:val="both"/>
        <w:rPr>
          <w:rFonts w:cs="Simplified Arabic"/>
          <w:rtl/>
        </w:rPr>
      </w:pPr>
      <w:r w:rsidRPr="00876B33">
        <w:rPr>
          <w:rFonts w:cs="Simplified Arabic" w:hint="cs"/>
          <w:rtl/>
        </w:rPr>
        <w:t xml:space="preserve">ارتفع معدل البطالة بين الأفراد </w:t>
      </w:r>
      <w:r w:rsidRPr="00876B33">
        <w:rPr>
          <w:rFonts w:cs="Simplified Arabic"/>
          <w:rtl/>
        </w:rPr>
        <w:t>(15-29 سنة</w:t>
      </w:r>
      <w:proofErr w:type="spellStart"/>
      <w:r w:rsidRPr="00876B33">
        <w:rPr>
          <w:rFonts w:cs="Simplified Arabic"/>
          <w:rtl/>
        </w:rPr>
        <w:t>)</w:t>
      </w:r>
      <w:proofErr w:type="spellEnd"/>
      <w:r w:rsidRPr="00876B33">
        <w:rPr>
          <w:rFonts w:cs="Simplified Arabic" w:hint="cs"/>
          <w:rtl/>
        </w:rPr>
        <w:t xml:space="preserve"> في فلسطين عام 2017</w:t>
      </w:r>
      <w:r w:rsidR="000B1418" w:rsidRPr="00876B33">
        <w:rPr>
          <w:rFonts w:cs="Simplified Arabic" w:hint="cs"/>
          <w:rtl/>
        </w:rPr>
        <w:t xml:space="preserve"> </w:t>
      </w:r>
      <w:r w:rsidR="00CC5242" w:rsidRPr="00876B33">
        <w:rPr>
          <w:rFonts w:cs="Simplified Arabic" w:hint="cs"/>
          <w:rtl/>
        </w:rPr>
        <w:t xml:space="preserve">مقارنة مع العام 2007 </w:t>
      </w:r>
      <w:r w:rsidR="006375D1" w:rsidRPr="00876B33">
        <w:rPr>
          <w:rFonts w:cs="Simplified Arabic" w:hint="cs"/>
          <w:rtl/>
        </w:rPr>
        <w:t>ليصل إلى</w:t>
      </w:r>
      <w:r w:rsidRPr="00876B33">
        <w:rPr>
          <w:rFonts w:cs="Simplified Arabic" w:hint="cs"/>
          <w:rtl/>
        </w:rPr>
        <w:t xml:space="preserve"> </w:t>
      </w:r>
      <w:proofErr w:type="spellStart"/>
      <w:r w:rsidRPr="00876B33">
        <w:rPr>
          <w:rFonts w:cs="Simplified Arabic" w:hint="cs"/>
          <w:rtl/>
        </w:rPr>
        <w:t>41.0%</w:t>
      </w:r>
      <w:proofErr w:type="spellEnd"/>
      <w:r w:rsidRPr="00876B33">
        <w:rPr>
          <w:rFonts w:cs="Simplified Arabic" w:hint="cs"/>
          <w:rtl/>
        </w:rPr>
        <w:t xml:space="preserve"> </w:t>
      </w:r>
      <w:proofErr w:type="spellStart"/>
      <w:r w:rsidRPr="00876B33">
        <w:rPr>
          <w:rFonts w:cs="Simplified Arabic" w:hint="cs"/>
          <w:rtl/>
        </w:rPr>
        <w:t>(</w:t>
      </w:r>
      <w:r w:rsidR="00225959" w:rsidRPr="00876B33">
        <w:rPr>
          <w:rFonts w:cs="Simplified Arabic" w:hint="cs"/>
          <w:rtl/>
        </w:rPr>
        <w:t>33.7</w:t>
      </w:r>
      <w:r w:rsidRPr="00876B33">
        <w:rPr>
          <w:rFonts w:cs="Simplified Arabic" w:hint="cs"/>
          <w:rtl/>
        </w:rPr>
        <w:t>%</w:t>
      </w:r>
      <w:proofErr w:type="spellEnd"/>
      <w:r w:rsidRPr="00876B33">
        <w:rPr>
          <w:rFonts w:cs="Simplified Arabic" w:hint="cs"/>
          <w:rtl/>
        </w:rPr>
        <w:t xml:space="preserve"> بين الذكور </w:t>
      </w:r>
      <w:proofErr w:type="spellStart"/>
      <w:r w:rsidRPr="00876B33">
        <w:rPr>
          <w:rFonts w:cs="Simplified Arabic" w:hint="cs"/>
          <w:rtl/>
        </w:rPr>
        <w:t>و</w:t>
      </w:r>
      <w:r w:rsidR="00225959" w:rsidRPr="00876B33">
        <w:rPr>
          <w:rFonts w:cs="Simplified Arabic" w:hint="cs"/>
          <w:rtl/>
        </w:rPr>
        <w:t>66.7</w:t>
      </w:r>
      <w:r w:rsidRPr="00876B33">
        <w:rPr>
          <w:rFonts w:cs="Simplified Arabic" w:hint="cs"/>
          <w:rtl/>
        </w:rPr>
        <w:t>%</w:t>
      </w:r>
      <w:proofErr w:type="spellEnd"/>
      <w:r w:rsidRPr="00876B33">
        <w:rPr>
          <w:rFonts w:cs="Simplified Arabic" w:hint="cs"/>
          <w:rtl/>
        </w:rPr>
        <w:t xml:space="preserve"> بين الاناث</w:t>
      </w:r>
      <w:proofErr w:type="spellStart"/>
      <w:r w:rsidRPr="00876B33">
        <w:rPr>
          <w:rFonts w:cs="Simplified Arabic" w:hint="cs"/>
          <w:rtl/>
        </w:rPr>
        <w:t>)</w:t>
      </w:r>
      <w:proofErr w:type="spellEnd"/>
      <w:r w:rsidRPr="00876B33">
        <w:rPr>
          <w:rFonts w:cs="Simplified Arabic" w:hint="cs"/>
          <w:rtl/>
        </w:rPr>
        <w:t xml:space="preserve"> مقارنة مع </w:t>
      </w:r>
      <w:proofErr w:type="spellStart"/>
      <w:r w:rsidR="00225959" w:rsidRPr="00876B33">
        <w:rPr>
          <w:rFonts w:cs="Simplified Arabic" w:hint="cs"/>
          <w:rtl/>
        </w:rPr>
        <w:t>30.5</w:t>
      </w:r>
      <w:r w:rsidRPr="00876B33">
        <w:rPr>
          <w:rFonts w:cs="Simplified Arabic" w:hint="cs"/>
          <w:rtl/>
        </w:rPr>
        <w:t>%</w:t>
      </w:r>
      <w:proofErr w:type="spellEnd"/>
      <w:r w:rsidR="006375D1" w:rsidRPr="00876B33">
        <w:rPr>
          <w:rFonts w:cs="Simplified Arabic" w:hint="cs"/>
          <w:rtl/>
        </w:rPr>
        <w:t xml:space="preserve"> على التوالي</w:t>
      </w:r>
      <w:r w:rsidRPr="00876B33">
        <w:rPr>
          <w:rFonts w:cs="Simplified Arabic" w:hint="cs"/>
          <w:rtl/>
        </w:rPr>
        <w:t xml:space="preserve"> </w:t>
      </w:r>
      <w:proofErr w:type="spellStart"/>
      <w:r w:rsidRPr="00876B33">
        <w:rPr>
          <w:rFonts w:cs="Simplified Arabic" w:hint="cs"/>
          <w:rtl/>
        </w:rPr>
        <w:t>(</w:t>
      </w:r>
      <w:r w:rsidR="00225959" w:rsidRPr="00876B33">
        <w:rPr>
          <w:rFonts w:cs="Simplified Arabic" w:hint="cs"/>
          <w:rtl/>
        </w:rPr>
        <w:t>29.4</w:t>
      </w:r>
      <w:r w:rsidR="002C040B" w:rsidRPr="00876B33">
        <w:rPr>
          <w:rFonts w:cs="Simplified Arabic" w:hint="cs"/>
          <w:rtl/>
        </w:rPr>
        <w:t>%</w:t>
      </w:r>
      <w:proofErr w:type="spellEnd"/>
      <w:r w:rsidR="002C040B" w:rsidRPr="00876B33">
        <w:rPr>
          <w:rFonts w:cs="Simplified Arabic" w:hint="cs"/>
          <w:rtl/>
        </w:rPr>
        <w:t xml:space="preserve"> بين الذكور </w:t>
      </w:r>
      <w:proofErr w:type="spellStart"/>
      <w:r w:rsidR="002C040B" w:rsidRPr="00876B33">
        <w:rPr>
          <w:rFonts w:cs="Simplified Arabic" w:hint="cs"/>
          <w:rtl/>
        </w:rPr>
        <w:t>و</w:t>
      </w:r>
      <w:r w:rsidR="00225959" w:rsidRPr="00876B33">
        <w:rPr>
          <w:rFonts w:cs="Simplified Arabic" w:hint="cs"/>
          <w:rtl/>
        </w:rPr>
        <w:t>35.6</w:t>
      </w:r>
      <w:r w:rsidRPr="00876B33">
        <w:rPr>
          <w:rFonts w:cs="Simplified Arabic" w:hint="cs"/>
          <w:rtl/>
        </w:rPr>
        <w:t>%</w:t>
      </w:r>
      <w:proofErr w:type="spellEnd"/>
      <w:r w:rsidRPr="00876B33">
        <w:rPr>
          <w:rFonts w:cs="Simplified Arabic" w:hint="cs"/>
          <w:rtl/>
        </w:rPr>
        <w:t xml:space="preserve"> بين الاناث</w:t>
      </w:r>
      <w:proofErr w:type="spellStart"/>
      <w:r w:rsidRPr="00876B33">
        <w:rPr>
          <w:rFonts w:cs="Simplified Arabic" w:hint="cs"/>
          <w:rtl/>
        </w:rPr>
        <w:t>)</w:t>
      </w:r>
      <w:proofErr w:type="spellEnd"/>
      <w:r w:rsidRPr="00876B33">
        <w:rPr>
          <w:rFonts w:cs="Simplified Arabic" w:hint="cs"/>
          <w:rtl/>
        </w:rPr>
        <w:t xml:space="preserve"> من جانب آخر</w:t>
      </w:r>
      <w:r w:rsidR="00225959" w:rsidRPr="00876B33">
        <w:rPr>
          <w:rFonts w:cs="Simplified Arabic" w:hint="cs"/>
          <w:rtl/>
        </w:rPr>
        <w:t xml:space="preserve"> ارتفع</w:t>
      </w:r>
      <w:r w:rsidRPr="00876B33">
        <w:rPr>
          <w:rFonts w:cs="Simplified Arabic" w:hint="cs"/>
          <w:rtl/>
        </w:rPr>
        <w:t xml:space="preserve"> </w:t>
      </w:r>
      <w:r w:rsidR="00225959" w:rsidRPr="00876B33">
        <w:rPr>
          <w:rFonts w:cs="Simplified Arabic" w:hint="cs"/>
          <w:rtl/>
        </w:rPr>
        <w:t>معدل البطالة</w:t>
      </w:r>
      <w:r w:rsidRPr="00876B33">
        <w:rPr>
          <w:rFonts w:cs="Simplified Arabic" w:hint="cs"/>
          <w:rtl/>
        </w:rPr>
        <w:t xml:space="preserve"> بين الأفراد في الفئة </w:t>
      </w:r>
      <w:r w:rsidRPr="00876B33">
        <w:rPr>
          <w:rFonts w:cs="Simplified Arabic"/>
          <w:rtl/>
        </w:rPr>
        <w:t>(15-29 سنة</w:t>
      </w:r>
      <w:proofErr w:type="spellStart"/>
      <w:r w:rsidRPr="00876B33">
        <w:rPr>
          <w:rFonts w:cs="Simplified Arabic"/>
          <w:rtl/>
        </w:rPr>
        <w:t>)</w:t>
      </w:r>
      <w:proofErr w:type="spellEnd"/>
      <w:r w:rsidRPr="00876B33">
        <w:rPr>
          <w:rFonts w:cs="Simplified Arabic" w:hint="cs"/>
          <w:rtl/>
        </w:rPr>
        <w:t xml:space="preserve"> في الضفة الغربية من </w:t>
      </w:r>
      <w:proofErr w:type="spellStart"/>
      <w:r w:rsidR="00225959" w:rsidRPr="00876B33">
        <w:rPr>
          <w:rFonts w:cs="Simplified Arabic" w:hint="cs"/>
          <w:rtl/>
        </w:rPr>
        <w:t>25.6</w:t>
      </w:r>
      <w:r w:rsidRPr="00876B33">
        <w:rPr>
          <w:rFonts w:cs="Simplified Arabic" w:hint="cs"/>
          <w:rtl/>
        </w:rPr>
        <w:t>%</w:t>
      </w:r>
      <w:proofErr w:type="spellEnd"/>
      <w:r w:rsidRPr="00876B33">
        <w:rPr>
          <w:rFonts w:cs="Simplified Arabic" w:hint="cs"/>
          <w:rtl/>
        </w:rPr>
        <w:t xml:space="preserve"> عام 2007 إلى </w:t>
      </w:r>
      <w:proofErr w:type="spellStart"/>
      <w:r w:rsidR="00225959" w:rsidRPr="00876B33">
        <w:rPr>
          <w:rFonts w:cs="Simplified Arabic" w:hint="cs"/>
          <w:rtl/>
        </w:rPr>
        <w:t>27.2</w:t>
      </w:r>
      <w:r w:rsidRPr="00876B33">
        <w:rPr>
          <w:rFonts w:cs="Simplified Arabic" w:hint="cs"/>
          <w:rtl/>
        </w:rPr>
        <w:t>%</w:t>
      </w:r>
      <w:proofErr w:type="spellEnd"/>
      <w:r w:rsidRPr="00876B33">
        <w:rPr>
          <w:rFonts w:cs="Simplified Arabic" w:hint="cs"/>
          <w:rtl/>
        </w:rPr>
        <w:t xml:space="preserve"> عام </w:t>
      </w:r>
      <w:proofErr w:type="spellStart"/>
      <w:r w:rsidRPr="00876B33">
        <w:rPr>
          <w:rFonts w:cs="Simplified Arabic" w:hint="cs"/>
          <w:rtl/>
        </w:rPr>
        <w:t>2017،</w:t>
      </w:r>
      <w:proofErr w:type="spellEnd"/>
      <w:r w:rsidRPr="00876B33">
        <w:rPr>
          <w:rFonts w:cs="Simplified Arabic" w:hint="cs"/>
          <w:rtl/>
        </w:rPr>
        <w:t xml:space="preserve"> وارتفعت</w:t>
      </w:r>
      <w:r w:rsidR="00575D0F" w:rsidRPr="00876B33">
        <w:rPr>
          <w:rFonts w:cs="Simplified Arabic" w:hint="cs"/>
          <w:rtl/>
        </w:rPr>
        <w:t xml:space="preserve"> </w:t>
      </w:r>
      <w:r w:rsidR="000B1418" w:rsidRPr="00876B33">
        <w:rPr>
          <w:rFonts w:cs="Simplified Arabic" w:hint="cs"/>
          <w:rtl/>
        </w:rPr>
        <w:t>بشكل</w:t>
      </w:r>
      <w:r w:rsidR="00575D0F" w:rsidRPr="00876B33">
        <w:rPr>
          <w:rFonts w:cs="Simplified Arabic" w:hint="cs"/>
          <w:rtl/>
        </w:rPr>
        <w:t xml:space="preserve"> ملحوظ </w:t>
      </w:r>
      <w:r w:rsidRPr="00876B33">
        <w:rPr>
          <w:rFonts w:cs="Simplified Arabic" w:hint="cs"/>
          <w:rtl/>
        </w:rPr>
        <w:t xml:space="preserve"> في قطاع غزة من </w:t>
      </w:r>
      <w:proofErr w:type="spellStart"/>
      <w:r w:rsidR="00225959" w:rsidRPr="00876B33">
        <w:rPr>
          <w:rFonts w:cs="Simplified Arabic" w:hint="cs"/>
          <w:rtl/>
        </w:rPr>
        <w:t>39.8</w:t>
      </w:r>
      <w:r w:rsidRPr="00876B33">
        <w:rPr>
          <w:rFonts w:cs="Simplified Arabic" w:hint="cs"/>
          <w:rtl/>
        </w:rPr>
        <w:t>%</w:t>
      </w:r>
      <w:proofErr w:type="spellEnd"/>
      <w:r w:rsidRPr="00876B33">
        <w:rPr>
          <w:rFonts w:cs="Simplified Arabic" w:hint="cs"/>
          <w:rtl/>
        </w:rPr>
        <w:t xml:space="preserve"> إلى </w:t>
      </w:r>
      <w:proofErr w:type="spellStart"/>
      <w:r w:rsidR="00225959" w:rsidRPr="00876B33">
        <w:rPr>
          <w:rFonts w:cs="Simplified Arabic" w:hint="cs"/>
          <w:rtl/>
        </w:rPr>
        <w:t>61.2</w:t>
      </w:r>
      <w:r w:rsidRPr="00876B33">
        <w:rPr>
          <w:rFonts w:cs="Simplified Arabic" w:hint="cs"/>
          <w:rtl/>
        </w:rPr>
        <w:t>%</w:t>
      </w:r>
      <w:proofErr w:type="spellEnd"/>
      <w:r w:rsidRPr="00876B33">
        <w:rPr>
          <w:rFonts w:cs="Simplified Arabic" w:hint="cs"/>
          <w:rtl/>
        </w:rPr>
        <w:t xml:space="preserve"> خلال نفس الفترة.</w:t>
      </w:r>
    </w:p>
    <w:p w:rsidR="007D0000" w:rsidRPr="00876B33" w:rsidRDefault="007D0000" w:rsidP="001C1918">
      <w:pPr>
        <w:jc w:val="both"/>
        <w:rPr>
          <w:rFonts w:cs="Simplified Arabic"/>
          <w:sz w:val="16"/>
          <w:szCs w:val="16"/>
          <w:rtl/>
        </w:rPr>
      </w:pPr>
    </w:p>
    <w:p w:rsidR="00A65B1B" w:rsidRPr="00876B33" w:rsidRDefault="00A65B1B" w:rsidP="00575D0F">
      <w:pPr>
        <w:pStyle w:val="Heading4"/>
        <w:jc w:val="left"/>
        <w:rPr>
          <w:rFonts w:ascii="Simplified Arabic" w:hAnsi="Simplified Arabic"/>
          <w:snapToGrid w:val="0"/>
          <w:sz w:val="26"/>
          <w:szCs w:val="26"/>
          <w:rtl/>
          <w:lang w:eastAsia="en-US"/>
        </w:rPr>
      </w:pPr>
      <w:r w:rsidRPr="00876B33">
        <w:rPr>
          <w:rFonts w:ascii="Simplified Arabic" w:hAnsi="Simplified Arabic"/>
          <w:snapToGrid w:val="0"/>
          <w:sz w:val="26"/>
          <w:szCs w:val="26"/>
          <w:rtl/>
          <w:lang w:eastAsia="en-US"/>
        </w:rPr>
        <w:t>بطالة الخرجين الشباب تجاوزت 55%</w:t>
      </w:r>
    </w:p>
    <w:p w:rsidR="00A65B1B" w:rsidRPr="00876B33" w:rsidRDefault="00A65B1B" w:rsidP="001C1918">
      <w:pPr>
        <w:jc w:val="both"/>
        <w:rPr>
          <w:rFonts w:cs="Simplified Arabic"/>
          <w:rtl/>
        </w:rPr>
      </w:pPr>
      <w:r w:rsidRPr="00876B33">
        <w:rPr>
          <w:rFonts w:cs="Simplified Arabic" w:hint="cs"/>
          <w:rtl/>
        </w:rPr>
        <w:t>بلغ معدل البطالة بين الخريجين (15-29 سنة</w:t>
      </w:r>
      <w:proofErr w:type="spellStart"/>
      <w:r w:rsidRPr="00876B33">
        <w:rPr>
          <w:rFonts w:cs="Simplified Arabic" w:hint="cs"/>
          <w:rtl/>
        </w:rPr>
        <w:t>)</w:t>
      </w:r>
      <w:proofErr w:type="spellEnd"/>
      <w:r w:rsidRPr="00876B33">
        <w:rPr>
          <w:rFonts w:cs="Simplified Arabic" w:hint="cs"/>
          <w:rtl/>
        </w:rPr>
        <w:t xml:space="preserve"> من حملة الدبلوم المتوسط فأعلى </w:t>
      </w:r>
      <w:proofErr w:type="spellStart"/>
      <w:r w:rsidRPr="00876B33">
        <w:rPr>
          <w:rFonts w:cs="Simplified Arabic" w:hint="cs"/>
          <w:rtl/>
        </w:rPr>
        <w:t>55.8%</w:t>
      </w:r>
      <w:proofErr w:type="spellEnd"/>
      <w:r w:rsidRPr="00876B33">
        <w:rPr>
          <w:rFonts w:cs="Simplified Arabic" w:hint="cs"/>
          <w:rtl/>
        </w:rPr>
        <w:t xml:space="preserve"> خلال العام 2017 </w:t>
      </w:r>
      <w:proofErr w:type="spellStart"/>
      <w:r w:rsidRPr="00876B33">
        <w:rPr>
          <w:rFonts w:cs="Simplified Arabic" w:hint="cs"/>
          <w:rtl/>
        </w:rPr>
        <w:t>(37.8%</w:t>
      </w:r>
      <w:proofErr w:type="spellEnd"/>
      <w:r w:rsidRPr="00876B33">
        <w:rPr>
          <w:rFonts w:cs="Simplified Arabic" w:hint="cs"/>
          <w:rtl/>
        </w:rPr>
        <w:t xml:space="preserve"> للذكور </w:t>
      </w:r>
      <w:proofErr w:type="spellStart"/>
      <w:r w:rsidRPr="00876B33">
        <w:rPr>
          <w:rFonts w:cs="Simplified Arabic" w:hint="cs"/>
          <w:rtl/>
        </w:rPr>
        <w:t>و72.0%</w:t>
      </w:r>
      <w:proofErr w:type="spellEnd"/>
      <w:r w:rsidRPr="00876B33">
        <w:rPr>
          <w:rFonts w:cs="Simplified Arabic" w:hint="cs"/>
          <w:rtl/>
        </w:rPr>
        <w:t xml:space="preserve"> </w:t>
      </w:r>
      <w:proofErr w:type="spellStart"/>
      <w:r w:rsidRPr="00876B33">
        <w:rPr>
          <w:rFonts w:cs="Simplified Arabic" w:hint="cs"/>
          <w:rtl/>
        </w:rPr>
        <w:t>للاناث)</w:t>
      </w:r>
      <w:proofErr w:type="spellEnd"/>
      <w:r w:rsidRPr="00876B33">
        <w:rPr>
          <w:rFonts w:cs="Simplified Arabic" w:hint="cs"/>
          <w:rtl/>
        </w:rPr>
        <w:t xml:space="preserve"> مقارنة مع </w:t>
      </w:r>
      <w:proofErr w:type="spellStart"/>
      <w:r w:rsidRPr="00876B33">
        <w:rPr>
          <w:rFonts w:cs="Simplified Arabic" w:hint="cs"/>
          <w:rtl/>
        </w:rPr>
        <w:t>41.5%</w:t>
      </w:r>
      <w:proofErr w:type="spellEnd"/>
      <w:r w:rsidRPr="00876B33">
        <w:rPr>
          <w:rFonts w:cs="Simplified Arabic" w:hint="cs"/>
          <w:rtl/>
        </w:rPr>
        <w:t xml:space="preserve"> في العام 2007 </w:t>
      </w:r>
      <w:proofErr w:type="spellStart"/>
      <w:r w:rsidRPr="00876B33">
        <w:rPr>
          <w:rFonts w:cs="Simplified Arabic" w:hint="cs"/>
          <w:rtl/>
        </w:rPr>
        <w:t>(31.7%</w:t>
      </w:r>
      <w:proofErr w:type="spellEnd"/>
      <w:r w:rsidRPr="00876B33">
        <w:rPr>
          <w:rFonts w:cs="Simplified Arabic" w:hint="cs"/>
          <w:rtl/>
        </w:rPr>
        <w:t xml:space="preserve"> للذكور </w:t>
      </w:r>
      <w:proofErr w:type="spellStart"/>
      <w:r w:rsidRPr="00876B33">
        <w:rPr>
          <w:rFonts w:cs="Simplified Arabic" w:hint="cs"/>
          <w:rtl/>
        </w:rPr>
        <w:t>و52.5%</w:t>
      </w:r>
      <w:proofErr w:type="spellEnd"/>
      <w:r w:rsidRPr="00876B33">
        <w:rPr>
          <w:rFonts w:cs="Simplified Arabic" w:hint="cs"/>
          <w:rtl/>
        </w:rPr>
        <w:t xml:space="preserve"> بين الاناث</w:t>
      </w:r>
      <w:proofErr w:type="spellStart"/>
      <w:r w:rsidRPr="00876B33">
        <w:rPr>
          <w:rFonts w:cs="Simplified Arabic" w:hint="cs"/>
          <w:rtl/>
        </w:rPr>
        <w:t>).</w:t>
      </w:r>
      <w:proofErr w:type="spellEnd"/>
      <w:r w:rsidRPr="00876B33">
        <w:rPr>
          <w:rFonts w:cs="Simplified Arabic" w:hint="cs"/>
          <w:rtl/>
        </w:rPr>
        <w:t xml:space="preserve"> سجل الخريجون من تخصص </w:t>
      </w:r>
      <w:r w:rsidRPr="00876B33">
        <w:rPr>
          <w:rFonts w:cs="Simplified Arabic"/>
          <w:rtl/>
        </w:rPr>
        <w:t>علوم تربوية وإعداد معلمين</w:t>
      </w:r>
      <w:r w:rsidRPr="00876B33">
        <w:rPr>
          <w:rFonts w:cs="Simplified Arabic" w:hint="cs"/>
          <w:rtl/>
        </w:rPr>
        <w:t xml:space="preserve"> في العام 20</w:t>
      </w:r>
      <w:r w:rsidR="009663F5" w:rsidRPr="00876B33">
        <w:rPr>
          <w:rFonts w:cs="Simplified Arabic" w:hint="cs"/>
          <w:rtl/>
        </w:rPr>
        <w:t xml:space="preserve">17 أعلى معدل بطالة إذ بلغ </w:t>
      </w:r>
      <w:proofErr w:type="spellStart"/>
      <w:r w:rsidR="009663F5" w:rsidRPr="00876B33">
        <w:rPr>
          <w:rFonts w:cs="Simplified Arabic" w:hint="cs"/>
          <w:rtl/>
        </w:rPr>
        <w:t>69.6%</w:t>
      </w:r>
      <w:proofErr w:type="spellEnd"/>
      <w:r w:rsidR="009663F5" w:rsidRPr="00876B33">
        <w:rPr>
          <w:rFonts w:cs="Simplified Arabic" w:hint="cs"/>
          <w:rtl/>
        </w:rPr>
        <w:t xml:space="preserve"> </w:t>
      </w:r>
      <w:proofErr w:type="spellStart"/>
      <w:r w:rsidRPr="00876B33">
        <w:rPr>
          <w:rFonts w:cs="Simplified Arabic" w:hint="cs"/>
          <w:rtl/>
        </w:rPr>
        <w:t>(47.5%</w:t>
      </w:r>
      <w:proofErr w:type="spellEnd"/>
      <w:r w:rsidRPr="00876B33">
        <w:rPr>
          <w:rFonts w:cs="Simplified Arabic" w:hint="cs"/>
          <w:rtl/>
        </w:rPr>
        <w:t xml:space="preserve"> للذكور </w:t>
      </w:r>
      <w:proofErr w:type="spellStart"/>
      <w:r w:rsidRPr="00876B33">
        <w:rPr>
          <w:rFonts w:cs="Simplified Arabic" w:hint="cs"/>
          <w:rtl/>
        </w:rPr>
        <w:t>و76.2%</w:t>
      </w:r>
      <w:proofErr w:type="spellEnd"/>
      <w:r w:rsidRPr="00876B33">
        <w:rPr>
          <w:rFonts w:cs="Simplified Arabic" w:hint="cs"/>
          <w:rtl/>
        </w:rPr>
        <w:t xml:space="preserve"> </w:t>
      </w:r>
      <w:proofErr w:type="spellStart"/>
      <w:r w:rsidRPr="00876B33">
        <w:rPr>
          <w:rFonts w:cs="Simplified Arabic" w:hint="cs"/>
          <w:rtl/>
        </w:rPr>
        <w:t>للاناث)،</w:t>
      </w:r>
      <w:proofErr w:type="spellEnd"/>
      <w:r w:rsidRPr="00876B33">
        <w:rPr>
          <w:rFonts w:cs="Simplified Arabic" w:hint="cs"/>
          <w:rtl/>
        </w:rPr>
        <w:t xml:space="preserve"> بينما سجل الخريجون من تخصص </w:t>
      </w:r>
      <w:r w:rsidRPr="00876B33">
        <w:rPr>
          <w:rFonts w:cs="Simplified Arabic"/>
          <w:rtl/>
        </w:rPr>
        <w:t>القانون</w:t>
      </w:r>
      <w:r w:rsidRPr="00876B33">
        <w:rPr>
          <w:rFonts w:cs="Simplified Arabic" w:hint="cs"/>
          <w:rtl/>
        </w:rPr>
        <w:t xml:space="preserve"> أدنى معدل بطالة إذ بلغ </w:t>
      </w:r>
      <w:proofErr w:type="spellStart"/>
      <w:r w:rsidRPr="00876B33">
        <w:rPr>
          <w:rFonts w:cs="Simplified Arabic" w:hint="cs"/>
          <w:rtl/>
        </w:rPr>
        <w:t>25.7%</w:t>
      </w:r>
      <w:proofErr w:type="spellEnd"/>
      <w:r w:rsidRPr="00876B33">
        <w:rPr>
          <w:rFonts w:cs="Simplified Arabic" w:hint="cs"/>
          <w:rtl/>
        </w:rPr>
        <w:t xml:space="preserve"> </w:t>
      </w:r>
      <w:proofErr w:type="spellStart"/>
      <w:r w:rsidRPr="00876B33">
        <w:rPr>
          <w:rFonts w:cs="Simplified Arabic" w:hint="cs"/>
          <w:rtl/>
        </w:rPr>
        <w:t>(25.5%</w:t>
      </w:r>
      <w:proofErr w:type="spellEnd"/>
      <w:r w:rsidRPr="00876B33">
        <w:rPr>
          <w:rFonts w:cs="Simplified Arabic" w:hint="cs"/>
          <w:rtl/>
        </w:rPr>
        <w:t xml:space="preserve"> للذكور </w:t>
      </w:r>
      <w:proofErr w:type="spellStart"/>
      <w:r w:rsidRPr="00876B33">
        <w:rPr>
          <w:rFonts w:cs="Simplified Arabic" w:hint="cs"/>
          <w:rtl/>
        </w:rPr>
        <w:t>و26%</w:t>
      </w:r>
      <w:proofErr w:type="spellEnd"/>
      <w:r w:rsidRPr="00876B33">
        <w:rPr>
          <w:rFonts w:cs="Simplified Arabic" w:hint="cs"/>
          <w:rtl/>
        </w:rPr>
        <w:t xml:space="preserve"> </w:t>
      </w:r>
      <w:proofErr w:type="spellStart"/>
      <w:r w:rsidRPr="00876B33">
        <w:rPr>
          <w:rFonts w:cs="Simplified Arabic" w:hint="cs"/>
          <w:rtl/>
        </w:rPr>
        <w:t>للاناث).</w:t>
      </w:r>
      <w:proofErr w:type="spellEnd"/>
    </w:p>
    <w:p w:rsidR="000D6887" w:rsidRPr="00876B33" w:rsidRDefault="000D6887" w:rsidP="000D6887">
      <w:pPr>
        <w:jc w:val="both"/>
        <w:rPr>
          <w:rFonts w:cs="Simplified Arabic"/>
          <w:sz w:val="16"/>
          <w:szCs w:val="16"/>
        </w:rPr>
      </w:pPr>
    </w:p>
    <w:p w:rsidR="000D6887" w:rsidRPr="00876B33" w:rsidRDefault="00575D0F" w:rsidP="00B57AA0">
      <w:pPr>
        <w:jc w:val="both"/>
        <w:rPr>
          <w:rFonts w:ascii="Simplified Arabic" w:hAnsi="Simplified Arabic" w:cs="Simplified Arabic"/>
          <w:b/>
          <w:bCs/>
          <w:sz w:val="25"/>
          <w:szCs w:val="25"/>
          <w:rtl/>
        </w:rPr>
      </w:pPr>
      <w:r w:rsidRPr="00876B33">
        <w:rPr>
          <w:rFonts w:ascii="Simplified Arabic" w:hAnsi="Simplified Arabic" w:cs="Simplified Arabic"/>
          <w:b/>
          <w:bCs/>
          <w:sz w:val="25"/>
          <w:szCs w:val="25"/>
          <w:rtl/>
        </w:rPr>
        <w:t xml:space="preserve">يتركز عمل الاناث الشابات في قطاع </w:t>
      </w:r>
      <w:proofErr w:type="spellStart"/>
      <w:r w:rsidRPr="00876B33">
        <w:rPr>
          <w:rFonts w:ascii="Simplified Arabic" w:hAnsi="Simplified Arabic" w:cs="Simplified Arabic"/>
          <w:b/>
          <w:bCs/>
          <w:sz w:val="25"/>
          <w:szCs w:val="25"/>
          <w:rtl/>
        </w:rPr>
        <w:t>الخدمات،</w:t>
      </w:r>
      <w:proofErr w:type="spellEnd"/>
      <w:r w:rsidRPr="00876B33">
        <w:rPr>
          <w:rFonts w:ascii="Simplified Arabic" w:hAnsi="Simplified Arabic" w:cs="Simplified Arabic"/>
          <w:b/>
          <w:bCs/>
          <w:sz w:val="25"/>
          <w:szCs w:val="25"/>
          <w:rtl/>
        </w:rPr>
        <w:t xml:space="preserve"> بالمقابل يعتبر قطاع التجارة والمطاعم والفنادق الأكثر استيعاباً لعمالة الشباب الذكور </w:t>
      </w:r>
    </w:p>
    <w:p w:rsidR="00876B33" w:rsidRPr="004F57F4" w:rsidRDefault="000D6887" w:rsidP="004F57F4">
      <w:pPr>
        <w:jc w:val="both"/>
        <w:rPr>
          <w:rFonts w:cs="Simplified Arabic"/>
          <w:rtl/>
        </w:rPr>
      </w:pPr>
      <w:r w:rsidRPr="00876B33">
        <w:rPr>
          <w:rFonts w:cs="Simplified Arabic" w:hint="cs"/>
          <w:rtl/>
        </w:rPr>
        <w:t>بلغت نسبة الشباب العاملين</w:t>
      </w:r>
      <w:r w:rsidRPr="00876B33">
        <w:rPr>
          <w:rFonts w:cs="Simplified Arabic"/>
          <w:rtl/>
        </w:rPr>
        <w:t xml:space="preserve"> في قطاع الخدمات </w:t>
      </w:r>
      <w:proofErr w:type="spellStart"/>
      <w:r w:rsidRPr="00876B33">
        <w:rPr>
          <w:rFonts w:cs="Simplified Arabic" w:hint="cs"/>
          <w:rtl/>
        </w:rPr>
        <w:t>23.0</w:t>
      </w:r>
      <w:r w:rsidRPr="00876B33">
        <w:rPr>
          <w:rFonts w:cs="Simplified Arabic"/>
          <w:rtl/>
        </w:rPr>
        <w:t>%</w:t>
      </w:r>
      <w:proofErr w:type="spellEnd"/>
      <w:r w:rsidRPr="00876B33">
        <w:rPr>
          <w:rFonts w:cs="Simplified Arabic"/>
          <w:rtl/>
        </w:rPr>
        <w:t xml:space="preserve"> </w:t>
      </w:r>
      <w:r w:rsidRPr="00876B33">
        <w:rPr>
          <w:rFonts w:cs="Simplified Arabic" w:hint="cs"/>
          <w:rtl/>
        </w:rPr>
        <w:t xml:space="preserve">في العام 2017 </w:t>
      </w:r>
      <w:proofErr w:type="spellStart"/>
      <w:r w:rsidRPr="00876B33">
        <w:rPr>
          <w:rFonts w:cs="Simplified Arabic"/>
          <w:rtl/>
        </w:rPr>
        <w:t>(</w:t>
      </w:r>
      <w:r w:rsidRPr="00876B33">
        <w:rPr>
          <w:rFonts w:cs="Simplified Arabic" w:hint="cs"/>
          <w:rtl/>
        </w:rPr>
        <w:t>16.8</w:t>
      </w:r>
      <w:r w:rsidRPr="00876B33">
        <w:rPr>
          <w:rFonts w:cs="Simplified Arabic"/>
          <w:rtl/>
        </w:rPr>
        <w:t>%</w:t>
      </w:r>
      <w:proofErr w:type="spellEnd"/>
      <w:r w:rsidRPr="00876B33">
        <w:rPr>
          <w:rFonts w:cs="Simplified Arabic"/>
          <w:rtl/>
        </w:rPr>
        <w:t xml:space="preserve"> </w:t>
      </w:r>
      <w:r w:rsidRPr="00876B33">
        <w:rPr>
          <w:rFonts w:cs="Simplified Arabic" w:hint="cs"/>
          <w:rtl/>
        </w:rPr>
        <w:t>ل</w:t>
      </w:r>
      <w:r w:rsidRPr="00876B33">
        <w:rPr>
          <w:rFonts w:cs="Simplified Arabic"/>
          <w:rtl/>
        </w:rPr>
        <w:t xml:space="preserve">لذكور </w:t>
      </w:r>
      <w:proofErr w:type="spellStart"/>
      <w:r w:rsidRPr="00876B33">
        <w:rPr>
          <w:rFonts w:cs="Simplified Arabic"/>
          <w:rtl/>
        </w:rPr>
        <w:t>و</w:t>
      </w:r>
      <w:r w:rsidRPr="00876B33">
        <w:rPr>
          <w:rFonts w:cs="Simplified Arabic" w:hint="cs"/>
          <w:rtl/>
        </w:rPr>
        <w:t>65.2</w:t>
      </w:r>
      <w:r w:rsidRPr="00876B33">
        <w:rPr>
          <w:rFonts w:cs="Simplified Arabic"/>
          <w:rtl/>
        </w:rPr>
        <w:t>%</w:t>
      </w:r>
      <w:proofErr w:type="spellEnd"/>
      <w:r w:rsidRPr="00876B33">
        <w:rPr>
          <w:rFonts w:cs="Simplified Arabic"/>
          <w:rtl/>
        </w:rPr>
        <w:t xml:space="preserve"> اناث</w:t>
      </w:r>
      <w:proofErr w:type="spellStart"/>
      <w:r w:rsidRPr="00876B33">
        <w:rPr>
          <w:rFonts w:cs="Simplified Arabic"/>
          <w:rtl/>
        </w:rPr>
        <w:t>)</w:t>
      </w:r>
      <w:proofErr w:type="spellEnd"/>
      <w:r w:rsidRPr="00876B33">
        <w:rPr>
          <w:rFonts w:cs="Simplified Arabic"/>
          <w:rtl/>
        </w:rPr>
        <w:t xml:space="preserve"> مقابل </w:t>
      </w:r>
      <w:proofErr w:type="spellStart"/>
      <w:r w:rsidRPr="00876B33">
        <w:rPr>
          <w:rFonts w:cs="Simplified Arabic" w:hint="cs"/>
          <w:rtl/>
        </w:rPr>
        <w:t>28.4</w:t>
      </w:r>
      <w:r w:rsidRPr="00876B33">
        <w:rPr>
          <w:rFonts w:cs="Simplified Arabic"/>
          <w:rtl/>
        </w:rPr>
        <w:t>%</w:t>
      </w:r>
      <w:proofErr w:type="spellEnd"/>
      <w:r w:rsidRPr="00876B33">
        <w:rPr>
          <w:rFonts w:cs="Simplified Arabic"/>
          <w:rtl/>
        </w:rPr>
        <w:t xml:space="preserve"> يعم</w:t>
      </w:r>
      <w:r w:rsidRPr="00876B33">
        <w:rPr>
          <w:rFonts w:cs="Simplified Arabic" w:hint="cs"/>
          <w:rtl/>
        </w:rPr>
        <w:t>ل</w:t>
      </w:r>
      <w:r w:rsidRPr="00876B33">
        <w:rPr>
          <w:rFonts w:cs="Simplified Arabic"/>
          <w:rtl/>
        </w:rPr>
        <w:t>ون في قطاع التجارة والمطاعم والفنادق</w:t>
      </w:r>
      <w:r w:rsidRPr="00876B33">
        <w:rPr>
          <w:rFonts w:cs="Simplified Arabic" w:hint="cs"/>
          <w:rtl/>
        </w:rPr>
        <w:t xml:space="preserve"> </w:t>
      </w:r>
      <w:proofErr w:type="spellStart"/>
      <w:r w:rsidRPr="00876B33">
        <w:rPr>
          <w:rFonts w:cs="Simplified Arabic" w:hint="cs"/>
          <w:rtl/>
        </w:rPr>
        <w:t>(30.6%</w:t>
      </w:r>
      <w:proofErr w:type="spellEnd"/>
      <w:r w:rsidRPr="00876B33">
        <w:rPr>
          <w:rFonts w:cs="Simplified Arabic" w:hint="cs"/>
          <w:rtl/>
        </w:rPr>
        <w:t xml:space="preserve"> للذكور </w:t>
      </w:r>
      <w:proofErr w:type="spellStart"/>
      <w:r w:rsidRPr="00876B33">
        <w:rPr>
          <w:rFonts w:cs="Simplified Arabic" w:hint="cs"/>
          <w:rtl/>
        </w:rPr>
        <w:t>و13.2%</w:t>
      </w:r>
      <w:proofErr w:type="spellEnd"/>
      <w:r w:rsidRPr="00876B33">
        <w:rPr>
          <w:rFonts w:cs="Simplified Arabic" w:hint="cs"/>
          <w:rtl/>
        </w:rPr>
        <w:t xml:space="preserve"> </w:t>
      </w:r>
      <w:proofErr w:type="spellStart"/>
      <w:r w:rsidRPr="00876B33">
        <w:rPr>
          <w:rFonts w:cs="Simplified Arabic" w:hint="cs"/>
          <w:rtl/>
        </w:rPr>
        <w:t>للاناث)،</w:t>
      </w:r>
      <w:proofErr w:type="spellEnd"/>
      <w:r w:rsidRPr="00876B33">
        <w:rPr>
          <w:rFonts w:cs="Simplified Arabic"/>
          <w:rtl/>
        </w:rPr>
        <w:t xml:space="preserve"> </w:t>
      </w:r>
      <w:proofErr w:type="spellStart"/>
      <w:r w:rsidRPr="00876B33">
        <w:rPr>
          <w:rFonts w:cs="Simplified Arabic" w:hint="cs"/>
          <w:rtl/>
        </w:rPr>
        <w:t>و19.6</w:t>
      </w:r>
      <w:r w:rsidRPr="00876B33">
        <w:rPr>
          <w:rFonts w:cs="Simplified Arabic"/>
          <w:rtl/>
        </w:rPr>
        <w:t>%</w:t>
      </w:r>
      <w:proofErr w:type="spellEnd"/>
      <w:r w:rsidRPr="00876B33">
        <w:rPr>
          <w:rFonts w:cs="Simplified Arabic"/>
          <w:rtl/>
        </w:rPr>
        <w:t xml:space="preserve"> في قطاع البناء والتشييد</w:t>
      </w:r>
      <w:r w:rsidRPr="00876B33">
        <w:rPr>
          <w:rFonts w:cs="Simplified Arabic" w:hint="cs"/>
          <w:rtl/>
        </w:rPr>
        <w:t xml:space="preserve"> </w:t>
      </w:r>
      <w:proofErr w:type="spellStart"/>
      <w:r w:rsidRPr="00876B33">
        <w:rPr>
          <w:rFonts w:cs="Simplified Arabic" w:hint="cs"/>
          <w:rtl/>
        </w:rPr>
        <w:t>(22.2%</w:t>
      </w:r>
      <w:proofErr w:type="spellEnd"/>
      <w:r w:rsidRPr="00876B33">
        <w:rPr>
          <w:rFonts w:cs="Simplified Arabic" w:hint="cs"/>
          <w:rtl/>
        </w:rPr>
        <w:t xml:space="preserve"> للذكور </w:t>
      </w:r>
      <w:proofErr w:type="spellStart"/>
      <w:r w:rsidRPr="00876B33">
        <w:rPr>
          <w:rFonts w:cs="Simplified Arabic" w:hint="cs"/>
          <w:rtl/>
        </w:rPr>
        <w:t>و1.4%</w:t>
      </w:r>
      <w:proofErr w:type="spellEnd"/>
      <w:r w:rsidRPr="00876B33">
        <w:rPr>
          <w:rFonts w:cs="Simplified Arabic" w:hint="cs"/>
          <w:rtl/>
        </w:rPr>
        <w:t xml:space="preserve"> </w:t>
      </w:r>
      <w:proofErr w:type="spellStart"/>
      <w:r w:rsidRPr="00876B33">
        <w:rPr>
          <w:rFonts w:cs="Simplified Arabic" w:hint="cs"/>
          <w:rtl/>
        </w:rPr>
        <w:t>للاناث)،</w:t>
      </w:r>
      <w:proofErr w:type="spellEnd"/>
      <w:r w:rsidRPr="00876B33">
        <w:rPr>
          <w:rFonts w:cs="Simplified Arabic"/>
          <w:rtl/>
        </w:rPr>
        <w:t xml:space="preserve"> </w:t>
      </w:r>
      <w:proofErr w:type="spellStart"/>
      <w:r w:rsidRPr="00876B33">
        <w:rPr>
          <w:rFonts w:cs="Simplified Arabic" w:hint="cs"/>
          <w:rtl/>
        </w:rPr>
        <w:t>15.1</w:t>
      </w:r>
      <w:r w:rsidRPr="00876B33">
        <w:rPr>
          <w:rFonts w:cs="Simplified Arabic"/>
          <w:rtl/>
        </w:rPr>
        <w:t>%</w:t>
      </w:r>
      <w:proofErr w:type="spellEnd"/>
      <w:r w:rsidRPr="00876B33">
        <w:rPr>
          <w:rFonts w:cs="Simplified Arabic"/>
          <w:rtl/>
        </w:rPr>
        <w:t xml:space="preserve"> </w:t>
      </w:r>
      <w:r w:rsidRPr="00876B33">
        <w:rPr>
          <w:rFonts w:cs="Simplified Arabic" w:hint="cs"/>
          <w:rtl/>
        </w:rPr>
        <w:t xml:space="preserve">من الشباب العاملين يعملون في </w:t>
      </w:r>
      <w:r w:rsidRPr="00876B33">
        <w:rPr>
          <w:rFonts w:cs="Simplified Arabic"/>
          <w:rtl/>
        </w:rPr>
        <w:t>الصناعة</w:t>
      </w:r>
      <w:r w:rsidRPr="00876B33">
        <w:rPr>
          <w:rFonts w:cs="Simplified Arabic" w:hint="cs"/>
          <w:rtl/>
        </w:rPr>
        <w:t xml:space="preserve"> </w:t>
      </w:r>
      <w:proofErr w:type="spellStart"/>
      <w:r w:rsidRPr="00876B33">
        <w:rPr>
          <w:rFonts w:cs="Simplified Arabic" w:hint="cs"/>
          <w:rtl/>
        </w:rPr>
        <w:t>(15.8%</w:t>
      </w:r>
      <w:proofErr w:type="spellEnd"/>
      <w:r w:rsidRPr="00876B33">
        <w:rPr>
          <w:rFonts w:cs="Simplified Arabic" w:hint="cs"/>
          <w:rtl/>
        </w:rPr>
        <w:t xml:space="preserve"> من الذكور </w:t>
      </w:r>
      <w:proofErr w:type="spellStart"/>
      <w:r w:rsidRPr="00876B33">
        <w:rPr>
          <w:rFonts w:cs="Simplified Arabic" w:hint="cs"/>
          <w:rtl/>
        </w:rPr>
        <w:t>و10.7%</w:t>
      </w:r>
      <w:proofErr w:type="spellEnd"/>
      <w:r w:rsidRPr="00876B33">
        <w:rPr>
          <w:rFonts w:cs="Simplified Arabic" w:hint="cs"/>
          <w:rtl/>
        </w:rPr>
        <w:t xml:space="preserve"> من بين الاناث العاملات</w:t>
      </w:r>
      <w:proofErr w:type="spellStart"/>
      <w:r w:rsidRPr="00876B33">
        <w:rPr>
          <w:rFonts w:cs="Simplified Arabic" w:hint="cs"/>
          <w:rtl/>
        </w:rPr>
        <w:t>)،</w:t>
      </w:r>
      <w:proofErr w:type="spellEnd"/>
      <w:r w:rsidRPr="00876B33">
        <w:rPr>
          <w:rFonts w:cs="Simplified Arabic"/>
          <w:rtl/>
        </w:rPr>
        <w:t xml:space="preserve"> </w:t>
      </w:r>
      <w:r w:rsidR="009F2F9C" w:rsidRPr="00876B33">
        <w:rPr>
          <w:rFonts w:cs="Simplified Arabic" w:hint="cs"/>
          <w:rtl/>
        </w:rPr>
        <w:t>كما</w:t>
      </w:r>
      <w:r w:rsidRPr="00876B33">
        <w:rPr>
          <w:rFonts w:cs="Simplified Arabic"/>
          <w:rtl/>
        </w:rPr>
        <w:t xml:space="preserve"> بلغت نسبة العاملين في قطاع الزراعة </w:t>
      </w:r>
      <w:proofErr w:type="spellStart"/>
      <w:r w:rsidRPr="00876B33">
        <w:rPr>
          <w:rFonts w:cs="Simplified Arabic" w:hint="cs"/>
          <w:rtl/>
        </w:rPr>
        <w:t>7.5</w:t>
      </w:r>
      <w:r w:rsidRPr="00876B33">
        <w:rPr>
          <w:rFonts w:cs="Simplified Arabic"/>
          <w:rtl/>
        </w:rPr>
        <w:t>%</w:t>
      </w:r>
      <w:proofErr w:type="spellEnd"/>
      <w:r w:rsidRPr="00876B33">
        <w:rPr>
          <w:rFonts w:cs="Simplified Arabic" w:hint="cs"/>
          <w:rtl/>
        </w:rPr>
        <w:t xml:space="preserve"> </w:t>
      </w:r>
      <w:proofErr w:type="spellStart"/>
      <w:r w:rsidRPr="00876B33">
        <w:rPr>
          <w:rFonts w:cs="Simplified Arabic"/>
          <w:rtl/>
        </w:rPr>
        <w:t>(</w:t>
      </w:r>
      <w:r w:rsidRPr="00876B33">
        <w:rPr>
          <w:rFonts w:cs="Simplified Arabic" w:hint="cs"/>
          <w:rtl/>
        </w:rPr>
        <w:t>7.9</w:t>
      </w:r>
      <w:r w:rsidRPr="00876B33">
        <w:rPr>
          <w:rFonts w:cs="Simplified Arabic"/>
          <w:rtl/>
        </w:rPr>
        <w:t>%</w:t>
      </w:r>
      <w:proofErr w:type="spellEnd"/>
      <w:r w:rsidRPr="00876B33">
        <w:rPr>
          <w:rFonts w:cs="Simplified Arabic"/>
          <w:rtl/>
        </w:rPr>
        <w:t xml:space="preserve"> للذكور </w:t>
      </w:r>
      <w:proofErr w:type="spellStart"/>
      <w:r w:rsidRPr="00876B33">
        <w:rPr>
          <w:rFonts w:cs="Simplified Arabic" w:hint="cs"/>
          <w:rtl/>
        </w:rPr>
        <w:t>و4.7</w:t>
      </w:r>
      <w:r w:rsidRPr="00876B33">
        <w:rPr>
          <w:rFonts w:cs="Simplified Arabic"/>
          <w:rtl/>
        </w:rPr>
        <w:t>%</w:t>
      </w:r>
      <w:proofErr w:type="spellEnd"/>
      <w:r w:rsidRPr="00876B33">
        <w:rPr>
          <w:rFonts w:cs="Simplified Arabic"/>
          <w:rtl/>
        </w:rPr>
        <w:t xml:space="preserve"> </w:t>
      </w:r>
      <w:proofErr w:type="spellStart"/>
      <w:r w:rsidRPr="00876B33">
        <w:rPr>
          <w:rFonts w:cs="Simplified Arabic"/>
          <w:rtl/>
        </w:rPr>
        <w:t>للاناث)</w:t>
      </w:r>
      <w:r w:rsidR="009F2F9C" w:rsidRPr="00876B33">
        <w:rPr>
          <w:rFonts w:cs="Simplified Arabic" w:hint="cs"/>
          <w:rtl/>
        </w:rPr>
        <w:t>،</w:t>
      </w:r>
      <w:proofErr w:type="spellEnd"/>
      <w:r w:rsidR="001C1918" w:rsidRPr="00876B33">
        <w:rPr>
          <w:rFonts w:cs="Simplified Arabic" w:hint="cs"/>
          <w:rtl/>
        </w:rPr>
        <w:t xml:space="preserve"> </w:t>
      </w:r>
      <w:r w:rsidR="009F2F9C" w:rsidRPr="00876B33">
        <w:rPr>
          <w:rFonts w:cs="Simplified Arabic" w:hint="cs"/>
          <w:rtl/>
        </w:rPr>
        <w:t>في حين</w:t>
      </w:r>
      <w:r w:rsidR="009F2F9C" w:rsidRPr="00876B33">
        <w:rPr>
          <w:rFonts w:cs="Simplified Arabic"/>
          <w:rtl/>
        </w:rPr>
        <w:t xml:space="preserve"> بلغت نسبة العاملين في قطاع </w:t>
      </w:r>
      <w:r w:rsidR="009F2F9C" w:rsidRPr="00876B33">
        <w:rPr>
          <w:rFonts w:cs="Simplified Arabic" w:hint="cs"/>
          <w:rtl/>
        </w:rPr>
        <w:t xml:space="preserve">النقل والتخزين والاتصالات </w:t>
      </w:r>
      <w:proofErr w:type="spellStart"/>
      <w:r w:rsidR="009F2F9C" w:rsidRPr="00876B33">
        <w:rPr>
          <w:rFonts w:cs="Simplified Arabic" w:hint="cs"/>
          <w:rtl/>
        </w:rPr>
        <w:t>6.4</w:t>
      </w:r>
      <w:r w:rsidR="009F2F9C" w:rsidRPr="00876B33">
        <w:rPr>
          <w:rFonts w:cs="Simplified Arabic"/>
          <w:rtl/>
        </w:rPr>
        <w:t>%</w:t>
      </w:r>
      <w:proofErr w:type="spellEnd"/>
      <w:r w:rsidR="009F2F9C" w:rsidRPr="00876B33">
        <w:rPr>
          <w:rFonts w:cs="Simplified Arabic" w:hint="cs"/>
          <w:rtl/>
        </w:rPr>
        <w:t xml:space="preserve"> </w:t>
      </w:r>
      <w:proofErr w:type="spellStart"/>
      <w:r w:rsidR="009F2F9C" w:rsidRPr="00876B33">
        <w:rPr>
          <w:rFonts w:cs="Simplified Arabic"/>
          <w:rtl/>
        </w:rPr>
        <w:t>(</w:t>
      </w:r>
      <w:r w:rsidR="009F2F9C" w:rsidRPr="00876B33">
        <w:rPr>
          <w:rFonts w:cs="Simplified Arabic" w:hint="cs"/>
          <w:rtl/>
        </w:rPr>
        <w:t>6.7</w:t>
      </w:r>
      <w:r w:rsidR="009F2F9C" w:rsidRPr="00876B33">
        <w:rPr>
          <w:rFonts w:cs="Simplified Arabic"/>
          <w:rtl/>
        </w:rPr>
        <w:t>%</w:t>
      </w:r>
      <w:proofErr w:type="spellEnd"/>
      <w:r w:rsidR="009F2F9C" w:rsidRPr="00876B33">
        <w:rPr>
          <w:rFonts w:cs="Simplified Arabic"/>
          <w:rtl/>
        </w:rPr>
        <w:t xml:space="preserve"> للذكور </w:t>
      </w:r>
      <w:proofErr w:type="spellStart"/>
      <w:r w:rsidR="009F2F9C" w:rsidRPr="00876B33">
        <w:rPr>
          <w:rFonts w:cs="Simplified Arabic" w:hint="cs"/>
          <w:rtl/>
        </w:rPr>
        <w:t>و4.8</w:t>
      </w:r>
      <w:r w:rsidR="009F2F9C" w:rsidRPr="00876B33">
        <w:rPr>
          <w:rFonts w:cs="Simplified Arabic"/>
          <w:rtl/>
        </w:rPr>
        <w:t>%</w:t>
      </w:r>
      <w:proofErr w:type="spellEnd"/>
      <w:r w:rsidR="009F2F9C" w:rsidRPr="00876B33">
        <w:rPr>
          <w:rFonts w:cs="Simplified Arabic"/>
          <w:rtl/>
        </w:rPr>
        <w:t xml:space="preserve"> </w:t>
      </w:r>
      <w:proofErr w:type="spellStart"/>
      <w:r w:rsidR="009F2F9C" w:rsidRPr="00876B33">
        <w:rPr>
          <w:rFonts w:cs="Simplified Arabic"/>
          <w:rtl/>
        </w:rPr>
        <w:t>للاناث)</w:t>
      </w:r>
      <w:r w:rsidR="009F2F9C" w:rsidRPr="00876B33">
        <w:rPr>
          <w:rFonts w:cs="Simplified Arabic" w:hint="cs"/>
          <w:rtl/>
        </w:rPr>
        <w:t>.</w:t>
      </w:r>
      <w:proofErr w:type="spellEnd"/>
    </w:p>
    <w:p w:rsidR="00876B33" w:rsidRPr="00876B33" w:rsidRDefault="00876B33" w:rsidP="00B57AA0">
      <w:pPr>
        <w:jc w:val="both"/>
        <w:rPr>
          <w:rFonts w:cs="Simplified Arabic"/>
          <w:sz w:val="16"/>
          <w:szCs w:val="16"/>
          <w:rtl/>
        </w:rPr>
      </w:pPr>
    </w:p>
    <w:p w:rsidR="00DE2067" w:rsidRPr="00876B33" w:rsidRDefault="00DE2067" w:rsidP="00B57AA0">
      <w:pPr>
        <w:jc w:val="both"/>
        <w:rPr>
          <w:rFonts w:ascii="Simplified Arabic" w:hAnsi="Simplified Arabic" w:cs="Simplified Arabic"/>
          <w:b/>
          <w:bCs/>
          <w:sz w:val="26"/>
          <w:szCs w:val="26"/>
          <w:rtl/>
        </w:rPr>
      </w:pPr>
      <w:r w:rsidRPr="00876B33">
        <w:rPr>
          <w:rFonts w:ascii="Simplified Arabic" w:hAnsi="Simplified Arabic" w:cs="Simplified Arabic"/>
          <w:b/>
          <w:bCs/>
          <w:sz w:val="26"/>
          <w:szCs w:val="26"/>
          <w:rtl/>
        </w:rPr>
        <w:t xml:space="preserve">أقل من </w:t>
      </w:r>
      <w:proofErr w:type="spellStart"/>
      <w:r w:rsidRPr="00876B33">
        <w:rPr>
          <w:rFonts w:ascii="Simplified Arabic" w:hAnsi="Simplified Arabic" w:cs="Simplified Arabic"/>
          <w:b/>
          <w:bCs/>
          <w:sz w:val="26"/>
          <w:szCs w:val="26"/>
          <w:rtl/>
        </w:rPr>
        <w:t>1%</w:t>
      </w:r>
      <w:proofErr w:type="spellEnd"/>
      <w:r w:rsidRPr="00876B33">
        <w:rPr>
          <w:rFonts w:ascii="Simplified Arabic" w:hAnsi="Simplified Arabic" w:cs="Simplified Arabic"/>
          <w:b/>
          <w:bCs/>
          <w:sz w:val="26"/>
          <w:szCs w:val="26"/>
          <w:rtl/>
        </w:rPr>
        <w:t xml:space="preserve"> من الشباب الفلسطيني يعمل في مراكز صنع القرار</w:t>
      </w:r>
    </w:p>
    <w:p w:rsidR="003013DA" w:rsidRPr="00876B33" w:rsidRDefault="001C1918" w:rsidP="000B1418">
      <w:pPr>
        <w:jc w:val="both"/>
        <w:rPr>
          <w:rFonts w:cs="Simplified Arabic"/>
          <w:rtl/>
        </w:rPr>
      </w:pPr>
      <w:r w:rsidRPr="00876B33">
        <w:rPr>
          <w:rFonts w:cs="Simplified Arabic" w:hint="cs"/>
          <w:rtl/>
        </w:rPr>
        <w:t xml:space="preserve">أظهرت </w:t>
      </w:r>
      <w:r w:rsidR="000B1418" w:rsidRPr="00876B33">
        <w:rPr>
          <w:rFonts w:cs="Simplified Arabic" w:hint="cs"/>
          <w:rtl/>
        </w:rPr>
        <w:t>بيانات العام 2017</w:t>
      </w:r>
      <w:r w:rsidRPr="00876B33">
        <w:rPr>
          <w:rFonts w:cs="Simplified Arabic" w:hint="cs"/>
          <w:rtl/>
        </w:rPr>
        <w:t xml:space="preserve"> أن </w:t>
      </w:r>
      <w:proofErr w:type="spellStart"/>
      <w:r w:rsidRPr="00876B33">
        <w:rPr>
          <w:rFonts w:cs="Simplified Arabic" w:hint="cs"/>
          <w:rtl/>
        </w:rPr>
        <w:t>0.7%</w:t>
      </w:r>
      <w:proofErr w:type="spellEnd"/>
      <w:r w:rsidRPr="00876B33">
        <w:rPr>
          <w:rFonts w:cs="Simplified Arabic" w:hint="cs"/>
          <w:rtl/>
        </w:rPr>
        <w:t xml:space="preserve"> من الشباب يعملون في مهنة </w:t>
      </w:r>
      <w:proofErr w:type="spellStart"/>
      <w:r w:rsidRPr="00876B33">
        <w:rPr>
          <w:rFonts w:cs="Simplified Arabic" w:hint="cs"/>
          <w:rtl/>
        </w:rPr>
        <w:t>مشرعوا</w:t>
      </w:r>
      <w:proofErr w:type="spellEnd"/>
      <w:r w:rsidRPr="00876B33">
        <w:rPr>
          <w:rFonts w:cs="Simplified Arabic" w:hint="cs"/>
          <w:rtl/>
        </w:rPr>
        <w:t xml:space="preserve"> وموظفو ادارة عليا ب</w:t>
      </w:r>
      <w:r w:rsidR="0039107A" w:rsidRPr="00876B33">
        <w:rPr>
          <w:rFonts w:cs="Simplified Arabic" w:hint="cs"/>
          <w:rtl/>
        </w:rPr>
        <w:t xml:space="preserve">واقع </w:t>
      </w:r>
      <w:proofErr w:type="spellStart"/>
      <w:r w:rsidR="0039107A" w:rsidRPr="00876B33">
        <w:rPr>
          <w:rFonts w:cs="Simplified Arabic" w:hint="cs"/>
          <w:rtl/>
        </w:rPr>
        <w:t>0.8%</w:t>
      </w:r>
      <w:proofErr w:type="spellEnd"/>
      <w:r w:rsidR="0039107A" w:rsidRPr="00876B33">
        <w:rPr>
          <w:rFonts w:cs="Simplified Arabic" w:hint="cs"/>
          <w:rtl/>
        </w:rPr>
        <w:t xml:space="preserve"> في الضفة الغربية </w:t>
      </w:r>
      <w:proofErr w:type="spellStart"/>
      <w:r w:rsidR="0039107A" w:rsidRPr="00876B33">
        <w:rPr>
          <w:rFonts w:cs="Simplified Arabic" w:hint="cs"/>
          <w:rtl/>
        </w:rPr>
        <w:t>و</w:t>
      </w:r>
      <w:r w:rsidRPr="00876B33">
        <w:rPr>
          <w:rFonts w:cs="Simplified Arabic" w:hint="cs"/>
          <w:rtl/>
        </w:rPr>
        <w:t>0.7%</w:t>
      </w:r>
      <w:proofErr w:type="spellEnd"/>
      <w:r w:rsidRPr="00876B33">
        <w:rPr>
          <w:rFonts w:cs="Simplified Arabic" w:hint="cs"/>
          <w:rtl/>
        </w:rPr>
        <w:t xml:space="preserve"> في قطاع غزة</w:t>
      </w:r>
      <w:r w:rsidR="00763D71" w:rsidRPr="00876B33">
        <w:rPr>
          <w:rFonts w:cs="Simplified Arabic" w:hint="cs"/>
          <w:rtl/>
        </w:rPr>
        <w:t>.</w:t>
      </w:r>
      <w:r w:rsidRPr="00876B33">
        <w:rPr>
          <w:rFonts w:cs="Simplified Arabic" w:hint="cs"/>
          <w:rtl/>
        </w:rPr>
        <w:t xml:space="preserve"> </w:t>
      </w:r>
    </w:p>
    <w:p w:rsidR="00876B33" w:rsidRDefault="00876B33" w:rsidP="00B57AA0">
      <w:pPr>
        <w:jc w:val="both"/>
        <w:rPr>
          <w:rFonts w:cs="Simplified Arabic"/>
          <w:sz w:val="10"/>
          <w:szCs w:val="10"/>
          <w:rtl/>
        </w:rPr>
      </w:pPr>
    </w:p>
    <w:p w:rsidR="004F57F4" w:rsidRDefault="004F57F4" w:rsidP="00B57AA0">
      <w:pPr>
        <w:jc w:val="both"/>
        <w:rPr>
          <w:rFonts w:cs="Simplified Arabic"/>
          <w:sz w:val="10"/>
          <w:szCs w:val="10"/>
          <w:rtl/>
        </w:rPr>
      </w:pPr>
    </w:p>
    <w:p w:rsidR="004F57F4" w:rsidRDefault="004F57F4" w:rsidP="00B57AA0">
      <w:pPr>
        <w:jc w:val="both"/>
        <w:rPr>
          <w:rFonts w:cs="Simplified Arabic"/>
          <w:sz w:val="10"/>
          <w:szCs w:val="10"/>
          <w:rtl/>
        </w:rPr>
      </w:pPr>
    </w:p>
    <w:p w:rsidR="004F57F4" w:rsidRDefault="004F57F4" w:rsidP="00B57AA0">
      <w:pPr>
        <w:jc w:val="both"/>
        <w:rPr>
          <w:rFonts w:cs="Simplified Arabic"/>
          <w:sz w:val="10"/>
          <w:szCs w:val="10"/>
          <w:rtl/>
        </w:rPr>
      </w:pPr>
    </w:p>
    <w:p w:rsidR="004F57F4" w:rsidRDefault="004F57F4" w:rsidP="00B57AA0">
      <w:pPr>
        <w:jc w:val="both"/>
        <w:rPr>
          <w:rFonts w:cs="Simplified Arabic"/>
          <w:sz w:val="10"/>
          <w:szCs w:val="10"/>
          <w:rtl/>
        </w:rPr>
      </w:pPr>
    </w:p>
    <w:p w:rsidR="004F57F4" w:rsidRPr="004F57F4" w:rsidRDefault="004F57F4" w:rsidP="00B57AA0">
      <w:pPr>
        <w:jc w:val="both"/>
        <w:rPr>
          <w:rFonts w:cs="Simplified Arabic"/>
          <w:rtl/>
        </w:rPr>
      </w:pPr>
    </w:p>
    <w:bookmarkEnd w:id="0"/>
    <w:bookmarkEnd w:id="1"/>
    <w:p w:rsidR="002441C5" w:rsidRPr="00876B33" w:rsidRDefault="002441C5" w:rsidP="009B1B69">
      <w:pPr>
        <w:jc w:val="both"/>
        <w:rPr>
          <w:rFonts w:ascii="Simplified Arabic" w:hAnsi="Simplified Arabic" w:cs="Simplified Arabic"/>
          <w:b/>
          <w:bCs/>
          <w:sz w:val="26"/>
          <w:szCs w:val="26"/>
        </w:rPr>
      </w:pPr>
      <w:r w:rsidRPr="00876B33">
        <w:rPr>
          <w:rFonts w:ascii="Simplified Arabic" w:hAnsi="Simplified Arabic" w:cs="Simplified Arabic"/>
          <w:b/>
          <w:bCs/>
          <w:sz w:val="26"/>
          <w:szCs w:val="26"/>
          <w:rtl/>
        </w:rPr>
        <w:t xml:space="preserve">3 من بين كل 100 شاب لديهم </w:t>
      </w:r>
      <w:proofErr w:type="spellStart"/>
      <w:r w:rsidR="009B1B69" w:rsidRPr="00876B33">
        <w:rPr>
          <w:rFonts w:ascii="Simplified Arabic" w:hAnsi="Simplified Arabic" w:cs="Simplified Arabic"/>
          <w:b/>
          <w:bCs/>
          <w:sz w:val="26"/>
          <w:szCs w:val="26"/>
          <w:rtl/>
        </w:rPr>
        <w:t>إعاقة</w:t>
      </w:r>
      <w:r w:rsidRPr="00876B33">
        <w:rPr>
          <w:rFonts w:ascii="Simplified Arabic" w:hAnsi="Simplified Arabic" w:cs="Simplified Arabic"/>
          <w:b/>
          <w:bCs/>
          <w:sz w:val="26"/>
          <w:szCs w:val="26"/>
          <w:rtl/>
        </w:rPr>
        <w:t>/</w:t>
      </w:r>
      <w:r w:rsidR="009B1B69" w:rsidRPr="00876B33">
        <w:rPr>
          <w:rFonts w:ascii="Simplified Arabic" w:hAnsi="Simplified Arabic" w:cs="Simplified Arabic"/>
          <w:b/>
          <w:bCs/>
          <w:sz w:val="26"/>
          <w:szCs w:val="26"/>
          <w:rtl/>
        </w:rPr>
        <w:t>صعوبة</w:t>
      </w:r>
      <w:r w:rsidR="00DE2067" w:rsidRPr="00876B33">
        <w:rPr>
          <w:rFonts w:ascii="Simplified Arabic" w:hAnsi="Simplified Arabic" w:cs="Simplified Arabic"/>
          <w:b/>
          <w:bCs/>
          <w:sz w:val="26"/>
          <w:szCs w:val="26"/>
          <w:rtl/>
        </w:rPr>
        <w:t>،</w:t>
      </w:r>
      <w:proofErr w:type="spellEnd"/>
      <w:r w:rsidR="00DE2067" w:rsidRPr="00876B33">
        <w:rPr>
          <w:rFonts w:ascii="Simplified Arabic" w:hAnsi="Simplified Arabic" w:cs="Simplified Arabic"/>
          <w:b/>
          <w:bCs/>
          <w:sz w:val="26"/>
          <w:szCs w:val="26"/>
          <w:rtl/>
        </w:rPr>
        <w:t xml:space="preserve"> وما يقارب من ثلث الشباب الذين يعانون من </w:t>
      </w:r>
      <w:r w:rsidR="009B1B69" w:rsidRPr="00876B33">
        <w:rPr>
          <w:rFonts w:ascii="Simplified Arabic" w:hAnsi="Simplified Arabic" w:cs="Simplified Arabic"/>
          <w:b/>
          <w:bCs/>
          <w:sz w:val="26"/>
          <w:szCs w:val="26"/>
          <w:rtl/>
        </w:rPr>
        <w:t>إعاقة/صعوبة</w:t>
      </w:r>
      <w:r w:rsidR="00DE2067" w:rsidRPr="00876B33">
        <w:rPr>
          <w:rFonts w:ascii="Simplified Arabic" w:hAnsi="Simplified Arabic" w:cs="Simplified Arabic"/>
          <w:b/>
          <w:bCs/>
          <w:sz w:val="26"/>
          <w:szCs w:val="26"/>
          <w:rtl/>
        </w:rPr>
        <w:t xml:space="preserve"> غير ملتحقين بالتعليم</w:t>
      </w:r>
      <w:r w:rsidR="00B949A4" w:rsidRPr="00876B33">
        <w:rPr>
          <w:rFonts w:ascii="Simplified Arabic" w:hAnsi="Simplified Arabic" w:cs="Simplified Arabic"/>
          <w:b/>
          <w:bCs/>
          <w:sz w:val="26"/>
          <w:szCs w:val="26"/>
          <w:rtl/>
        </w:rPr>
        <w:t xml:space="preserve"> </w:t>
      </w:r>
      <w:r w:rsidR="0067743C" w:rsidRPr="00876B33">
        <w:rPr>
          <w:rFonts w:ascii="Simplified Arabic" w:hAnsi="Simplified Arabic" w:cs="Simplified Arabic"/>
          <w:b/>
          <w:bCs/>
          <w:sz w:val="26"/>
          <w:szCs w:val="26"/>
          <w:rtl/>
        </w:rPr>
        <w:t xml:space="preserve"> </w:t>
      </w:r>
    </w:p>
    <w:p w:rsidR="003C1E3A" w:rsidRPr="00876B33" w:rsidRDefault="003C1E3A" w:rsidP="0020267A">
      <w:pPr>
        <w:jc w:val="both"/>
        <w:rPr>
          <w:rFonts w:cs="Simplified Arabic"/>
          <w:rtl/>
        </w:rPr>
      </w:pPr>
      <w:r w:rsidRPr="00876B33">
        <w:rPr>
          <w:rFonts w:cs="Simplified Arabic" w:hint="cs"/>
          <w:rtl/>
        </w:rPr>
        <w:t>تشير بيانات التعداد العام للسكان والمساكن والمنشآت 2017 إلى ان 40,542 من الافراد (15-29 سنة</w:t>
      </w:r>
      <w:proofErr w:type="spellStart"/>
      <w:r w:rsidRPr="00876B33">
        <w:rPr>
          <w:rFonts w:cs="Simplified Arabic" w:hint="cs"/>
          <w:rtl/>
        </w:rPr>
        <w:t>)</w:t>
      </w:r>
      <w:proofErr w:type="spellEnd"/>
      <w:r w:rsidRPr="00876B33">
        <w:rPr>
          <w:rFonts w:cs="Simplified Arabic" w:hint="cs"/>
          <w:rtl/>
        </w:rPr>
        <w:t xml:space="preserve"> في فلسطين لديهم </w:t>
      </w:r>
      <w:r w:rsidR="00643878" w:rsidRPr="00876B33">
        <w:rPr>
          <w:rFonts w:cs="Simplified Arabic" w:hint="cs"/>
          <w:rtl/>
        </w:rPr>
        <w:t xml:space="preserve">إعاقة </w:t>
      </w:r>
      <w:r w:rsidRPr="00876B33">
        <w:rPr>
          <w:rFonts w:cs="Simplified Arabic" w:hint="cs"/>
          <w:rtl/>
        </w:rPr>
        <w:t>/</w:t>
      </w:r>
      <w:r w:rsidR="00643878" w:rsidRPr="00876B33">
        <w:rPr>
          <w:rFonts w:cs="Simplified Arabic" w:hint="cs"/>
          <w:rtl/>
        </w:rPr>
        <w:t>صعوبة</w:t>
      </w:r>
      <w:r w:rsidRPr="00876B33">
        <w:rPr>
          <w:rFonts w:cs="Simplified Arabic" w:hint="cs"/>
          <w:rtl/>
        </w:rPr>
        <w:t xml:space="preserve"> أي ما نسبته </w:t>
      </w:r>
      <w:proofErr w:type="spellStart"/>
      <w:r w:rsidRPr="00876B33">
        <w:rPr>
          <w:rFonts w:cs="Simplified Arabic" w:hint="cs"/>
          <w:rtl/>
        </w:rPr>
        <w:t>3.1%،</w:t>
      </w:r>
      <w:proofErr w:type="spellEnd"/>
      <w:r w:rsidRPr="00876B33">
        <w:rPr>
          <w:rFonts w:cs="Simplified Arabic" w:hint="cs"/>
          <w:rtl/>
        </w:rPr>
        <w:t xml:space="preserve"> بواقع 18,300 فرد</w:t>
      </w:r>
      <w:r w:rsidR="00E031D6" w:rsidRPr="00876B33">
        <w:rPr>
          <w:rFonts w:cs="Simplified Arabic" w:hint="cs"/>
          <w:rtl/>
        </w:rPr>
        <w:t>اً</w:t>
      </w:r>
      <w:r w:rsidR="00604901" w:rsidRPr="00876B33">
        <w:rPr>
          <w:rFonts w:cs="Simplified Arabic" w:hint="cs"/>
          <w:rtl/>
        </w:rPr>
        <w:t xml:space="preserve"> </w:t>
      </w:r>
      <w:r w:rsidRPr="00876B33">
        <w:rPr>
          <w:rFonts w:cs="Simplified Arabic" w:hint="cs"/>
          <w:rtl/>
        </w:rPr>
        <w:t>في الضفة الغربية</w:t>
      </w:r>
      <w:r w:rsidR="00604901" w:rsidRPr="00876B33">
        <w:rPr>
          <w:rFonts w:cs="Simplified Arabic" w:hint="cs"/>
          <w:rtl/>
        </w:rPr>
        <w:t xml:space="preserve"> </w:t>
      </w:r>
      <w:proofErr w:type="spellStart"/>
      <w:r w:rsidR="00604901" w:rsidRPr="00876B33">
        <w:rPr>
          <w:rFonts w:cs="Simplified Arabic" w:hint="cs"/>
          <w:rtl/>
        </w:rPr>
        <w:t>(2.5%)</w:t>
      </w:r>
      <w:proofErr w:type="spellEnd"/>
      <w:r w:rsidRPr="00876B33">
        <w:rPr>
          <w:rFonts w:cs="Simplified Arabic" w:hint="cs"/>
          <w:rtl/>
        </w:rPr>
        <w:t xml:space="preserve"> </w:t>
      </w:r>
      <w:proofErr w:type="spellStart"/>
      <w:r w:rsidRPr="00876B33">
        <w:rPr>
          <w:rFonts w:cs="Simplified Arabic" w:hint="cs"/>
          <w:rtl/>
        </w:rPr>
        <w:t>و22</w:t>
      </w:r>
      <w:proofErr w:type="spellEnd"/>
      <w:r w:rsidRPr="00876B33">
        <w:rPr>
          <w:rFonts w:cs="Simplified Arabic" w:hint="cs"/>
          <w:rtl/>
        </w:rPr>
        <w:t xml:space="preserve">,242 فرد في قطاع غزة </w:t>
      </w:r>
      <w:proofErr w:type="spellStart"/>
      <w:r w:rsidR="00604901" w:rsidRPr="00876B33">
        <w:rPr>
          <w:rFonts w:cs="Simplified Arabic" w:hint="cs"/>
          <w:rtl/>
        </w:rPr>
        <w:t>(</w:t>
      </w:r>
      <w:r w:rsidRPr="00876B33">
        <w:rPr>
          <w:rFonts w:cs="Simplified Arabic" w:hint="cs"/>
          <w:rtl/>
        </w:rPr>
        <w:t>4.0%</w:t>
      </w:r>
      <w:r w:rsidR="00604901" w:rsidRPr="00876B33">
        <w:rPr>
          <w:rFonts w:cs="Simplified Arabic" w:hint="cs"/>
          <w:rtl/>
        </w:rPr>
        <w:t>)</w:t>
      </w:r>
      <w:r w:rsidRPr="00876B33">
        <w:rPr>
          <w:rFonts w:cs="Simplified Arabic" w:hint="cs"/>
          <w:rtl/>
        </w:rPr>
        <w:t>.</w:t>
      </w:r>
      <w:proofErr w:type="spellEnd"/>
      <w:r w:rsidRPr="00876B33">
        <w:rPr>
          <w:rFonts w:cs="Simplified Arabic" w:hint="cs"/>
          <w:rtl/>
        </w:rPr>
        <w:t xml:space="preserve"> تجدر الاشارة الى ان نسبة </w:t>
      </w:r>
      <w:r w:rsidR="00541370" w:rsidRPr="00876B33">
        <w:rPr>
          <w:rFonts w:cs="Simplified Arabic" w:hint="cs"/>
          <w:rtl/>
        </w:rPr>
        <w:t xml:space="preserve">ذوي </w:t>
      </w:r>
      <w:proofErr w:type="spellStart"/>
      <w:r w:rsidR="00541370" w:rsidRPr="00876B33">
        <w:rPr>
          <w:rFonts w:cs="Simplified Arabic" w:hint="cs"/>
          <w:rtl/>
        </w:rPr>
        <w:t>الإعاقة/</w:t>
      </w:r>
      <w:proofErr w:type="spellEnd"/>
      <w:r w:rsidR="00541370" w:rsidRPr="00876B33">
        <w:rPr>
          <w:rFonts w:cs="Simplified Arabic" w:hint="cs"/>
          <w:rtl/>
        </w:rPr>
        <w:t xml:space="preserve"> الصعوبة</w:t>
      </w:r>
      <w:r w:rsidRPr="00876B33">
        <w:rPr>
          <w:rFonts w:cs="Simplified Arabic" w:hint="cs"/>
          <w:rtl/>
        </w:rPr>
        <w:t xml:space="preserve"> قد ارتفعت عما كانت عليه في عام 2007 حيث بلغت </w:t>
      </w:r>
      <w:proofErr w:type="spellStart"/>
      <w:r w:rsidRPr="00876B33">
        <w:rPr>
          <w:rFonts w:cs="Simplified Arabic" w:hint="cs"/>
          <w:rtl/>
        </w:rPr>
        <w:t>2.8%</w:t>
      </w:r>
      <w:proofErr w:type="spellEnd"/>
      <w:r w:rsidRPr="00876B33">
        <w:rPr>
          <w:rFonts w:cs="Simplified Arabic" w:hint="cs"/>
          <w:rtl/>
        </w:rPr>
        <w:t xml:space="preserve"> </w:t>
      </w:r>
      <w:proofErr w:type="spellStart"/>
      <w:r w:rsidRPr="00876B33">
        <w:rPr>
          <w:rFonts w:cs="Simplified Arabic" w:hint="cs"/>
          <w:rtl/>
        </w:rPr>
        <w:t>(</w:t>
      </w:r>
      <w:proofErr w:type="spellEnd"/>
      <w:r w:rsidRPr="00876B33">
        <w:rPr>
          <w:rFonts w:cs="Simplified Arabic"/>
        </w:rPr>
        <w:t>3.0</w:t>
      </w:r>
      <w:proofErr w:type="spellStart"/>
      <w:r w:rsidRPr="00876B33">
        <w:rPr>
          <w:rFonts w:cs="Simplified Arabic" w:hint="cs"/>
          <w:rtl/>
        </w:rPr>
        <w:t>%</w:t>
      </w:r>
      <w:proofErr w:type="spellEnd"/>
      <w:r w:rsidRPr="00876B33">
        <w:rPr>
          <w:rFonts w:cs="Simplified Arabic" w:hint="cs"/>
          <w:rtl/>
        </w:rPr>
        <w:t xml:space="preserve"> في الضفة الغربية </w:t>
      </w:r>
      <w:proofErr w:type="spellStart"/>
      <w:r w:rsidRPr="00876B33">
        <w:rPr>
          <w:rFonts w:cs="Simplified Arabic" w:hint="cs"/>
          <w:rtl/>
        </w:rPr>
        <w:t>و2.5%</w:t>
      </w:r>
      <w:proofErr w:type="spellEnd"/>
      <w:r w:rsidRPr="00876B33">
        <w:rPr>
          <w:rFonts w:cs="Simplified Arabic" w:hint="cs"/>
          <w:rtl/>
        </w:rPr>
        <w:t xml:space="preserve"> في قطاع غزة</w:t>
      </w:r>
      <w:proofErr w:type="spellStart"/>
      <w:r w:rsidRPr="00876B33">
        <w:rPr>
          <w:rFonts w:cs="Simplified Arabic" w:hint="cs"/>
          <w:rtl/>
        </w:rPr>
        <w:t>).</w:t>
      </w:r>
      <w:proofErr w:type="spellEnd"/>
      <w:r w:rsidRPr="00876B33">
        <w:rPr>
          <w:rFonts w:cs="Simplified Arabic" w:hint="cs"/>
          <w:rtl/>
        </w:rPr>
        <w:t xml:space="preserve">  كما بلغت نسبة </w:t>
      </w:r>
      <w:r w:rsidR="00643878" w:rsidRPr="00876B33">
        <w:rPr>
          <w:rFonts w:cs="Simplified Arabic" w:hint="cs"/>
          <w:rtl/>
        </w:rPr>
        <w:t xml:space="preserve">الاعاقة </w:t>
      </w:r>
      <w:r w:rsidRPr="00876B33">
        <w:rPr>
          <w:rFonts w:cs="Simplified Arabic" w:hint="cs"/>
          <w:rtl/>
        </w:rPr>
        <w:t>/</w:t>
      </w:r>
      <w:r w:rsidR="00643878" w:rsidRPr="00876B33">
        <w:rPr>
          <w:rFonts w:cs="Simplified Arabic" w:hint="cs"/>
          <w:rtl/>
        </w:rPr>
        <w:t>الصعوبة</w:t>
      </w:r>
      <w:r w:rsidRPr="00876B33">
        <w:rPr>
          <w:rFonts w:cs="Simplified Arabic" w:hint="cs"/>
          <w:rtl/>
        </w:rPr>
        <w:t xml:space="preserve"> لدى الذكور الشباب </w:t>
      </w:r>
      <w:proofErr w:type="spellStart"/>
      <w:r w:rsidRPr="00876B33">
        <w:rPr>
          <w:rFonts w:cs="Simplified Arabic" w:hint="cs"/>
          <w:rtl/>
        </w:rPr>
        <w:t>4.2%</w:t>
      </w:r>
      <w:proofErr w:type="spellEnd"/>
      <w:r w:rsidRPr="00876B33">
        <w:rPr>
          <w:rFonts w:cs="Simplified Arabic" w:hint="cs"/>
          <w:rtl/>
        </w:rPr>
        <w:t xml:space="preserve"> مقابل </w:t>
      </w:r>
      <w:proofErr w:type="spellStart"/>
      <w:r w:rsidRPr="00876B33">
        <w:rPr>
          <w:rFonts w:cs="Simplified Arabic" w:hint="cs"/>
          <w:rtl/>
        </w:rPr>
        <w:t>2.1%</w:t>
      </w:r>
      <w:proofErr w:type="spellEnd"/>
      <w:r w:rsidRPr="00876B33">
        <w:rPr>
          <w:rFonts w:cs="Simplified Arabic" w:hint="cs"/>
          <w:rtl/>
        </w:rPr>
        <w:t xml:space="preserve"> لدى الاناث الشابات. وبالمقارنة مع بيانات 2007 فان نسبة الاعاقة</w:t>
      </w:r>
      <w:r w:rsidR="00643878" w:rsidRPr="00876B33">
        <w:rPr>
          <w:rFonts w:cs="Simplified Arabic" w:hint="cs"/>
          <w:rtl/>
        </w:rPr>
        <w:t>/الصعوبة</w:t>
      </w:r>
      <w:r w:rsidRPr="00876B33">
        <w:rPr>
          <w:rFonts w:cs="Simplified Arabic" w:hint="cs"/>
          <w:rtl/>
        </w:rPr>
        <w:t xml:space="preserve"> بين الشباب الذكور كانت </w:t>
      </w:r>
      <w:r w:rsidRPr="00876B33">
        <w:rPr>
          <w:rFonts w:cs="Simplified Arabic"/>
        </w:rPr>
        <w:t>3.4</w:t>
      </w:r>
      <w:proofErr w:type="spellStart"/>
      <w:r w:rsidRPr="00876B33">
        <w:rPr>
          <w:rFonts w:cs="Simplified Arabic" w:hint="cs"/>
          <w:rtl/>
        </w:rPr>
        <w:t>%،</w:t>
      </w:r>
      <w:proofErr w:type="spellEnd"/>
      <w:r w:rsidRPr="00876B33">
        <w:rPr>
          <w:rFonts w:cs="Simplified Arabic" w:hint="cs"/>
          <w:rtl/>
        </w:rPr>
        <w:t xml:space="preserve"> في حين قد بلغت نسبة الاعاقة</w:t>
      </w:r>
      <w:r w:rsidR="00643878" w:rsidRPr="00876B33">
        <w:rPr>
          <w:rFonts w:cs="Simplified Arabic" w:hint="cs"/>
          <w:rtl/>
        </w:rPr>
        <w:t>/الصعوبة</w:t>
      </w:r>
      <w:r w:rsidRPr="00876B33">
        <w:rPr>
          <w:rFonts w:cs="Simplified Arabic" w:hint="cs"/>
          <w:rtl/>
        </w:rPr>
        <w:t xml:space="preserve"> بين الشابات </w:t>
      </w:r>
      <w:proofErr w:type="spellStart"/>
      <w:r w:rsidRPr="00876B33">
        <w:rPr>
          <w:rFonts w:cs="Simplified Arabic" w:hint="cs"/>
          <w:rtl/>
        </w:rPr>
        <w:t>2.2%.</w:t>
      </w:r>
      <w:proofErr w:type="spellEnd"/>
      <w:r w:rsidR="0020267A" w:rsidRPr="00876B33">
        <w:rPr>
          <w:rFonts w:cs="Simplified Arabic" w:hint="cs"/>
          <w:rtl/>
        </w:rPr>
        <w:t xml:space="preserve"> </w:t>
      </w:r>
      <w:r w:rsidRPr="00876B33">
        <w:rPr>
          <w:rFonts w:cs="Simplified Arabic" w:hint="cs"/>
          <w:rtl/>
        </w:rPr>
        <w:t>اما ما يخص الالتحاق بالت</w:t>
      </w:r>
      <w:r w:rsidR="00B958C4" w:rsidRPr="00876B33">
        <w:rPr>
          <w:rFonts w:cs="Simplified Arabic" w:hint="cs"/>
          <w:rtl/>
        </w:rPr>
        <w:t xml:space="preserve">عليم بين الشباب من ذوي </w:t>
      </w:r>
      <w:r w:rsidR="00643878" w:rsidRPr="00876B33">
        <w:rPr>
          <w:rFonts w:cs="Simplified Arabic" w:hint="cs"/>
          <w:rtl/>
        </w:rPr>
        <w:t>الاعاقة</w:t>
      </w:r>
      <w:r w:rsidR="00B958C4" w:rsidRPr="00876B33">
        <w:rPr>
          <w:rFonts w:cs="Simplified Arabic" w:hint="cs"/>
          <w:rtl/>
        </w:rPr>
        <w:t>/</w:t>
      </w:r>
      <w:r w:rsidR="00643878" w:rsidRPr="00876B33">
        <w:rPr>
          <w:rFonts w:cs="Simplified Arabic" w:hint="cs"/>
          <w:rtl/>
        </w:rPr>
        <w:t xml:space="preserve">الصعوبة </w:t>
      </w:r>
      <w:proofErr w:type="spellStart"/>
      <w:r w:rsidRPr="00876B33">
        <w:rPr>
          <w:rFonts w:cs="Simplified Arabic" w:hint="cs"/>
          <w:rtl/>
        </w:rPr>
        <w:t>،</w:t>
      </w:r>
      <w:proofErr w:type="spellEnd"/>
      <w:r w:rsidRPr="00876B33">
        <w:rPr>
          <w:rFonts w:cs="Simplified Arabic" w:hint="cs"/>
          <w:rtl/>
        </w:rPr>
        <w:t xml:space="preserve"> ففي العام 2017 اشارت </w:t>
      </w:r>
      <w:proofErr w:type="spellStart"/>
      <w:r w:rsidRPr="00876B33">
        <w:rPr>
          <w:rFonts w:cs="Simplified Arabic" w:hint="cs"/>
          <w:rtl/>
        </w:rPr>
        <w:t>النتائح</w:t>
      </w:r>
      <w:proofErr w:type="spellEnd"/>
      <w:r w:rsidRPr="00876B33">
        <w:rPr>
          <w:rFonts w:cs="Simplified Arabic" w:hint="cs"/>
          <w:rtl/>
        </w:rPr>
        <w:t xml:space="preserve"> الى نسب الذين لم يلتحقوا بالتعليم ابدا بلغت </w:t>
      </w:r>
      <w:proofErr w:type="spellStart"/>
      <w:r w:rsidRPr="00876B33">
        <w:rPr>
          <w:rFonts w:cs="Simplified Arabic" w:hint="cs"/>
          <w:rtl/>
        </w:rPr>
        <w:t>29.4%</w:t>
      </w:r>
      <w:proofErr w:type="spellEnd"/>
      <w:r w:rsidRPr="00876B33">
        <w:rPr>
          <w:rFonts w:cs="Simplified Arabic"/>
        </w:rPr>
        <w:t xml:space="preserve"> </w:t>
      </w:r>
      <w:r w:rsidRPr="00876B33">
        <w:rPr>
          <w:rFonts w:cs="Simplified Arabic" w:hint="cs"/>
          <w:rtl/>
        </w:rPr>
        <w:t>(32.1</w:t>
      </w:r>
      <w:r w:rsidRPr="00876B33">
        <w:rPr>
          <w:rFonts w:cs="Simplified Arabic"/>
        </w:rPr>
        <w:t>%</w:t>
      </w:r>
      <w:r w:rsidRPr="00876B33">
        <w:rPr>
          <w:rFonts w:cs="Simplified Arabic" w:hint="cs"/>
          <w:rtl/>
        </w:rPr>
        <w:t xml:space="preserve"> في الضفة الغربية مقارنة </w:t>
      </w:r>
      <w:proofErr w:type="spellStart"/>
      <w:r w:rsidRPr="00876B33">
        <w:rPr>
          <w:rFonts w:cs="Simplified Arabic" w:hint="cs"/>
          <w:rtl/>
        </w:rPr>
        <w:t>بـ</w:t>
      </w:r>
      <w:proofErr w:type="spellEnd"/>
      <w:r w:rsidRPr="00876B33">
        <w:rPr>
          <w:rFonts w:cs="Simplified Arabic" w:hint="cs"/>
          <w:rtl/>
        </w:rPr>
        <w:t xml:space="preserve"> </w:t>
      </w:r>
      <w:proofErr w:type="spellStart"/>
      <w:r w:rsidRPr="00876B33">
        <w:rPr>
          <w:rFonts w:cs="Simplified Arabic" w:hint="cs"/>
          <w:rtl/>
        </w:rPr>
        <w:t>27.2</w:t>
      </w:r>
      <w:r w:rsidR="00B949A4" w:rsidRPr="00876B33">
        <w:rPr>
          <w:rFonts w:cs="Simplified Arabic" w:hint="cs"/>
          <w:rtl/>
        </w:rPr>
        <w:t>%</w:t>
      </w:r>
      <w:proofErr w:type="spellEnd"/>
      <w:r w:rsidR="00B949A4" w:rsidRPr="00876B33">
        <w:rPr>
          <w:rFonts w:cs="Simplified Arabic" w:hint="cs"/>
          <w:rtl/>
        </w:rPr>
        <w:t xml:space="preserve"> في قطاع غزة</w:t>
      </w:r>
      <w:proofErr w:type="spellStart"/>
      <w:r w:rsidR="00B949A4" w:rsidRPr="00876B33">
        <w:rPr>
          <w:rFonts w:cs="Simplified Arabic" w:hint="cs"/>
          <w:rtl/>
        </w:rPr>
        <w:t>).</w:t>
      </w:r>
      <w:proofErr w:type="spellEnd"/>
      <w:r w:rsidR="0020267A" w:rsidRPr="00876B33">
        <w:rPr>
          <w:rFonts w:cs="Simplified Arabic" w:hint="cs"/>
          <w:rtl/>
        </w:rPr>
        <w:t xml:space="preserve"> </w:t>
      </w:r>
      <w:r w:rsidRPr="00876B33">
        <w:rPr>
          <w:rFonts w:cs="Simplified Arabic" w:hint="cs"/>
          <w:rtl/>
        </w:rPr>
        <w:t>تعتبر الاعاقة</w:t>
      </w:r>
      <w:r w:rsidR="00643878" w:rsidRPr="00876B33">
        <w:rPr>
          <w:rFonts w:cs="Simplified Arabic" w:hint="cs"/>
          <w:rtl/>
        </w:rPr>
        <w:t>/الصعوبة</w:t>
      </w:r>
      <w:r w:rsidRPr="00876B33">
        <w:rPr>
          <w:rFonts w:cs="Simplified Arabic" w:hint="cs"/>
          <w:rtl/>
        </w:rPr>
        <w:t xml:space="preserve"> الحركية هي الاكثر انتشارا بين الشباب حيث يعاني </w:t>
      </w:r>
      <w:proofErr w:type="spellStart"/>
      <w:r w:rsidRPr="00876B33">
        <w:rPr>
          <w:rFonts w:cs="Simplified Arabic" w:hint="cs"/>
          <w:rtl/>
        </w:rPr>
        <w:t>1.3%</w:t>
      </w:r>
      <w:proofErr w:type="spellEnd"/>
      <w:r w:rsidRPr="00876B33">
        <w:rPr>
          <w:rFonts w:cs="Simplified Arabic" w:hint="cs"/>
          <w:rtl/>
        </w:rPr>
        <w:t xml:space="preserve"> من شباب فلسطين في العمر </w:t>
      </w:r>
      <w:r w:rsidR="00B949A4" w:rsidRPr="00876B33">
        <w:rPr>
          <w:rFonts w:cs="Simplified Arabic" w:hint="cs"/>
          <w:rtl/>
        </w:rPr>
        <w:t>(</w:t>
      </w:r>
      <w:r w:rsidRPr="00876B33">
        <w:rPr>
          <w:rFonts w:cs="Simplified Arabic" w:hint="cs"/>
          <w:rtl/>
        </w:rPr>
        <w:t>15-29 سنة</w:t>
      </w:r>
      <w:proofErr w:type="spellStart"/>
      <w:r w:rsidR="00B949A4" w:rsidRPr="00876B33">
        <w:rPr>
          <w:rFonts w:cs="Simplified Arabic" w:hint="cs"/>
          <w:rtl/>
        </w:rPr>
        <w:t>)</w:t>
      </w:r>
      <w:proofErr w:type="spellEnd"/>
      <w:r w:rsidRPr="00876B33">
        <w:rPr>
          <w:rFonts w:cs="Simplified Arabic" w:hint="cs"/>
          <w:rtl/>
        </w:rPr>
        <w:t xml:space="preserve"> من </w:t>
      </w:r>
      <w:r w:rsidR="009B1B69" w:rsidRPr="00876B33">
        <w:rPr>
          <w:rFonts w:cs="Simplified Arabic" w:hint="cs"/>
          <w:rtl/>
        </w:rPr>
        <w:t>اعاقات</w:t>
      </w:r>
      <w:r w:rsidR="00B958C4" w:rsidRPr="00876B33">
        <w:rPr>
          <w:rFonts w:cs="Simplified Arabic" w:hint="cs"/>
          <w:rtl/>
        </w:rPr>
        <w:t>/</w:t>
      </w:r>
      <w:r w:rsidR="009B1B69" w:rsidRPr="00876B33">
        <w:rPr>
          <w:rFonts w:cs="Simplified Arabic" w:hint="cs"/>
          <w:rtl/>
        </w:rPr>
        <w:t>صعوبات</w:t>
      </w:r>
      <w:r w:rsidR="00B958C4" w:rsidRPr="00876B33">
        <w:rPr>
          <w:rFonts w:cs="Simplified Arabic" w:hint="cs"/>
          <w:rtl/>
        </w:rPr>
        <w:t xml:space="preserve"> حركية تلتها </w:t>
      </w:r>
      <w:r w:rsidR="009B1B69" w:rsidRPr="00876B33">
        <w:rPr>
          <w:rFonts w:cs="Simplified Arabic" w:hint="cs"/>
          <w:rtl/>
        </w:rPr>
        <w:t>الاعاقة</w:t>
      </w:r>
      <w:r w:rsidR="00B958C4" w:rsidRPr="00876B33">
        <w:rPr>
          <w:rFonts w:cs="Simplified Arabic" w:hint="cs"/>
          <w:rtl/>
        </w:rPr>
        <w:t>/</w:t>
      </w:r>
      <w:r w:rsidR="009B1B69" w:rsidRPr="00876B33">
        <w:rPr>
          <w:rFonts w:cs="Simplified Arabic" w:hint="cs"/>
          <w:rtl/>
        </w:rPr>
        <w:t>الصعوبة</w:t>
      </w:r>
      <w:r w:rsidRPr="00876B33">
        <w:rPr>
          <w:rFonts w:cs="Simplified Arabic" w:hint="cs"/>
          <w:rtl/>
        </w:rPr>
        <w:t xml:space="preserve"> البصرية بنسبة 1.2</w:t>
      </w:r>
      <w:r w:rsidRPr="00876B33">
        <w:rPr>
          <w:rFonts w:cs="Simplified Arabic"/>
        </w:rPr>
        <w:t>%</w:t>
      </w:r>
      <w:r w:rsidRPr="00876B33">
        <w:rPr>
          <w:rFonts w:cs="Simplified Arabic" w:hint="cs"/>
          <w:rtl/>
        </w:rPr>
        <w:t xml:space="preserve"> لنفس الفئة.</w:t>
      </w:r>
    </w:p>
    <w:p w:rsidR="006174E7" w:rsidRPr="000A48AE" w:rsidRDefault="006174E7" w:rsidP="006174E7">
      <w:pPr>
        <w:jc w:val="both"/>
        <w:rPr>
          <w:rFonts w:cs="Simplified Arabic"/>
          <w:sz w:val="10"/>
          <w:szCs w:val="10"/>
          <w:highlight w:val="yellow"/>
          <w:rtl/>
        </w:rPr>
      </w:pPr>
    </w:p>
    <w:p w:rsidR="006174E7" w:rsidRDefault="006174E7" w:rsidP="002C040B">
      <w:pPr>
        <w:pStyle w:val="Heading4"/>
        <w:jc w:val="center"/>
        <w:rPr>
          <w:rFonts w:ascii="Simplified Arabic" w:hAnsi="Simplified Arabic"/>
          <w:sz w:val="26"/>
          <w:szCs w:val="26"/>
          <w:rtl/>
        </w:rPr>
      </w:pPr>
      <w:r w:rsidRPr="00876B33">
        <w:rPr>
          <w:rFonts w:ascii="Simplified Arabic" w:hAnsi="Simplified Arabic"/>
          <w:sz w:val="26"/>
          <w:szCs w:val="26"/>
          <w:rtl/>
        </w:rPr>
        <w:t xml:space="preserve">نسبة </w:t>
      </w:r>
      <w:r w:rsidR="008675B6" w:rsidRPr="00876B33">
        <w:rPr>
          <w:rFonts w:ascii="Simplified Arabic" w:hAnsi="Simplified Arabic"/>
          <w:sz w:val="26"/>
          <w:szCs w:val="26"/>
          <w:rtl/>
        </w:rPr>
        <w:t>الأفراد</w:t>
      </w:r>
      <w:r w:rsidRPr="00876B33">
        <w:rPr>
          <w:rFonts w:ascii="Simplified Arabic" w:hAnsi="Simplified Arabic"/>
          <w:sz w:val="26"/>
          <w:szCs w:val="26"/>
          <w:rtl/>
        </w:rPr>
        <w:t xml:space="preserve"> </w:t>
      </w:r>
      <w:r w:rsidR="008675B6" w:rsidRPr="00876B33">
        <w:rPr>
          <w:rFonts w:ascii="Simplified Arabic" w:hAnsi="Simplified Arabic"/>
          <w:sz w:val="26"/>
          <w:szCs w:val="26"/>
          <w:rtl/>
        </w:rPr>
        <w:t>(15-29 سنة</w:t>
      </w:r>
      <w:proofErr w:type="spellStart"/>
      <w:r w:rsidR="008675B6" w:rsidRPr="00876B33">
        <w:rPr>
          <w:rFonts w:ascii="Simplified Arabic" w:hAnsi="Simplified Arabic"/>
          <w:sz w:val="26"/>
          <w:szCs w:val="26"/>
          <w:rtl/>
        </w:rPr>
        <w:t>)</w:t>
      </w:r>
      <w:proofErr w:type="spellEnd"/>
      <w:r w:rsidR="0020267A" w:rsidRPr="00876B33">
        <w:rPr>
          <w:rFonts w:ascii="Simplified Arabic" w:hAnsi="Simplified Arabic"/>
          <w:sz w:val="26"/>
          <w:szCs w:val="26"/>
          <w:rtl/>
        </w:rPr>
        <w:t xml:space="preserve"> </w:t>
      </w:r>
      <w:r w:rsidR="002C040B" w:rsidRPr="00876B33">
        <w:rPr>
          <w:rFonts w:ascii="Simplified Arabic" w:hAnsi="Simplified Arabic"/>
          <w:sz w:val="26"/>
          <w:szCs w:val="26"/>
          <w:rtl/>
        </w:rPr>
        <w:t xml:space="preserve">الذين لديهم </w:t>
      </w:r>
      <w:r w:rsidR="0020267A" w:rsidRPr="00876B33">
        <w:rPr>
          <w:rFonts w:ascii="Simplified Arabic" w:hAnsi="Simplified Arabic"/>
          <w:sz w:val="26"/>
          <w:szCs w:val="26"/>
          <w:rtl/>
        </w:rPr>
        <w:t>إعاقة/صعوبة</w:t>
      </w:r>
      <w:r w:rsidRPr="00876B33">
        <w:rPr>
          <w:rFonts w:ascii="Simplified Arabic" w:hAnsi="Simplified Arabic"/>
          <w:sz w:val="26"/>
          <w:szCs w:val="26"/>
          <w:rtl/>
        </w:rPr>
        <w:t xml:space="preserve"> </w:t>
      </w:r>
      <w:r w:rsidR="002C040B" w:rsidRPr="00876B33">
        <w:rPr>
          <w:rFonts w:ascii="Simplified Arabic" w:hAnsi="Simplified Arabic"/>
          <w:sz w:val="26"/>
          <w:szCs w:val="26"/>
          <w:rtl/>
        </w:rPr>
        <w:t xml:space="preserve">حسب </w:t>
      </w:r>
      <w:r w:rsidRPr="00876B33">
        <w:rPr>
          <w:rFonts w:ascii="Simplified Arabic" w:hAnsi="Simplified Arabic"/>
          <w:sz w:val="26"/>
          <w:szCs w:val="26"/>
          <w:rtl/>
        </w:rPr>
        <w:t xml:space="preserve">الجنس </w:t>
      </w:r>
      <w:proofErr w:type="spellStart"/>
      <w:r w:rsidRPr="00876B33">
        <w:rPr>
          <w:rFonts w:ascii="Simplified Arabic" w:hAnsi="Simplified Arabic"/>
          <w:sz w:val="26"/>
          <w:szCs w:val="26"/>
          <w:rtl/>
        </w:rPr>
        <w:t>والمنطقة،</w:t>
      </w:r>
      <w:proofErr w:type="spellEnd"/>
      <w:r w:rsidRPr="00876B33">
        <w:rPr>
          <w:rFonts w:ascii="Simplified Arabic" w:hAnsi="Simplified Arabic"/>
          <w:sz w:val="26"/>
          <w:szCs w:val="26"/>
          <w:rtl/>
        </w:rPr>
        <w:t xml:space="preserve"> 2017</w:t>
      </w:r>
    </w:p>
    <w:p w:rsidR="00876B33" w:rsidRPr="00876B33" w:rsidRDefault="00876B33" w:rsidP="00876B33">
      <w:pPr>
        <w:jc w:val="center"/>
        <w:rPr>
          <w:sz w:val="16"/>
          <w:szCs w:val="16"/>
          <w:rtl/>
        </w:rPr>
      </w:pPr>
    </w:p>
    <w:tbl>
      <w:tblPr>
        <w:bidiVisual/>
        <w:tblW w:w="5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3"/>
        <w:gridCol w:w="1877"/>
        <w:gridCol w:w="1457"/>
        <w:gridCol w:w="1150"/>
      </w:tblGrid>
      <w:tr w:rsidR="006174E7" w:rsidRPr="00876B33" w:rsidTr="00876B33">
        <w:trPr>
          <w:trHeight w:val="431"/>
          <w:jc w:val="center"/>
        </w:trPr>
        <w:tc>
          <w:tcPr>
            <w:tcW w:w="1503" w:type="dxa"/>
            <w:vAlign w:val="center"/>
          </w:tcPr>
          <w:p w:rsidR="006174E7" w:rsidRPr="00876B33" w:rsidRDefault="006174E7" w:rsidP="001C3227">
            <w:pPr>
              <w:jc w:val="center"/>
              <w:rPr>
                <w:rFonts w:cs="Simplified Arabic"/>
                <w:b/>
                <w:bCs/>
                <w:rtl/>
              </w:rPr>
            </w:pPr>
            <w:r w:rsidRPr="00876B33">
              <w:rPr>
                <w:rFonts w:cs="Simplified Arabic"/>
                <w:b/>
                <w:bCs/>
                <w:rtl/>
              </w:rPr>
              <w:t>الجنس</w:t>
            </w:r>
          </w:p>
        </w:tc>
        <w:tc>
          <w:tcPr>
            <w:tcW w:w="1877" w:type="dxa"/>
            <w:vAlign w:val="center"/>
          </w:tcPr>
          <w:p w:rsidR="006174E7" w:rsidRPr="00876B33" w:rsidRDefault="006174E7" w:rsidP="001C3227">
            <w:pPr>
              <w:pStyle w:val="Heading4"/>
              <w:jc w:val="center"/>
              <w:rPr>
                <w:rtl/>
              </w:rPr>
            </w:pPr>
            <w:r w:rsidRPr="00876B33">
              <w:rPr>
                <w:rtl/>
              </w:rPr>
              <w:t>فلسطين</w:t>
            </w:r>
          </w:p>
        </w:tc>
        <w:tc>
          <w:tcPr>
            <w:tcW w:w="1457" w:type="dxa"/>
            <w:vAlign w:val="center"/>
          </w:tcPr>
          <w:p w:rsidR="006174E7" w:rsidRPr="00876B33" w:rsidRDefault="006174E7" w:rsidP="001C3227">
            <w:pPr>
              <w:jc w:val="center"/>
              <w:rPr>
                <w:rFonts w:cs="Simplified Arabic"/>
                <w:b/>
                <w:bCs/>
                <w:rtl/>
              </w:rPr>
            </w:pPr>
            <w:r w:rsidRPr="00876B33">
              <w:rPr>
                <w:rFonts w:cs="Simplified Arabic"/>
                <w:b/>
                <w:bCs/>
                <w:rtl/>
              </w:rPr>
              <w:t>الضفة الغربية</w:t>
            </w:r>
          </w:p>
        </w:tc>
        <w:tc>
          <w:tcPr>
            <w:tcW w:w="1150" w:type="dxa"/>
            <w:vAlign w:val="center"/>
          </w:tcPr>
          <w:p w:rsidR="006174E7" w:rsidRPr="00876B33" w:rsidRDefault="006174E7" w:rsidP="001C3227">
            <w:pPr>
              <w:pStyle w:val="Heading4"/>
              <w:jc w:val="center"/>
              <w:rPr>
                <w:rtl/>
              </w:rPr>
            </w:pPr>
            <w:r w:rsidRPr="00876B33">
              <w:rPr>
                <w:rtl/>
              </w:rPr>
              <w:t>قطاع غزة</w:t>
            </w:r>
          </w:p>
        </w:tc>
      </w:tr>
      <w:tr w:rsidR="006174E7" w:rsidRPr="00876B33" w:rsidTr="00876B33">
        <w:trPr>
          <w:trHeight w:val="431"/>
          <w:jc w:val="center"/>
        </w:trPr>
        <w:tc>
          <w:tcPr>
            <w:tcW w:w="1503" w:type="dxa"/>
            <w:vAlign w:val="center"/>
          </w:tcPr>
          <w:p w:rsidR="006174E7" w:rsidRPr="00876B33" w:rsidRDefault="006174E7" w:rsidP="001C3227">
            <w:pPr>
              <w:rPr>
                <w:rFonts w:cs="Simplified Arabic"/>
                <w:b/>
                <w:bCs/>
                <w:rtl/>
              </w:rPr>
            </w:pPr>
            <w:r w:rsidRPr="00876B33">
              <w:rPr>
                <w:rFonts w:cs="Simplified Arabic" w:hint="cs"/>
                <w:b/>
                <w:bCs/>
                <w:rtl/>
              </w:rPr>
              <w:t>كلا الجنسين</w:t>
            </w:r>
          </w:p>
        </w:tc>
        <w:tc>
          <w:tcPr>
            <w:tcW w:w="1877" w:type="dxa"/>
            <w:vAlign w:val="center"/>
          </w:tcPr>
          <w:p w:rsidR="006174E7" w:rsidRPr="00876B33" w:rsidRDefault="006174E7" w:rsidP="001C3227">
            <w:pPr>
              <w:pStyle w:val="Heading4"/>
              <w:jc w:val="left"/>
              <w:rPr>
                <w:b w:val="0"/>
                <w:bCs w:val="0"/>
                <w:rtl/>
              </w:rPr>
            </w:pPr>
            <w:r w:rsidRPr="00876B33">
              <w:rPr>
                <w:rFonts w:hint="cs"/>
                <w:b w:val="0"/>
                <w:bCs w:val="0"/>
                <w:rtl/>
              </w:rPr>
              <w:t>3.1</w:t>
            </w:r>
          </w:p>
        </w:tc>
        <w:tc>
          <w:tcPr>
            <w:tcW w:w="1457" w:type="dxa"/>
            <w:vAlign w:val="center"/>
          </w:tcPr>
          <w:p w:rsidR="006174E7" w:rsidRPr="00876B33" w:rsidRDefault="006174E7" w:rsidP="001C3227">
            <w:pPr>
              <w:rPr>
                <w:rFonts w:cs="Simplified Arabic"/>
                <w:rtl/>
              </w:rPr>
            </w:pPr>
            <w:r w:rsidRPr="00876B33">
              <w:rPr>
                <w:rFonts w:cs="Simplified Arabic" w:hint="cs"/>
                <w:rtl/>
              </w:rPr>
              <w:t>2.5</w:t>
            </w:r>
          </w:p>
        </w:tc>
        <w:tc>
          <w:tcPr>
            <w:tcW w:w="1150" w:type="dxa"/>
            <w:vAlign w:val="center"/>
          </w:tcPr>
          <w:p w:rsidR="006174E7" w:rsidRPr="00876B33" w:rsidRDefault="006174E7" w:rsidP="001C3227">
            <w:pPr>
              <w:pStyle w:val="Heading4"/>
              <w:jc w:val="left"/>
              <w:rPr>
                <w:b w:val="0"/>
                <w:bCs w:val="0"/>
                <w:rtl/>
              </w:rPr>
            </w:pPr>
            <w:r w:rsidRPr="00876B33">
              <w:rPr>
                <w:rFonts w:hint="cs"/>
                <w:b w:val="0"/>
                <w:bCs w:val="0"/>
                <w:rtl/>
              </w:rPr>
              <w:t>4.0</w:t>
            </w:r>
          </w:p>
        </w:tc>
      </w:tr>
      <w:tr w:rsidR="006174E7" w:rsidRPr="00876B33" w:rsidTr="00876B33">
        <w:trPr>
          <w:trHeight w:val="431"/>
          <w:jc w:val="center"/>
        </w:trPr>
        <w:tc>
          <w:tcPr>
            <w:tcW w:w="1503" w:type="dxa"/>
          </w:tcPr>
          <w:p w:rsidR="006174E7" w:rsidRPr="00876B33" w:rsidRDefault="006174E7" w:rsidP="001C3227">
            <w:pPr>
              <w:jc w:val="both"/>
              <w:rPr>
                <w:rFonts w:cs="Simplified Arabic"/>
                <w:b/>
                <w:bCs/>
                <w:rtl/>
              </w:rPr>
            </w:pPr>
            <w:r w:rsidRPr="00876B33">
              <w:rPr>
                <w:rFonts w:cs="Simplified Arabic"/>
                <w:b/>
                <w:bCs/>
                <w:rtl/>
              </w:rPr>
              <w:t>ذكور</w:t>
            </w:r>
          </w:p>
        </w:tc>
        <w:tc>
          <w:tcPr>
            <w:tcW w:w="1877" w:type="dxa"/>
            <w:vAlign w:val="center"/>
          </w:tcPr>
          <w:p w:rsidR="006174E7" w:rsidRPr="00876B33" w:rsidRDefault="006174E7" w:rsidP="001C3227">
            <w:pPr>
              <w:rPr>
                <w:rFonts w:cs="Simplified Arabic"/>
                <w:rtl/>
              </w:rPr>
            </w:pPr>
            <w:r w:rsidRPr="00876B33">
              <w:rPr>
                <w:rFonts w:cs="Simplified Arabic" w:hint="cs"/>
                <w:rtl/>
              </w:rPr>
              <w:t>4.2</w:t>
            </w:r>
          </w:p>
        </w:tc>
        <w:tc>
          <w:tcPr>
            <w:tcW w:w="1457" w:type="dxa"/>
            <w:vAlign w:val="center"/>
          </w:tcPr>
          <w:p w:rsidR="006174E7" w:rsidRPr="00876B33" w:rsidRDefault="006174E7" w:rsidP="001C3227">
            <w:pPr>
              <w:rPr>
                <w:rFonts w:cs="Simplified Arabic"/>
                <w:rtl/>
              </w:rPr>
            </w:pPr>
            <w:r w:rsidRPr="00876B33">
              <w:rPr>
                <w:rFonts w:cs="Simplified Arabic" w:hint="cs"/>
                <w:rtl/>
              </w:rPr>
              <w:t>3.2</w:t>
            </w:r>
          </w:p>
        </w:tc>
        <w:tc>
          <w:tcPr>
            <w:tcW w:w="1150" w:type="dxa"/>
            <w:vAlign w:val="center"/>
          </w:tcPr>
          <w:p w:rsidR="006174E7" w:rsidRPr="00876B33" w:rsidRDefault="006174E7" w:rsidP="001C3227">
            <w:pPr>
              <w:rPr>
                <w:rFonts w:cs="Simplified Arabic"/>
                <w:rtl/>
              </w:rPr>
            </w:pPr>
            <w:r w:rsidRPr="00876B33">
              <w:rPr>
                <w:rFonts w:cs="Simplified Arabic" w:hint="cs"/>
                <w:rtl/>
              </w:rPr>
              <w:t>5.5</w:t>
            </w:r>
          </w:p>
        </w:tc>
      </w:tr>
      <w:tr w:rsidR="006174E7" w:rsidRPr="00876B33" w:rsidTr="00876B33">
        <w:trPr>
          <w:trHeight w:val="431"/>
          <w:jc w:val="center"/>
        </w:trPr>
        <w:tc>
          <w:tcPr>
            <w:tcW w:w="1503" w:type="dxa"/>
          </w:tcPr>
          <w:p w:rsidR="006174E7" w:rsidRPr="00876B33" w:rsidRDefault="006174E7" w:rsidP="001C3227">
            <w:pPr>
              <w:jc w:val="both"/>
              <w:rPr>
                <w:rFonts w:cs="Simplified Arabic"/>
                <w:b/>
                <w:bCs/>
                <w:rtl/>
              </w:rPr>
            </w:pPr>
            <w:r w:rsidRPr="00876B33">
              <w:rPr>
                <w:rFonts w:cs="Simplified Arabic"/>
                <w:b/>
                <w:bCs/>
                <w:rtl/>
              </w:rPr>
              <w:t>إناث</w:t>
            </w:r>
          </w:p>
        </w:tc>
        <w:tc>
          <w:tcPr>
            <w:tcW w:w="1877" w:type="dxa"/>
            <w:vAlign w:val="center"/>
          </w:tcPr>
          <w:p w:rsidR="006174E7" w:rsidRPr="00876B33" w:rsidRDefault="006174E7" w:rsidP="001C3227">
            <w:pPr>
              <w:rPr>
                <w:rFonts w:cs="Simplified Arabic"/>
                <w:rtl/>
              </w:rPr>
            </w:pPr>
            <w:r w:rsidRPr="00876B33">
              <w:rPr>
                <w:rFonts w:cs="Simplified Arabic" w:hint="cs"/>
                <w:rtl/>
              </w:rPr>
              <w:t>2.1</w:t>
            </w:r>
          </w:p>
        </w:tc>
        <w:tc>
          <w:tcPr>
            <w:tcW w:w="1457" w:type="dxa"/>
            <w:vAlign w:val="center"/>
          </w:tcPr>
          <w:p w:rsidR="006174E7" w:rsidRPr="00876B33" w:rsidRDefault="006174E7" w:rsidP="001C3227">
            <w:pPr>
              <w:rPr>
                <w:rFonts w:cs="Simplified Arabic"/>
                <w:rtl/>
              </w:rPr>
            </w:pPr>
            <w:r w:rsidRPr="00876B33">
              <w:rPr>
                <w:rFonts w:cs="Simplified Arabic" w:hint="cs"/>
                <w:rtl/>
              </w:rPr>
              <w:t>1.8</w:t>
            </w:r>
          </w:p>
        </w:tc>
        <w:tc>
          <w:tcPr>
            <w:tcW w:w="1150" w:type="dxa"/>
            <w:vAlign w:val="center"/>
          </w:tcPr>
          <w:p w:rsidR="006174E7" w:rsidRPr="00876B33" w:rsidRDefault="006174E7" w:rsidP="001C3227">
            <w:pPr>
              <w:rPr>
                <w:rFonts w:cs="Simplified Arabic"/>
                <w:rtl/>
              </w:rPr>
            </w:pPr>
            <w:r w:rsidRPr="00876B33">
              <w:rPr>
                <w:rFonts w:cs="Simplified Arabic" w:hint="cs"/>
                <w:rtl/>
              </w:rPr>
              <w:t>2.5</w:t>
            </w:r>
          </w:p>
        </w:tc>
      </w:tr>
    </w:tbl>
    <w:p w:rsidR="007562D5" w:rsidRPr="00876B33" w:rsidRDefault="007562D5" w:rsidP="00AB685A">
      <w:pPr>
        <w:pStyle w:val="Heading1"/>
        <w:rPr>
          <w:rFonts w:cs="Simplified Arabic"/>
          <w:sz w:val="16"/>
          <w:szCs w:val="16"/>
          <w:rtl/>
        </w:rPr>
      </w:pPr>
    </w:p>
    <w:p w:rsidR="004F5E2D" w:rsidRPr="00876B33" w:rsidRDefault="004F5E2D" w:rsidP="004F5E2D">
      <w:pPr>
        <w:pStyle w:val="BodyText"/>
        <w:jc w:val="left"/>
        <w:rPr>
          <w:rFonts w:ascii="Simplified Arabic" w:hAnsi="Simplified Arabic"/>
          <w:b/>
          <w:bCs/>
          <w:noProof/>
          <w:snapToGrid/>
          <w:sz w:val="26"/>
          <w:szCs w:val="26"/>
          <w:rtl/>
          <w:lang w:eastAsia="ar-SA"/>
        </w:rPr>
      </w:pPr>
      <w:r w:rsidRPr="00876B33">
        <w:rPr>
          <w:rFonts w:ascii="Simplified Arabic" w:hAnsi="Simplified Arabic"/>
          <w:b/>
          <w:bCs/>
          <w:noProof/>
          <w:snapToGrid/>
          <w:sz w:val="26"/>
          <w:szCs w:val="26"/>
          <w:rtl/>
          <w:lang w:eastAsia="ar-SA"/>
        </w:rPr>
        <w:t>أكثر من ثلث الشباب في قطاع غزة يرغبون بالهجرة الى الخارج</w:t>
      </w:r>
    </w:p>
    <w:p w:rsidR="004F5E2D" w:rsidRPr="00876B33" w:rsidRDefault="004F5E2D" w:rsidP="0039107A">
      <w:pPr>
        <w:jc w:val="both"/>
        <w:rPr>
          <w:rFonts w:ascii="Simplified Arabic" w:hAnsi="Simplified Arabic" w:cs="Simplified Arabic"/>
          <w:noProof/>
          <w:rtl/>
        </w:rPr>
      </w:pPr>
      <w:r w:rsidRPr="00876B33">
        <w:rPr>
          <w:rFonts w:ascii="Simplified Arabic" w:hAnsi="Simplified Arabic" w:cs="Simplified Arabic"/>
          <w:noProof/>
          <w:rtl/>
        </w:rPr>
        <w:t xml:space="preserve">اظهرت </w:t>
      </w:r>
      <w:r w:rsidRPr="00876B33">
        <w:rPr>
          <w:rFonts w:ascii="Simplified Arabic" w:hAnsi="Simplified Arabic" w:cs="Simplified Arabic" w:hint="cs"/>
          <w:noProof/>
          <w:rtl/>
        </w:rPr>
        <w:t>نتائج مسح الشباب الفلسطيني 2015</w:t>
      </w:r>
      <w:r w:rsidRPr="00876B33">
        <w:rPr>
          <w:rFonts w:ascii="Simplified Arabic" w:hAnsi="Simplified Arabic" w:cs="Simplified Arabic"/>
          <w:noProof/>
          <w:rtl/>
        </w:rPr>
        <w:t xml:space="preserve"> ان </w:t>
      </w:r>
      <w:r w:rsidRPr="00876B33">
        <w:rPr>
          <w:rFonts w:ascii="Simplified Arabic" w:hAnsi="Simplified Arabic" w:cs="Simplified Arabic" w:hint="cs"/>
          <w:noProof/>
          <w:rtl/>
        </w:rPr>
        <w:t>حوالي 24</w:t>
      </w:r>
      <w:r w:rsidRPr="00876B33">
        <w:rPr>
          <w:rFonts w:ascii="Simplified Arabic" w:hAnsi="Simplified Arabic" w:cs="Simplified Arabic"/>
          <w:noProof/>
          <w:rtl/>
        </w:rPr>
        <w:t xml:space="preserve">% من </w:t>
      </w:r>
      <w:r w:rsidRPr="00876B33">
        <w:rPr>
          <w:rFonts w:ascii="Simplified Arabic" w:hAnsi="Simplified Arabic" w:hint="cs"/>
          <w:noProof/>
          <w:rtl/>
        </w:rPr>
        <w:t xml:space="preserve">الأفراد </w:t>
      </w:r>
      <w:r w:rsidRPr="00876B33">
        <w:rPr>
          <w:rFonts w:ascii="Simplified Arabic" w:hAnsi="Simplified Arabic" w:cs="Simplified Arabic"/>
          <w:noProof/>
          <w:rtl/>
        </w:rPr>
        <w:t xml:space="preserve">(15-29 سنة)  في فلسطين لديهم الرغبة للهجرة للخارج ويبدو </w:t>
      </w:r>
      <w:r w:rsidR="0039107A" w:rsidRPr="00876B33">
        <w:rPr>
          <w:rFonts w:ascii="Simplified Arabic" w:hAnsi="Simplified Arabic" w:cs="Simplified Arabic" w:hint="cs"/>
          <w:noProof/>
          <w:rtl/>
        </w:rPr>
        <w:t>أ</w:t>
      </w:r>
      <w:r w:rsidRPr="00876B33">
        <w:rPr>
          <w:rFonts w:ascii="Simplified Arabic" w:hAnsi="Simplified Arabic" w:cs="Simplified Arabic"/>
          <w:noProof/>
          <w:rtl/>
        </w:rPr>
        <w:t xml:space="preserve">ن الاوضاع السائدة في </w:t>
      </w:r>
      <w:r w:rsidR="00B74F43" w:rsidRPr="00876B33">
        <w:rPr>
          <w:rFonts w:ascii="Simplified Arabic" w:hAnsi="Simplified Arabic" w:cs="Simplified Arabic" w:hint="cs"/>
          <w:noProof/>
          <w:rtl/>
        </w:rPr>
        <w:t>قطاع غزة</w:t>
      </w:r>
      <w:r w:rsidRPr="00876B33">
        <w:rPr>
          <w:rFonts w:ascii="Simplified Arabic" w:hAnsi="Simplified Arabic" w:cs="Simplified Arabic"/>
          <w:noProof/>
          <w:rtl/>
        </w:rPr>
        <w:t xml:space="preserve"> دور في زيادة نسبة الرغبة في الهجرة للخارج اذ بلغت نسبة الشباب الذين يرغبون في الهجرة للخارج في قطاع غزة 37% مقابل 1</w:t>
      </w:r>
      <w:r w:rsidRPr="00876B33">
        <w:rPr>
          <w:rFonts w:ascii="Simplified Arabic" w:hAnsi="Simplified Arabic" w:cs="Simplified Arabic" w:hint="cs"/>
          <w:noProof/>
          <w:rtl/>
        </w:rPr>
        <w:t>5</w:t>
      </w:r>
      <w:r w:rsidRPr="00876B33">
        <w:rPr>
          <w:rFonts w:ascii="Simplified Arabic" w:hAnsi="Simplified Arabic" w:cs="Simplified Arabic"/>
          <w:noProof/>
          <w:rtl/>
        </w:rPr>
        <w:t>% في الضفة الغربية.</w:t>
      </w:r>
      <w:r w:rsidRPr="00876B33">
        <w:rPr>
          <w:rFonts w:ascii="Simplified Arabic" w:hAnsi="Simplified Arabic" w:cs="Simplified Arabic" w:hint="cs"/>
          <w:noProof/>
          <w:rtl/>
        </w:rPr>
        <w:t xml:space="preserve">  </w:t>
      </w:r>
      <w:r w:rsidRPr="00876B33">
        <w:rPr>
          <w:rFonts w:ascii="Simplified Arabic" w:hAnsi="Simplified Arabic" w:cs="Simplified Arabic"/>
          <w:noProof/>
          <w:rtl/>
        </w:rPr>
        <w:t xml:space="preserve">كما يلاحظ ان الذكور </w:t>
      </w:r>
      <w:r w:rsidRPr="00876B33">
        <w:rPr>
          <w:rFonts w:ascii="Simplified Arabic" w:hAnsi="Simplified Arabic" w:cs="Simplified Arabic" w:hint="cs"/>
          <w:noProof/>
          <w:rtl/>
        </w:rPr>
        <w:t xml:space="preserve">الشباب </w:t>
      </w:r>
      <w:r w:rsidRPr="00876B33">
        <w:rPr>
          <w:rFonts w:ascii="Simplified Arabic" w:hAnsi="Simplified Arabic" w:cs="Simplified Arabic"/>
          <w:noProof/>
          <w:rtl/>
        </w:rPr>
        <w:t>اكثر ميلا</w:t>
      </w:r>
      <w:r w:rsidR="0039107A" w:rsidRPr="00876B33">
        <w:rPr>
          <w:rFonts w:ascii="Simplified Arabic" w:hAnsi="Simplified Arabic" w:cs="Simplified Arabic" w:hint="cs"/>
          <w:noProof/>
          <w:rtl/>
        </w:rPr>
        <w:t>ً</w:t>
      </w:r>
      <w:r w:rsidRPr="00876B33">
        <w:rPr>
          <w:rFonts w:ascii="Simplified Arabic" w:hAnsi="Simplified Arabic" w:cs="Simplified Arabic"/>
          <w:noProof/>
          <w:rtl/>
        </w:rPr>
        <w:t xml:space="preserve"> للتفكير في الهجرة للخارج مقارنة بالاناث </w:t>
      </w:r>
      <w:r w:rsidRPr="00876B33">
        <w:rPr>
          <w:rFonts w:ascii="Simplified Arabic" w:hAnsi="Simplified Arabic" w:cs="Simplified Arabic" w:hint="cs"/>
          <w:noProof/>
          <w:rtl/>
        </w:rPr>
        <w:t xml:space="preserve">الشابات </w:t>
      </w:r>
      <w:r w:rsidR="0039107A" w:rsidRPr="00876B33">
        <w:rPr>
          <w:rFonts w:ascii="Simplified Arabic" w:hAnsi="Simplified Arabic" w:cs="Simplified Arabic"/>
          <w:noProof/>
          <w:rtl/>
        </w:rPr>
        <w:t xml:space="preserve">اذ بلغت هذه النسبة للذكور 29% </w:t>
      </w:r>
      <w:r w:rsidRPr="00876B33">
        <w:rPr>
          <w:rFonts w:ascii="Simplified Arabic" w:hAnsi="Simplified Arabic" w:cs="Simplified Arabic"/>
          <w:noProof/>
          <w:rtl/>
        </w:rPr>
        <w:t xml:space="preserve">مقابل </w:t>
      </w:r>
      <w:r w:rsidRPr="00876B33">
        <w:rPr>
          <w:rFonts w:ascii="Simplified Arabic" w:hAnsi="Simplified Arabic" w:cs="Simplified Arabic" w:hint="cs"/>
          <w:noProof/>
          <w:rtl/>
        </w:rPr>
        <w:t>18</w:t>
      </w:r>
      <w:r w:rsidRPr="00876B33">
        <w:rPr>
          <w:rFonts w:ascii="Simplified Arabic" w:hAnsi="Simplified Arabic" w:cs="Simplified Arabic"/>
          <w:noProof/>
          <w:rtl/>
        </w:rPr>
        <w:t>% لدى الاناث الشابات.</w:t>
      </w:r>
    </w:p>
    <w:p w:rsidR="00C8470A" w:rsidRPr="000A48AE" w:rsidRDefault="00C8470A" w:rsidP="0039107A">
      <w:pPr>
        <w:jc w:val="both"/>
        <w:rPr>
          <w:rFonts w:ascii="Simplified Arabic" w:hAnsi="Simplified Arabic" w:cs="Simplified Arabic"/>
          <w:noProof/>
          <w:sz w:val="10"/>
          <w:szCs w:val="10"/>
          <w:rtl/>
        </w:rPr>
      </w:pPr>
    </w:p>
    <w:p w:rsidR="000C46F5" w:rsidRPr="00876B33" w:rsidRDefault="000C46F5" w:rsidP="008675B6">
      <w:pPr>
        <w:pStyle w:val="BodyText"/>
        <w:jc w:val="left"/>
        <w:rPr>
          <w:rFonts w:ascii="Simplified Arabic" w:hAnsi="Simplified Arabic"/>
          <w:b/>
          <w:bCs/>
          <w:noProof/>
          <w:snapToGrid/>
          <w:sz w:val="26"/>
          <w:szCs w:val="26"/>
          <w:lang w:eastAsia="ar-SA"/>
        </w:rPr>
      </w:pPr>
      <w:r w:rsidRPr="00876B33">
        <w:rPr>
          <w:rFonts w:ascii="Simplified Arabic" w:hAnsi="Simplified Arabic"/>
          <w:b/>
          <w:bCs/>
          <w:noProof/>
          <w:snapToGrid/>
          <w:sz w:val="26"/>
          <w:szCs w:val="26"/>
          <w:rtl/>
          <w:lang w:eastAsia="ar-SA"/>
        </w:rPr>
        <w:t>أكثر من ربع الشباب فقراء لعام 2017</w:t>
      </w:r>
    </w:p>
    <w:p w:rsidR="00AD6533" w:rsidRPr="00876B33" w:rsidRDefault="000C46F5" w:rsidP="00876B33">
      <w:pPr>
        <w:jc w:val="both"/>
        <w:rPr>
          <w:rFonts w:ascii="Simplified Arabic" w:hAnsi="Simplified Arabic" w:cs="Simplified Arabic"/>
          <w:noProof/>
          <w:rtl/>
        </w:rPr>
      </w:pPr>
      <w:r w:rsidRPr="00876B33">
        <w:rPr>
          <w:rFonts w:ascii="Simplified Arabic" w:hAnsi="Simplified Arabic" w:cs="Simplified Arabic"/>
          <w:noProof/>
          <w:rtl/>
        </w:rPr>
        <w:t>وفقا ًللمفهوم الوطني للفقر والذي يستند إلى التعريف الرسمي للفقر الذي تم وضعه في العام 1997</w:t>
      </w:r>
      <w:r w:rsidR="00C8470A" w:rsidRPr="00876B33">
        <w:rPr>
          <w:rFonts w:ascii="Simplified Arabic" w:hAnsi="Simplified Arabic" w:cs="Simplified Arabic" w:hint="cs"/>
          <w:noProof/>
          <w:rtl/>
        </w:rPr>
        <w:t>،</w:t>
      </w:r>
      <w:r w:rsidRPr="00876B33">
        <w:rPr>
          <w:rFonts w:ascii="Simplified Arabic" w:hAnsi="Simplified Arabic" w:cs="Simplified Arabic"/>
          <w:noProof/>
          <w:rtl/>
        </w:rPr>
        <w:t xml:space="preserve"> يضم التعريف ملامح مطلقة ونسبية تستند إلى موازنة الاحتياجات الأساسية لأسرة تتألف من خمس أفراد (بالغين اثنين وثلاثة أطفال)، هذا وقد تم إعداد خطي فقر وفقاً لأنماط الاستهلاك الحقيقية للأسر، هذا مع العلم ان خط الفقر للأسرة المرجعية قد بلغ </w:t>
      </w:r>
      <w:r w:rsidRPr="00876B33">
        <w:rPr>
          <w:rFonts w:ascii="Simplified Arabic" w:hAnsi="Simplified Arabic" w:cs="Simplified Arabic"/>
          <w:noProof/>
        </w:rPr>
        <w:t>2,470</w:t>
      </w:r>
      <w:r w:rsidRPr="00876B33">
        <w:rPr>
          <w:rFonts w:ascii="Simplified Arabic" w:hAnsi="Simplified Arabic" w:cs="Simplified Arabic"/>
          <w:noProof/>
          <w:rtl/>
        </w:rPr>
        <w:t xml:space="preserve"> شيقلاً إسرائيلياً جديداً</w:t>
      </w:r>
      <w:r w:rsidR="00C8470A" w:rsidRPr="00876B33">
        <w:rPr>
          <w:rFonts w:ascii="Simplified Arabic" w:hAnsi="Simplified Arabic" w:cs="Simplified Arabic" w:hint="cs"/>
          <w:noProof/>
          <w:rtl/>
        </w:rPr>
        <w:t xml:space="preserve"> </w:t>
      </w:r>
      <w:r w:rsidRPr="00876B33">
        <w:rPr>
          <w:rFonts w:ascii="Simplified Arabic" w:hAnsi="Simplified Arabic" w:cs="Simplified Arabic"/>
          <w:noProof/>
          <w:rtl/>
        </w:rPr>
        <w:t xml:space="preserve">وخط الفقر المدقع قد بلغ 1,974 شيقلاً إسرائيلياً جديداً.  فقد قدر نسبة الفقر بين الأفراد وفقا لأنماط الاستهلاك الشهري </w:t>
      </w:r>
      <w:r w:rsidRPr="00876B33">
        <w:rPr>
          <w:rFonts w:ascii="Simplified Arabic" w:hAnsi="Simplified Arabic" w:cs="Simplified Arabic" w:hint="cs"/>
          <w:noProof/>
          <w:rtl/>
        </w:rPr>
        <w:t>29.2</w:t>
      </w:r>
      <w:r w:rsidRPr="00876B33">
        <w:rPr>
          <w:rFonts w:ascii="Simplified Arabic" w:hAnsi="Simplified Arabic" w:cs="Simplified Arabic"/>
          <w:noProof/>
          <w:rtl/>
        </w:rPr>
        <w:t xml:space="preserve">% خلال عام </w:t>
      </w:r>
      <w:r w:rsidRPr="00876B33">
        <w:rPr>
          <w:rFonts w:ascii="Simplified Arabic" w:hAnsi="Simplified Arabic" w:cs="Simplified Arabic"/>
          <w:noProof/>
        </w:rPr>
        <w:t>2017</w:t>
      </w:r>
      <w:r w:rsidRPr="00876B33">
        <w:rPr>
          <w:rFonts w:ascii="Simplified Arabic" w:hAnsi="Simplified Arabic" w:cs="Simplified Arabic"/>
          <w:noProof/>
          <w:rtl/>
        </w:rPr>
        <w:t xml:space="preserve"> (بواقع </w:t>
      </w:r>
      <w:r w:rsidRPr="00876B33">
        <w:rPr>
          <w:rFonts w:ascii="Simplified Arabic" w:hAnsi="Simplified Arabic" w:cs="Simplified Arabic"/>
          <w:noProof/>
        </w:rPr>
        <w:t>13.9</w:t>
      </w:r>
      <w:r w:rsidRPr="00876B33">
        <w:rPr>
          <w:rFonts w:ascii="Simplified Arabic" w:hAnsi="Simplified Arabic" w:cs="Simplified Arabic"/>
          <w:noProof/>
          <w:rtl/>
        </w:rPr>
        <w:t>% في الضفة الغربية و</w:t>
      </w:r>
      <w:r w:rsidRPr="00876B33">
        <w:rPr>
          <w:rFonts w:ascii="Simplified Arabic" w:hAnsi="Simplified Arabic" w:cs="Simplified Arabic"/>
          <w:noProof/>
        </w:rPr>
        <w:t>53.0</w:t>
      </w:r>
      <w:r w:rsidRPr="00876B33">
        <w:rPr>
          <w:rFonts w:ascii="Simplified Arabic" w:hAnsi="Simplified Arabic" w:cs="Simplified Arabic"/>
          <w:noProof/>
          <w:rtl/>
        </w:rPr>
        <w:t>% في قطاع غزة)</w:t>
      </w:r>
      <w:r w:rsidR="00C8470A" w:rsidRPr="00876B33">
        <w:rPr>
          <w:rFonts w:ascii="Simplified Arabic" w:hAnsi="Simplified Arabic" w:cs="Simplified Arabic" w:hint="cs"/>
          <w:noProof/>
          <w:rtl/>
        </w:rPr>
        <w:t xml:space="preserve">، </w:t>
      </w:r>
      <w:r w:rsidRPr="00876B33">
        <w:rPr>
          <w:rFonts w:ascii="Simplified Arabic" w:hAnsi="Simplified Arabic" w:cs="Simplified Arabic"/>
          <w:noProof/>
          <w:rtl/>
        </w:rPr>
        <w:t xml:space="preserve">بينما بلغت نسبة الفقر بين </w:t>
      </w:r>
      <w:r w:rsidR="008675B6" w:rsidRPr="00876B33">
        <w:rPr>
          <w:rFonts w:ascii="Simplified Arabic" w:hAnsi="Simplified Arabic" w:hint="cs"/>
          <w:noProof/>
          <w:rtl/>
        </w:rPr>
        <w:t xml:space="preserve">الأفراد </w:t>
      </w:r>
      <w:r w:rsidRPr="00876B33">
        <w:rPr>
          <w:rFonts w:ascii="Simplified Arabic" w:hAnsi="Simplified Arabic" w:cs="Simplified Arabic"/>
          <w:noProof/>
          <w:rtl/>
        </w:rPr>
        <w:t xml:space="preserve">(15-29 سنة) وفقا لأنماط الاستهلاك الشهري 29.5% (بواقع 13.5% في الضفة الغربية و56.0% في قطاع غزة).  كما تبين أن </w:t>
      </w:r>
      <w:r w:rsidRPr="00876B33">
        <w:rPr>
          <w:rFonts w:ascii="Simplified Arabic" w:hAnsi="Simplified Arabic" w:cs="Simplified Arabic" w:hint="cs"/>
          <w:noProof/>
          <w:rtl/>
        </w:rPr>
        <w:t>16.8</w:t>
      </w:r>
      <w:r w:rsidRPr="00876B33">
        <w:rPr>
          <w:rFonts w:ascii="Simplified Arabic" w:hAnsi="Simplified Arabic" w:cs="Simplified Arabic"/>
          <w:noProof/>
          <w:rtl/>
        </w:rPr>
        <w:t>% من الأفراد في فلسطين يعانون من الفقر المدقع (بواقع 5.8% في الضفة</w:t>
      </w:r>
      <w:r w:rsidR="00AA621C" w:rsidRPr="00876B33">
        <w:rPr>
          <w:rFonts w:ascii="Simplified Arabic" w:hAnsi="Simplified Arabic" w:cs="Simplified Arabic"/>
          <w:noProof/>
          <w:rtl/>
        </w:rPr>
        <w:t xml:space="preserve"> الغربية و33.8% في قطاع غزة).  </w:t>
      </w:r>
      <w:r w:rsidR="00AA621C" w:rsidRPr="00876B33">
        <w:rPr>
          <w:rFonts w:ascii="Simplified Arabic" w:hAnsi="Simplified Arabic" w:cs="Simplified Arabic" w:hint="cs"/>
          <w:noProof/>
          <w:rtl/>
        </w:rPr>
        <w:t>في حين</w:t>
      </w:r>
      <w:r w:rsidRPr="00876B33">
        <w:rPr>
          <w:rFonts w:ascii="Simplified Arabic" w:hAnsi="Simplified Arabic" w:cs="Simplified Arabic"/>
          <w:noProof/>
          <w:rtl/>
        </w:rPr>
        <w:t xml:space="preserve"> بلغت نسبة الفقر المدقع بين </w:t>
      </w:r>
      <w:r w:rsidR="00AA621C" w:rsidRPr="00876B33">
        <w:rPr>
          <w:rFonts w:ascii="Simplified Arabic" w:hAnsi="Simplified Arabic" w:cs="Simplified Arabic" w:hint="cs"/>
          <w:noProof/>
          <w:rtl/>
        </w:rPr>
        <w:t>ال</w:t>
      </w:r>
      <w:r w:rsidRPr="00876B33">
        <w:rPr>
          <w:rFonts w:ascii="Simplified Arabic" w:hAnsi="Simplified Arabic" w:cs="Simplified Arabic"/>
          <w:noProof/>
          <w:rtl/>
        </w:rPr>
        <w:t xml:space="preserve">افراد </w:t>
      </w:r>
      <w:r w:rsidR="00AA621C" w:rsidRPr="00876B33">
        <w:rPr>
          <w:rFonts w:ascii="Simplified Arabic" w:hAnsi="Simplified Arabic" w:cs="Simplified Arabic" w:hint="cs"/>
          <w:noProof/>
          <w:rtl/>
        </w:rPr>
        <w:t>(15-29 سنة)</w:t>
      </w:r>
      <w:r w:rsidRPr="00876B33">
        <w:rPr>
          <w:rFonts w:ascii="Simplified Arabic" w:hAnsi="Simplified Arabic" w:cs="Simplified Arabic"/>
          <w:noProof/>
          <w:rtl/>
        </w:rPr>
        <w:t xml:space="preserve"> 17.1% في فلسطين (بواقع 6.1% في الض</w:t>
      </w:r>
      <w:r w:rsidR="00876B33">
        <w:rPr>
          <w:rFonts w:ascii="Simplified Arabic" w:hAnsi="Simplified Arabic" w:cs="Simplified Arabic"/>
          <w:noProof/>
          <w:rtl/>
        </w:rPr>
        <w:t>فة الغربية و35.4% في قطاع غزة).</w:t>
      </w:r>
    </w:p>
    <w:sectPr w:rsidR="00AD6533" w:rsidRPr="00876B33" w:rsidSect="00876B33">
      <w:footerReference w:type="even" r:id="rId9"/>
      <w:footerReference w:type="default" r:id="rId10"/>
      <w:headerReference w:type="first" r:id="rId11"/>
      <w:pgSz w:w="11906" w:h="16838" w:code="9"/>
      <w:pgMar w:top="720" w:right="720" w:bottom="720" w:left="720" w:header="680" w:footer="68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1B8" w:rsidRDefault="006521B8">
      <w:r>
        <w:separator/>
      </w:r>
    </w:p>
  </w:endnote>
  <w:endnote w:type="continuationSeparator" w:id="0">
    <w:p w:rsidR="006521B8" w:rsidRDefault="006521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C5" w:rsidRDefault="00966F76">
    <w:pPr>
      <w:pStyle w:val="Footer"/>
      <w:framePr w:wrap="around" w:vAnchor="text" w:hAnchor="margin" w:xAlign="center" w:y="1"/>
      <w:rPr>
        <w:rStyle w:val="PageNumber"/>
        <w:rtl/>
        <w:lang w:eastAsia="en-US"/>
      </w:rPr>
    </w:pPr>
    <w:r>
      <w:rPr>
        <w:rStyle w:val="PageNumber"/>
        <w:rtl/>
      </w:rPr>
      <w:fldChar w:fldCharType="begin"/>
    </w:r>
    <w:r w:rsidR="00F845C5">
      <w:rPr>
        <w:rStyle w:val="PageNumber"/>
        <w:lang w:eastAsia="en-US"/>
      </w:rPr>
      <w:instrText xml:space="preserve">PAGE  </w:instrText>
    </w:r>
    <w:r>
      <w:rPr>
        <w:rStyle w:val="PageNumber"/>
        <w:rtl/>
      </w:rPr>
      <w:fldChar w:fldCharType="separate"/>
    </w:r>
    <w:r w:rsidR="00F845C5">
      <w:rPr>
        <w:rStyle w:val="PageNumber"/>
        <w:noProof/>
        <w:rtl/>
      </w:rPr>
      <w:t>2</w:t>
    </w:r>
    <w:r>
      <w:rPr>
        <w:rStyle w:val="PageNumber"/>
        <w:rtl/>
      </w:rPr>
      <w:fldChar w:fldCharType="end"/>
    </w:r>
  </w:p>
  <w:p w:rsidR="00F845C5" w:rsidRDefault="00F845C5">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C5" w:rsidRDefault="00966F76">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F845C5">
      <w:rPr>
        <w:rStyle w:val="PageNumber"/>
        <w:sz w:val="20"/>
        <w:szCs w:val="20"/>
        <w:lang w:eastAsia="en-US"/>
      </w:rPr>
      <w:instrText xml:space="preserve">PAGE  </w:instrText>
    </w:r>
    <w:r>
      <w:rPr>
        <w:rStyle w:val="PageNumber"/>
        <w:sz w:val="20"/>
        <w:szCs w:val="20"/>
        <w:rtl/>
      </w:rPr>
      <w:fldChar w:fldCharType="separate"/>
    </w:r>
    <w:r w:rsidR="001D2A82">
      <w:rPr>
        <w:rStyle w:val="PageNumber"/>
        <w:noProof/>
        <w:sz w:val="20"/>
        <w:szCs w:val="20"/>
        <w:rtl/>
      </w:rPr>
      <w:t>3</w:t>
    </w:r>
    <w:r>
      <w:rPr>
        <w:rStyle w:val="PageNumber"/>
        <w:sz w:val="20"/>
        <w:szCs w:val="20"/>
        <w:rtl/>
      </w:rPr>
      <w:fldChar w:fldCharType="end"/>
    </w:r>
  </w:p>
  <w:p w:rsidR="00F845C5" w:rsidRDefault="00F845C5">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1B8" w:rsidRDefault="006521B8">
      <w:r>
        <w:separator/>
      </w:r>
    </w:p>
  </w:footnote>
  <w:footnote w:type="continuationSeparator" w:id="0">
    <w:p w:rsidR="006521B8" w:rsidRDefault="00652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F845C5" w:rsidTr="00B10EE0">
      <w:tc>
        <w:tcPr>
          <w:tcW w:w="3473" w:type="dxa"/>
          <w:vAlign w:val="center"/>
        </w:tcPr>
        <w:p w:rsidR="00F845C5" w:rsidRDefault="00F845C5" w:rsidP="00B10EE0">
          <w:pPr>
            <w:pStyle w:val="Header"/>
            <w:ind w:left="-1"/>
            <w:jc w:val="center"/>
            <w:rPr>
              <w:rFonts w:cs="Simplified Arabic"/>
              <w:b/>
              <w:bCs/>
              <w:sz w:val="28"/>
              <w:szCs w:val="28"/>
              <w:rtl/>
            </w:rPr>
          </w:pPr>
          <w:r>
            <w:rPr>
              <w:rFonts w:cs="Simplified Arabic" w:hint="cs"/>
              <w:b/>
              <w:bCs/>
              <w:sz w:val="28"/>
              <w:szCs w:val="28"/>
              <w:rtl/>
            </w:rPr>
            <w:t>فلسطين</w:t>
          </w:r>
        </w:p>
        <w:p w:rsidR="00F845C5" w:rsidRDefault="00F845C5"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F845C5" w:rsidRDefault="00F845C5"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F845C5" w:rsidRDefault="00F845C5" w:rsidP="00B10EE0">
          <w:pPr>
            <w:pStyle w:val="Header"/>
            <w:jc w:val="right"/>
            <w:rPr>
              <w:rFonts w:cs="Simplified Arabic"/>
              <w:sz w:val="22"/>
              <w:szCs w:val="22"/>
              <w:rtl/>
            </w:rPr>
          </w:pPr>
          <w:r>
            <w:rPr>
              <w:rFonts w:cs="Simplified Arabic" w:hint="cs"/>
              <w:sz w:val="22"/>
              <w:szCs w:val="22"/>
              <w:rtl/>
            </w:rPr>
            <w:t xml:space="preserve"> صدر </w:t>
          </w:r>
          <w:proofErr w:type="spellStart"/>
          <w:r>
            <w:rPr>
              <w:rFonts w:cs="Simplified Arabic" w:hint="cs"/>
              <w:sz w:val="22"/>
              <w:szCs w:val="22"/>
              <w:rtl/>
            </w:rPr>
            <w:t>بتاريخ:</w:t>
          </w:r>
          <w:proofErr w:type="spellEnd"/>
          <w:r>
            <w:rPr>
              <w:rFonts w:cs="Simplified Arabic" w:hint="cs"/>
              <w:sz w:val="22"/>
              <w:szCs w:val="22"/>
              <w:rtl/>
            </w:rPr>
            <w:t xml:space="preserve"> 19/06/2011</w:t>
          </w:r>
        </w:p>
      </w:tc>
    </w:tr>
  </w:tbl>
  <w:p w:rsidR="00F845C5" w:rsidRPr="00237AA1" w:rsidRDefault="00F845C5" w:rsidP="00237AA1">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20"/>
  <w:displayHorizontalDrawingGridEvery w:val="2"/>
  <w:noPunctuationKerning/>
  <w:characterSpacingControl w:val="doNotCompress"/>
  <w:hdrShapeDefaults>
    <o:shapedefaults v:ext="edit" spidmax="57346"/>
  </w:hdrShapeDefaults>
  <w:footnotePr>
    <w:footnote w:id="-1"/>
    <w:footnote w:id="0"/>
  </w:footnotePr>
  <w:endnotePr>
    <w:endnote w:id="-1"/>
    <w:endnote w:id="0"/>
  </w:endnotePr>
  <w:compat/>
  <w:rsids>
    <w:rsidRoot w:val="003735DD"/>
    <w:rsid w:val="000009B3"/>
    <w:rsid w:val="0001149F"/>
    <w:rsid w:val="00012A00"/>
    <w:rsid w:val="00012F0D"/>
    <w:rsid w:val="000174A0"/>
    <w:rsid w:val="00020CD7"/>
    <w:rsid w:val="00022D3D"/>
    <w:rsid w:val="00024A21"/>
    <w:rsid w:val="00030B6E"/>
    <w:rsid w:val="0003105B"/>
    <w:rsid w:val="000359A5"/>
    <w:rsid w:val="00041F47"/>
    <w:rsid w:val="00047EB2"/>
    <w:rsid w:val="000512B5"/>
    <w:rsid w:val="0005134D"/>
    <w:rsid w:val="00052E4B"/>
    <w:rsid w:val="00053230"/>
    <w:rsid w:val="000539A9"/>
    <w:rsid w:val="00054AF2"/>
    <w:rsid w:val="0006001F"/>
    <w:rsid w:val="000658EC"/>
    <w:rsid w:val="00070AC3"/>
    <w:rsid w:val="00071F67"/>
    <w:rsid w:val="00075028"/>
    <w:rsid w:val="000830CD"/>
    <w:rsid w:val="00083A87"/>
    <w:rsid w:val="0009101D"/>
    <w:rsid w:val="000924BC"/>
    <w:rsid w:val="0009482D"/>
    <w:rsid w:val="00097678"/>
    <w:rsid w:val="000A1DA7"/>
    <w:rsid w:val="000A2143"/>
    <w:rsid w:val="000A48AE"/>
    <w:rsid w:val="000A5501"/>
    <w:rsid w:val="000A6E08"/>
    <w:rsid w:val="000B0717"/>
    <w:rsid w:val="000B1418"/>
    <w:rsid w:val="000B2899"/>
    <w:rsid w:val="000B2EAA"/>
    <w:rsid w:val="000B3752"/>
    <w:rsid w:val="000B42A6"/>
    <w:rsid w:val="000B5EF4"/>
    <w:rsid w:val="000C16D7"/>
    <w:rsid w:val="000C3642"/>
    <w:rsid w:val="000C3718"/>
    <w:rsid w:val="000C46F5"/>
    <w:rsid w:val="000C5DCF"/>
    <w:rsid w:val="000D0612"/>
    <w:rsid w:val="000D0C52"/>
    <w:rsid w:val="000D20E6"/>
    <w:rsid w:val="000D20E7"/>
    <w:rsid w:val="000D2C0F"/>
    <w:rsid w:val="000D4428"/>
    <w:rsid w:val="000D446E"/>
    <w:rsid w:val="000D4717"/>
    <w:rsid w:val="000D6887"/>
    <w:rsid w:val="000D68A9"/>
    <w:rsid w:val="000E22D0"/>
    <w:rsid w:val="000E3DAD"/>
    <w:rsid w:val="001018CA"/>
    <w:rsid w:val="00104363"/>
    <w:rsid w:val="00106296"/>
    <w:rsid w:val="00110AF6"/>
    <w:rsid w:val="001247CC"/>
    <w:rsid w:val="00132472"/>
    <w:rsid w:val="00133447"/>
    <w:rsid w:val="001430B5"/>
    <w:rsid w:val="001446C1"/>
    <w:rsid w:val="00147043"/>
    <w:rsid w:val="00147470"/>
    <w:rsid w:val="0015641E"/>
    <w:rsid w:val="00160EFC"/>
    <w:rsid w:val="00163AD5"/>
    <w:rsid w:val="00166A63"/>
    <w:rsid w:val="001701B0"/>
    <w:rsid w:val="001704AF"/>
    <w:rsid w:val="001742CB"/>
    <w:rsid w:val="00174633"/>
    <w:rsid w:val="00180C3F"/>
    <w:rsid w:val="00185A58"/>
    <w:rsid w:val="0018682F"/>
    <w:rsid w:val="00190EA0"/>
    <w:rsid w:val="001972B1"/>
    <w:rsid w:val="001A2E41"/>
    <w:rsid w:val="001A5276"/>
    <w:rsid w:val="001B4C61"/>
    <w:rsid w:val="001B5B7E"/>
    <w:rsid w:val="001C1918"/>
    <w:rsid w:val="001C209E"/>
    <w:rsid w:val="001C30E1"/>
    <w:rsid w:val="001C370E"/>
    <w:rsid w:val="001C4889"/>
    <w:rsid w:val="001C4E28"/>
    <w:rsid w:val="001C54F0"/>
    <w:rsid w:val="001C6240"/>
    <w:rsid w:val="001D2A82"/>
    <w:rsid w:val="001D454C"/>
    <w:rsid w:val="001D76B5"/>
    <w:rsid w:val="001E51BB"/>
    <w:rsid w:val="001E731C"/>
    <w:rsid w:val="001F24F9"/>
    <w:rsid w:val="001F32D8"/>
    <w:rsid w:val="001F78E5"/>
    <w:rsid w:val="0020267A"/>
    <w:rsid w:val="00207ED7"/>
    <w:rsid w:val="00210322"/>
    <w:rsid w:val="00211969"/>
    <w:rsid w:val="00212DB7"/>
    <w:rsid w:val="002132AA"/>
    <w:rsid w:val="002145D4"/>
    <w:rsid w:val="002145D7"/>
    <w:rsid w:val="00214DD8"/>
    <w:rsid w:val="00223C24"/>
    <w:rsid w:val="00224350"/>
    <w:rsid w:val="00225959"/>
    <w:rsid w:val="00232124"/>
    <w:rsid w:val="00237AA1"/>
    <w:rsid w:val="00240C43"/>
    <w:rsid w:val="00242416"/>
    <w:rsid w:val="002429D9"/>
    <w:rsid w:val="002441C5"/>
    <w:rsid w:val="00247C27"/>
    <w:rsid w:val="002529B4"/>
    <w:rsid w:val="00267642"/>
    <w:rsid w:val="00273617"/>
    <w:rsid w:val="00281CD8"/>
    <w:rsid w:val="002857A8"/>
    <w:rsid w:val="0029259F"/>
    <w:rsid w:val="00293B18"/>
    <w:rsid w:val="00297FF0"/>
    <w:rsid w:val="002A0304"/>
    <w:rsid w:val="002A3556"/>
    <w:rsid w:val="002A6913"/>
    <w:rsid w:val="002B0141"/>
    <w:rsid w:val="002B4E0F"/>
    <w:rsid w:val="002B561A"/>
    <w:rsid w:val="002C040B"/>
    <w:rsid w:val="002C4877"/>
    <w:rsid w:val="002D035F"/>
    <w:rsid w:val="002D2140"/>
    <w:rsid w:val="002D4421"/>
    <w:rsid w:val="002D6DCE"/>
    <w:rsid w:val="002D7F78"/>
    <w:rsid w:val="002E2366"/>
    <w:rsid w:val="002E3234"/>
    <w:rsid w:val="002E38E1"/>
    <w:rsid w:val="002E541B"/>
    <w:rsid w:val="002F2477"/>
    <w:rsid w:val="002F2700"/>
    <w:rsid w:val="002F30B6"/>
    <w:rsid w:val="002F3FD1"/>
    <w:rsid w:val="003006F5"/>
    <w:rsid w:val="00300B1A"/>
    <w:rsid w:val="003013DA"/>
    <w:rsid w:val="003031AA"/>
    <w:rsid w:val="00307591"/>
    <w:rsid w:val="003102A2"/>
    <w:rsid w:val="00312BC5"/>
    <w:rsid w:val="00312FAD"/>
    <w:rsid w:val="00314595"/>
    <w:rsid w:val="00322307"/>
    <w:rsid w:val="003223CE"/>
    <w:rsid w:val="00325D6B"/>
    <w:rsid w:val="0033009A"/>
    <w:rsid w:val="00332512"/>
    <w:rsid w:val="003327A1"/>
    <w:rsid w:val="003374CD"/>
    <w:rsid w:val="0034012B"/>
    <w:rsid w:val="003405F9"/>
    <w:rsid w:val="00343B5A"/>
    <w:rsid w:val="0034649E"/>
    <w:rsid w:val="003472A5"/>
    <w:rsid w:val="00347F6E"/>
    <w:rsid w:val="00352341"/>
    <w:rsid w:val="00353677"/>
    <w:rsid w:val="00353F40"/>
    <w:rsid w:val="00356CE0"/>
    <w:rsid w:val="0036147F"/>
    <w:rsid w:val="00362247"/>
    <w:rsid w:val="00365949"/>
    <w:rsid w:val="003662FB"/>
    <w:rsid w:val="00371C92"/>
    <w:rsid w:val="0037256B"/>
    <w:rsid w:val="003726BA"/>
    <w:rsid w:val="003735DD"/>
    <w:rsid w:val="003742D7"/>
    <w:rsid w:val="00375995"/>
    <w:rsid w:val="003778D1"/>
    <w:rsid w:val="00384BE6"/>
    <w:rsid w:val="00385651"/>
    <w:rsid w:val="00387A83"/>
    <w:rsid w:val="00387AEF"/>
    <w:rsid w:val="00390C8F"/>
    <w:rsid w:val="0039107A"/>
    <w:rsid w:val="0039301F"/>
    <w:rsid w:val="00395ECD"/>
    <w:rsid w:val="00396255"/>
    <w:rsid w:val="003A04FA"/>
    <w:rsid w:val="003A12F0"/>
    <w:rsid w:val="003A20C9"/>
    <w:rsid w:val="003A4127"/>
    <w:rsid w:val="003A6D57"/>
    <w:rsid w:val="003A79CF"/>
    <w:rsid w:val="003B0624"/>
    <w:rsid w:val="003B1D45"/>
    <w:rsid w:val="003B654B"/>
    <w:rsid w:val="003C0496"/>
    <w:rsid w:val="003C1E3A"/>
    <w:rsid w:val="003C20D2"/>
    <w:rsid w:val="003C69C5"/>
    <w:rsid w:val="003D17D1"/>
    <w:rsid w:val="003D2F61"/>
    <w:rsid w:val="003D3207"/>
    <w:rsid w:val="003F0D90"/>
    <w:rsid w:val="003F4698"/>
    <w:rsid w:val="003F6A2D"/>
    <w:rsid w:val="00402DFA"/>
    <w:rsid w:val="00404652"/>
    <w:rsid w:val="00404812"/>
    <w:rsid w:val="00406DE7"/>
    <w:rsid w:val="00410898"/>
    <w:rsid w:val="00412FE8"/>
    <w:rsid w:val="00422ADA"/>
    <w:rsid w:val="00447C4D"/>
    <w:rsid w:val="00452186"/>
    <w:rsid w:val="004534DA"/>
    <w:rsid w:val="00457598"/>
    <w:rsid w:val="00460483"/>
    <w:rsid w:val="00462EDD"/>
    <w:rsid w:val="00463360"/>
    <w:rsid w:val="004646B7"/>
    <w:rsid w:val="00467DF6"/>
    <w:rsid w:val="00471326"/>
    <w:rsid w:val="004736D4"/>
    <w:rsid w:val="00481960"/>
    <w:rsid w:val="00482061"/>
    <w:rsid w:val="00485A39"/>
    <w:rsid w:val="00486E64"/>
    <w:rsid w:val="004A1474"/>
    <w:rsid w:val="004A74FD"/>
    <w:rsid w:val="004B13A9"/>
    <w:rsid w:val="004B2084"/>
    <w:rsid w:val="004B2D88"/>
    <w:rsid w:val="004C1FBE"/>
    <w:rsid w:val="004C330A"/>
    <w:rsid w:val="004C3B8B"/>
    <w:rsid w:val="004C59E2"/>
    <w:rsid w:val="004D2571"/>
    <w:rsid w:val="004D2E3A"/>
    <w:rsid w:val="004D4CE5"/>
    <w:rsid w:val="004D6725"/>
    <w:rsid w:val="004E4C87"/>
    <w:rsid w:val="004E5E97"/>
    <w:rsid w:val="004E629A"/>
    <w:rsid w:val="004F1F39"/>
    <w:rsid w:val="004F3B65"/>
    <w:rsid w:val="004F57F4"/>
    <w:rsid w:val="004F5E2D"/>
    <w:rsid w:val="00500C1E"/>
    <w:rsid w:val="0050199A"/>
    <w:rsid w:val="00504B2C"/>
    <w:rsid w:val="00505832"/>
    <w:rsid w:val="005117E9"/>
    <w:rsid w:val="005177E5"/>
    <w:rsid w:val="005210E1"/>
    <w:rsid w:val="005219EC"/>
    <w:rsid w:val="00524514"/>
    <w:rsid w:val="005347AB"/>
    <w:rsid w:val="005368CC"/>
    <w:rsid w:val="00541370"/>
    <w:rsid w:val="00546089"/>
    <w:rsid w:val="0054613D"/>
    <w:rsid w:val="00546C9B"/>
    <w:rsid w:val="00546EC5"/>
    <w:rsid w:val="005516C5"/>
    <w:rsid w:val="0055261A"/>
    <w:rsid w:val="00556171"/>
    <w:rsid w:val="005579D0"/>
    <w:rsid w:val="00561952"/>
    <w:rsid w:val="00564554"/>
    <w:rsid w:val="00566337"/>
    <w:rsid w:val="00567333"/>
    <w:rsid w:val="00575D0F"/>
    <w:rsid w:val="00591418"/>
    <w:rsid w:val="00594A0A"/>
    <w:rsid w:val="00594FFC"/>
    <w:rsid w:val="00595CB4"/>
    <w:rsid w:val="005961C3"/>
    <w:rsid w:val="005A20D3"/>
    <w:rsid w:val="005A4668"/>
    <w:rsid w:val="005B12C1"/>
    <w:rsid w:val="005B2575"/>
    <w:rsid w:val="005B7144"/>
    <w:rsid w:val="005C07AB"/>
    <w:rsid w:val="005C479D"/>
    <w:rsid w:val="005C4B73"/>
    <w:rsid w:val="005C5E89"/>
    <w:rsid w:val="005C6690"/>
    <w:rsid w:val="005D7D16"/>
    <w:rsid w:val="005E06C9"/>
    <w:rsid w:val="005E1B8E"/>
    <w:rsid w:val="005E259C"/>
    <w:rsid w:val="005E48D8"/>
    <w:rsid w:val="005E51C8"/>
    <w:rsid w:val="005E62C4"/>
    <w:rsid w:val="00604901"/>
    <w:rsid w:val="00605EF0"/>
    <w:rsid w:val="006065EA"/>
    <w:rsid w:val="00606D31"/>
    <w:rsid w:val="00610279"/>
    <w:rsid w:val="00610E47"/>
    <w:rsid w:val="0061233C"/>
    <w:rsid w:val="00612CC0"/>
    <w:rsid w:val="00613CF9"/>
    <w:rsid w:val="00614CCC"/>
    <w:rsid w:val="006174E7"/>
    <w:rsid w:val="00617884"/>
    <w:rsid w:val="00624B51"/>
    <w:rsid w:val="00625609"/>
    <w:rsid w:val="00632E80"/>
    <w:rsid w:val="006375D1"/>
    <w:rsid w:val="006378DA"/>
    <w:rsid w:val="00643878"/>
    <w:rsid w:val="006463A0"/>
    <w:rsid w:val="00646DF8"/>
    <w:rsid w:val="006521B8"/>
    <w:rsid w:val="006572EC"/>
    <w:rsid w:val="00662ABA"/>
    <w:rsid w:val="00671D9E"/>
    <w:rsid w:val="0067334E"/>
    <w:rsid w:val="00673D8B"/>
    <w:rsid w:val="006741EF"/>
    <w:rsid w:val="006755AE"/>
    <w:rsid w:val="0067743C"/>
    <w:rsid w:val="00685DE6"/>
    <w:rsid w:val="00685E57"/>
    <w:rsid w:val="00686FA6"/>
    <w:rsid w:val="00690B3D"/>
    <w:rsid w:val="006931EC"/>
    <w:rsid w:val="006A7C20"/>
    <w:rsid w:val="006B28FD"/>
    <w:rsid w:val="006C020F"/>
    <w:rsid w:val="006C0D63"/>
    <w:rsid w:val="006C1A58"/>
    <w:rsid w:val="006D28C9"/>
    <w:rsid w:val="006D3840"/>
    <w:rsid w:val="006E0632"/>
    <w:rsid w:val="006E0C76"/>
    <w:rsid w:val="006E180C"/>
    <w:rsid w:val="006E3E08"/>
    <w:rsid w:val="006E5C56"/>
    <w:rsid w:val="006F2B36"/>
    <w:rsid w:val="006F737A"/>
    <w:rsid w:val="00701EF5"/>
    <w:rsid w:val="00703A9F"/>
    <w:rsid w:val="00704119"/>
    <w:rsid w:val="00711F84"/>
    <w:rsid w:val="0071253D"/>
    <w:rsid w:val="0071255D"/>
    <w:rsid w:val="0071470B"/>
    <w:rsid w:val="00715D55"/>
    <w:rsid w:val="007161A4"/>
    <w:rsid w:val="00725099"/>
    <w:rsid w:val="00727B4D"/>
    <w:rsid w:val="00737D9C"/>
    <w:rsid w:val="007443AC"/>
    <w:rsid w:val="00744BE6"/>
    <w:rsid w:val="007454D1"/>
    <w:rsid w:val="00746B86"/>
    <w:rsid w:val="00750810"/>
    <w:rsid w:val="0075540A"/>
    <w:rsid w:val="00755F9F"/>
    <w:rsid w:val="007562D5"/>
    <w:rsid w:val="00762415"/>
    <w:rsid w:val="00762913"/>
    <w:rsid w:val="00763D71"/>
    <w:rsid w:val="00765E1B"/>
    <w:rsid w:val="00766571"/>
    <w:rsid w:val="00766F5C"/>
    <w:rsid w:val="00770EFE"/>
    <w:rsid w:val="00771207"/>
    <w:rsid w:val="00774F8E"/>
    <w:rsid w:val="0077633D"/>
    <w:rsid w:val="00783533"/>
    <w:rsid w:val="007904B8"/>
    <w:rsid w:val="007906C2"/>
    <w:rsid w:val="00792CE9"/>
    <w:rsid w:val="007956CF"/>
    <w:rsid w:val="00795E1E"/>
    <w:rsid w:val="007A2D9B"/>
    <w:rsid w:val="007A4A83"/>
    <w:rsid w:val="007B4A1E"/>
    <w:rsid w:val="007B4DAF"/>
    <w:rsid w:val="007C0440"/>
    <w:rsid w:val="007C2F48"/>
    <w:rsid w:val="007C3366"/>
    <w:rsid w:val="007D0000"/>
    <w:rsid w:val="007D23B2"/>
    <w:rsid w:val="007D2B1F"/>
    <w:rsid w:val="007D360A"/>
    <w:rsid w:val="007D7AD3"/>
    <w:rsid w:val="007D7EAC"/>
    <w:rsid w:val="007E0A37"/>
    <w:rsid w:val="007E5758"/>
    <w:rsid w:val="007F0F9D"/>
    <w:rsid w:val="007F3456"/>
    <w:rsid w:val="007F6E11"/>
    <w:rsid w:val="00802613"/>
    <w:rsid w:val="00805222"/>
    <w:rsid w:val="00805CFD"/>
    <w:rsid w:val="00805E31"/>
    <w:rsid w:val="008064C3"/>
    <w:rsid w:val="008069B8"/>
    <w:rsid w:val="0081532D"/>
    <w:rsid w:val="00816483"/>
    <w:rsid w:val="00817770"/>
    <w:rsid w:val="00817FE2"/>
    <w:rsid w:val="008228DA"/>
    <w:rsid w:val="0082503F"/>
    <w:rsid w:val="008266DC"/>
    <w:rsid w:val="00826B8C"/>
    <w:rsid w:val="00827678"/>
    <w:rsid w:val="00851FCA"/>
    <w:rsid w:val="008558DA"/>
    <w:rsid w:val="008575CF"/>
    <w:rsid w:val="00866207"/>
    <w:rsid w:val="00866F60"/>
    <w:rsid w:val="008675B6"/>
    <w:rsid w:val="0087384A"/>
    <w:rsid w:val="00875163"/>
    <w:rsid w:val="008751AC"/>
    <w:rsid w:val="00876B33"/>
    <w:rsid w:val="00876F54"/>
    <w:rsid w:val="00891CB8"/>
    <w:rsid w:val="00896C9C"/>
    <w:rsid w:val="008A1F73"/>
    <w:rsid w:val="008A2EDD"/>
    <w:rsid w:val="008A7F2D"/>
    <w:rsid w:val="008B19A8"/>
    <w:rsid w:val="008B262F"/>
    <w:rsid w:val="008B3888"/>
    <w:rsid w:val="008B4F22"/>
    <w:rsid w:val="008B5798"/>
    <w:rsid w:val="008B7ECB"/>
    <w:rsid w:val="008B7FC4"/>
    <w:rsid w:val="008C069D"/>
    <w:rsid w:val="008C1520"/>
    <w:rsid w:val="008C301A"/>
    <w:rsid w:val="008C571F"/>
    <w:rsid w:val="008C6648"/>
    <w:rsid w:val="008C6952"/>
    <w:rsid w:val="008D6C41"/>
    <w:rsid w:val="008E6F77"/>
    <w:rsid w:val="00902D10"/>
    <w:rsid w:val="009050F1"/>
    <w:rsid w:val="00907AAF"/>
    <w:rsid w:val="00910998"/>
    <w:rsid w:val="00911763"/>
    <w:rsid w:val="00916366"/>
    <w:rsid w:val="00916F4E"/>
    <w:rsid w:val="00917C50"/>
    <w:rsid w:val="009202F0"/>
    <w:rsid w:val="00924789"/>
    <w:rsid w:val="00924FFA"/>
    <w:rsid w:val="00926DDA"/>
    <w:rsid w:val="009344B8"/>
    <w:rsid w:val="0093576B"/>
    <w:rsid w:val="00936185"/>
    <w:rsid w:val="009434F2"/>
    <w:rsid w:val="0094450D"/>
    <w:rsid w:val="00947191"/>
    <w:rsid w:val="00951D19"/>
    <w:rsid w:val="00951FE9"/>
    <w:rsid w:val="00953D9B"/>
    <w:rsid w:val="00956031"/>
    <w:rsid w:val="00961596"/>
    <w:rsid w:val="009663F5"/>
    <w:rsid w:val="00966F76"/>
    <w:rsid w:val="0097212D"/>
    <w:rsid w:val="009751D6"/>
    <w:rsid w:val="009757FC"/>
    <w:rsid w:val="009763E5"/>
    <w:rsid w:val="009764B5"/>
    <w:rsid w:val="009767D9"/>
    <w:rsid w:val="00983B76"/>
    <w:rsid w:val="009852C6"/>
    <w:rsid w:val="00990378"/>
    <w:rsid w:val="00995445"/>
    <w:rsid w:val="009A395A"/>
    <w:rsid w:val="009B15CA"/>
    <w:rsid w:val="009B1B69"/>
    <w:rsid w:val="009B53EF"/>
    <w:rsid w:val="009B67A6"/>
    <w:rsid w:val="009C39F1"/>
    <w:rsid w:val="009C6833"/>
    <w:rsid w:val="009D318C"/>
    <w:rsid w:val="009E0E9E"/>
    <w:rsid w:val="009E1E2A"/>
    <w:rsid w:val="009E26CB"/>
    <w:rsid w:val="009F0A33"/>
    <w:rsid w:val="009F2F9C"/>
    <w:rsid w:val="009F35A1"/>
    <w:rsid w:val="00A00533"/>
    <w:rsid w:val="00A009DA"/>
    <w:rsid w:val="00A01093"/>
    <w:rsid w:val="00A117FE"/>
    <w:rsid w:val="00A12A52"/>
    <w:rsid w:val="00A1474C"/>
    <w:rsid w:val="00A206FB"/>
    <w:rsid w:val="00A279EE"/>
    <w:rsid w:val="00A27E16"/>
    <w:rsid w:val="00A30B78"/>
    <w:rsid w:val="00A31306"/>
    <w:rsid w:val="00A31AA0"/>
    <w:rsid w:val="00A32787"/>
    <w:rsid w:val="00A356D9"/>
    <w:rsid w:val="00A3722A"/>
    <w:rsid w:val="00A401BB"/>
    <w:rsid w:val="00A4024C"/>
    <w:rsid w:val="00A41702"/>
    <w:rsid w:val="00A43382"/>
    <w:rsid w:val="00A43D15"/>
    <w:rsid w:val="00A50748"/>
    <w:rsid w:val="00A54B7B"/>
    <w:rsid w:val="00A5782C"/>
    <w:rsid w:val="00A57B83"/>
    <w:rsid w:val="00A65B1B"/>
    <w:rsid w:val="00A727E2"/>
    <w:rsid w:val="00A741FA"/>
    <w:rsid w:val="00A7501A"/>
    <w:rsid w:val="00A77606"/>
    <w:rsid w:val="00A82676"/>
    <w:rsid w:val="00A84126"/>
    <w:rsid w:val="00A8572C"/>
    <w:rsid w:val="00A8610B"/>
    <w:rsid w:val="00A91D30"/>
    <w:rsid w:val="00A93963"/>
    <w:rsid w:val="00A942A1"/>
    <w:rsid w:val="00A9547E"/>
    <w:rsid w:val="00AA5388"/>
    <w:rsid w:val="00AA621C"/>
    <w:rsid w:val="00AA6F27"/>
    <w:rsid w:val="00AB057C"/>
    <w:rsid w:val="00AB0B76"/>
    <w:rsid w:val="00AB28A4"/>
    <w:rsid w:val="00AB685A"/>
    <w:rsid w:val="00AB6869"/>
    <w:rsid w:val="00AB6F8B"/>
    <w:rsid w:val="00AB7080"/>
    <w:rsid w:val="00AC064B"/>
    <w:rsid w:val="00AC7F09"/>
    <w:rsid w:val="00AD2F42"/>
    <w:rsid w:val="00AD6533"/>
    <w:rsid w:val="00AE2646"/>
    <w:rsid w:val="00AE47E0"/>
    <w:rsid w:val="00AE7250"/>
    <w:rsid w:val="00AF18DF"/>
    <w:rsid w:val="00AF344B"/>
    <w:rsid w:val="00AF5DDC"/>
    <w:rsid w:val="00B0208F"/>
    <w:rsid w:val="00B10EE0"/>
    <w:rsid w:val="00B203FA"/>
    <w:rsid w:val="00B2247E"/>
    <w:rsid w:val="00B24D1D"/>
    <w:rsid w:val="00B26235"/>
    <w:rsid w:val="00B26E90"/>
    <w:rsid w:val="00B274FB"/>
    <w:rsid w:val="00B31828"/>
    <w:rsid w:val="00B3193A"/>
    <w:rsid w:val="00B337A2"/>
    <w:rsid w:val="00B34F38"/>
    <w:rsid w:val="00B35C47"/>
    <w:rsid w:val="00B37C92"/>
    <w:rsid w:val="00B51171"/>
    <w:rsid w:val="00B54CEE"/>
    <w:rsid w:val="00B54D19"/>
    <w:rsid w:val="00B552B4"/>
    <w:rsid w:val="00B57AA0"/>
    <w:rsid w:val="00B61806"/>
    <w:rsid w:val="00B6322A"/>
    <w:rsid w:val="00B7131E"/>
    <w:rsid w:val="00B742C4"/>
    <w:rsid w:val="00B74F39"/>
    <w:rsid w:val="00B74F43"/>
    <w:rsid w:val="00B754B7"/>
    <w:rsid w:val="00B822E1"/>
    <w:rsid w:val="00B9015A"/>
    <w:rsid w:val="00B949A4"/>
    <w:rsid w:val="00B958C4"/>
    <w:rsid w:val="00B967AB"/>
    <w:rsid w:val="00B978BA"/>
    <w:rsid w:val="00BA2AB1"/>
    <w:rsid w:val="00BA2C2C"/>
    <w:rsid w:val="00BA6CA1"/>
    <w:rsid w:val="00BB571E"/>
    <w:rsid w:val="00BB7B2B"/>
    <w:rsid w:val="00BC00C3"/>
    <w:rsid w:val="00BC4F31"/>
    <w:rsid w:val="00BD0658"/>
    <w:rsid w:val="00BD4930"/>
    <w:rsid w:val="00BD5CD4"/>
    <w:rsid w:val="00BE2A8E"/>
    <w:rsid w:val="00BE4C1E"/>
    <w:rsid w:val="00BE5317"/>
    <w:rsid w:val="00BF12D9"/>
    <w:rsid w:val="00BF3F43"/>
    <w:rsid w:val="00BF4F61"/>
    <w:rsid w:val="00BF5A6E"/>
    <w:rsid w:val="00C006F3"/>
    <w:rsid w:val="00C00F4F"/>
    <w:rsid w:val="00C04320"/>
    <w:rsid w:val="00C04C8D"/>
    <w:rsid w:val="00C05404"/>
    <w:rsid w:val="00C05CF9"/>
    <w:rsid w:val="00C119B9"/>
    <w:rsid w:val="00C11A07"/>
    <w:rsid w:val="00C12F52"/>
    <w:rsid w:val="00C16C56"/>
    <w:rsid w:val="00C17FF6"/>
    <w:rsid w:val="00C217D0"/>
    <w:rsid w:val="00C328D8"/>
    <w:rsid w:val="00C4087B"/>
    <w:rsid w:val="00C44F55"/>
    <w:rsid w:val="00C54D7C"/>
    <w:rsid w:val="00C57299"/>
    <w:rsid w:val="00C66224"/>
    <w:rsid w:val="00C725A9"/>
    <w:rsid w:val="00C72CFC"/>
    <w:rsid w:val="00C8470A"/>
    <w:rsid w:val="00C86A0B"/>
    <w:rsid w:val="00C86B56"/>
    <w:rsid w:val="00C874E5"/>
    <w:rsid w:val="00C90AAB"/>
    <w:rsid w:val="00C9247C"/>
    <w:rsid w:val="00CA2870"/>
    <w:rsid w:val="00CB3FEF"/>
    <w:rsid w:val="00CB5067"/>
    <w:rsid w:val="00CC1F0B"/>
    <w:rsid w:val="00CC2EB7"/>
    <w:rsid w:val="00CC480B"/>
    <w:rsid w:val="00CC5242"/>
    <w:rsid w:val="00CD38A7"/>
    <w:rsid w:val="00CE5A51"/>
    <w:rsid w:val="00CE5D54"/>
    <w:rsid w:val="00CE779B"/>
    <w:rsid w:val="00CF1D27"/>
    <w:rsid w:val="00CF215F"/>
    <w:rsid w:val="00CF3E47"/>
    <w:rsid w:val="00CF5EEC"/>
    <w:rsid w:val="00CF785C"/>
    <w:rsid w:val="00D05561"/>
    <w:rsid w:val="00D065FF"/>
    <w:rsid w:val="00D06D22"/>
    <w:rsid w:val="00D072EB"/>
    <w:rsid w:val="00D13040"/>
    <w:rsid w:val="00D179F4"/>
    <w:rsid w:val="00D22DEE"/>
    <w:rsid w:val="00D242DB"/>
    <w:rsid w:val="00D304C8"/>
    <w:rsid w:val="00D310CA"/>
    <w:rsid w:val="00D317D7"/>
    <w:rsid w:val="00D36139"/>
    <w:rsid w:val="00D36254"/>
    <w:rsid w:val="00D379A6"/>
    <w:rsid w:val="00D4303F"/>
    <w:rsid w:val="00D47B68"/>
    <w:rsid w:val="00D5096B"/>
    <w:rsid w:val="00D52F19"/>
    <w:rsid w:val="00D60D96"/>
    <w:rsid w:val="00D6583C"/>
    <w:rsid w:val="00D658BC"/>
    <w:rsid w:val="00D66D1A"/>
    <w:rsid w:val="00D67DB2"/>
    <w:rsid w:val="00D77D4C"/>
    <w:rsid w:val="00D806D4"/>
    <w:rsid w:val="00D84D6F"/>
    <w:rsid w:val="00D9187E"/>
    <w:rsid w:val="00D91B29"/>
    <w:rsid w:val="00D951FD"/>
    <w:rsid w:val="00D961E8"/>
    <w:rsid w:val="00DA31A7"/>
    <w:rsid w:val="00DA69F2"/>
    <w:rsid w:val="00DA7207"/>
    <w:rsid w:val="00DC23E0"/>
    <w:rsid w:val="00DC5186"/>
    <w:rsid w:val="00DC5C5E"/>
    <w:rsid w:val="00DC79F7"/>
    <w:rsid w:val="00DD142F"/>
    <w:rsid w:val="00DE03AE"/>
    <w:rsid w:val="00DE2067"/>
    <w:rsid w:val="00DE2BF2"/>
    <w:rsid w:val="00DF1815"/>
    <w:rsid w:val="00DF25E5"/>
    <w:rsid w:val="00DF2D59"/>
    <w:rsid w:val="00E0024B"/>
    <w:rsid w:val="00E018C1"/>
    <w:rsid w:val="00E01E7F"/>
    <w:rsid w:val="00E02295"/>
    <w:rsid w:val="00E031D6"/>
    <w:rsid w:val="00E05B89"/>
    <w:rsid w:val="00E13456"/>
    <w:rsid w:val="00E22CC2"/>
    <w:rsid w:val="00E23B58"/>
    <w:rsid w:val="00E23E84"/>
    <w:rsid w:val="00E257DE"/>
    <w:rsid w:val="00E36579"/>
    <w:rsid w:val="00E4779E"/>
    <w:rsid w:val="00E546BE"/>
    <w:rsid w:val="00E54FF5"/>
    <w:rsid w:val="00E64D21"/>
    <w:rsid w:val="00E70CA1"/>
    <w:rsid w:val="00E71DDA"/>
    <w:rsid w:val="00E738B5"/>
    <w:rsid w:val="00E755C1"/>
    <w:rsid w:val="00E768FB"/>
    <w:rsid w:val="00E80BF7"/>
    <w:rsid w:val="00E824D1"/>
    <w:rsid w:val="00E82E16"/>
    <w:rsid w:val="00E86571"/>
    <w:rsid w:val="00E90498"/>
    <w:rsid w:val="00EA1372"/>
    <w:rsid w:val="00EA14F2"/>
    <w:rsid w:val="00EA59F1"/>
    <w:rsid w:val="00EB3A6C"/>
    <w:rsid w:val="00EB3C25"/>
    <w:rsid w:val="00EC0BF0"/>
    <w:rsid w:val="00EC0DB5"/>
    <w:rsid w:val="00EC3172"/>
    <w:rsid w:val="00EC3C0A"/>
    <w:rsid w:val="00ED0099"/>
    <w:rsid w:val="00ED283D"/>
    <w:rsid w:val="00ED3A3B"/>
    <w:rsid w:val="00EE1774"/>
    <w:rsid w:val="00EE1E3F"/>
    <w:rsid w:val="00EE36BF"/>
    <w:rsid w:val="00EE432B"/>
    <w:rsid w:val="00EF7B35"/>
    <w:rsid w:val="00F02835"/>
    <w:rsid w:val="00F12ACB"/>
    <w:rsid w:val="00F216FB"/>
    <w:rsid w:val="00F329D4"/>
    <w:rsid w:val="00F420AA"/>
    <w:rsid w:val="00F45E96"/>
    <w:rsid w:val="00F476B7"/>
    <w:rsid w:val="00F50173"/>
    <w:rsid w:val="00F501A3"/>
    <w:rsid w:val="00F50E77"/>
    <w:rsid w:val="00F56F09"/>
    <w:rsid w:val="00F62ABE"/>
    <w:rsid w:val="00F669B6"/>
    <w:rsid w:val="00F7025B"/>
    <w:rsid w:val="00F72BA2"/>
    <w:rsid w:val="00F76C1B"/>
    <w:rsid w:val="00F77E8C"/>
    <w:rsid w:val="00F845C5"/>
    <w:rsid w:val="00F85F64"/>
    <w:rsid w:val="00F86CE3"/>
    <w:rsid w:val="00F87135"/>
    <w:rsid w:val="00F965C9"/>
    <w:rsid w:val="00FA0786"/>
    <w:rsid w:val="00FA4C53"/>
    <w:rsid w:val="00FA57FA"/>
    <w:rsid w:val="00FA7405"/>
    <w:rsid w:val="00FA77A9"/>
    <w:rsid w:val="00FB5C4B"/>
    <w:rsid w:val="00FC0372"/>
    <w:rsid w:val="00FC0E33"/>
    <w:rsid w:val="00FC4468"/>
    <w:rsid w:val="00FF0783"/>
    <w:rsid w:val="00FF0F8E"/>
    <w:rsid w:val="00FF156D"/>
    <w:rsid w:val="00FF257E"/>
    <w:rsid w:val="00FF4140"/>
    <w:rsid w:val="00FF56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basedOn w:val="DefaultParagraphFont"/>
    <w:semiHidden/>
    <w:rsid w:val="00876F54"/>
    <w:rPr>
      <w:color w:val="0000FF"/>
      <w:u w:val="single"/>
    </w:rPr>
  </w:style>
  <w:style w:type="character" w:styleId="FollowedHyperlink">
    <w:name w:val="FollowedHyperlink"/>
    <w:basedOn w:val="DefaultParagraphFont"/>
    <w:semiHidden/>
    <w:rsid w:val="00876F54"/>
    <w:rPr>
      <w:color w:val="800080"/>
      <w:u w:val="single"/>
    </w:rPr>
  </w:style>
  <w:style w:type="paragraph" w:styleId="CommentText">
    <w:name w:val="annotation text"/>
    <w:basedOn w:val="Normal"/>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basedOn w:val="DefaultParagraphFont"/>
    <w:semiHidden/>
    <w:rsid w:val="00876F54"/>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character" w:customStyle="1" w:styleId="Heading3Char">
    <w:name w:val="Heading 3 Char"/>
    <w:basedOn w:val="DefaultParagraphFont"/>
    <w:link w:val="Heading3"/>
    <w:rsid w:val="00C328D8"/>
    <w:rPr>
      <w:rFonts w:cs="Simplified Arabic"/>
      <w:b/>
      <w:bCs/>
      <w:sz w:val="22"/>
      <w:szCs w:val="22"/>
      <w:lang w:eastAsia="ar-SA"/>
    </w:rPr>
  </w:style>
  <w:style w:type="table" w:styleId="TableGrid">
    <w:name w:val="Table Grid"/>
    <w:basedOn w:val="TableNormal"/>
    <w:uiPriority w:val="59"/>
    <w:rsid w:val="002F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E0024B"/>
    <w:rPr>
      <w:rFonts w:cs="Simplified Arabic"/>
      <w:snapToGrid w:val="0"/>
    </w:rPr>
  </w:style>
  <w:style w:type="character" w:customStyle="1" w:styleId="Heading1Char">
    <w:name w:val="Heading 1 Char"/>
    <w:basedOn w:val="DefaultParagraphFont"/>
    <w:link w:val="Heading1"/>
    <w:rsid w:val="00685E57"/>
    <w:rPr>
      <w:b/>
      <w:bCs/>
      <w:sz w:val="24"/>
      <w:szCs w:val="24"/>
      <w:lang w:eastAsia="ar-SA"/>
    </w:rPr>
  </w:style>
  <w:style w:type="character" w:customStyle="1" w:styleId="Heading4Char">
    <w:name w:val="Heading 4 Char"/>
    <w:basedOn w:val="DefaultParagraphFont"/>
    <w:link w:val="Heading4"/>
    <w:rsid w:val="0075540A"/>
    <w:rPr>
      <w:rFonts w:cs="Simplified Arabic"/>
      <w:b/>
      <w:bCs/>
      <w:sz w:val="24"/>
      <w:szCs w:val="24"/>
      <w:lang w:eastAsia="ar-SA"/>
    </w:rPr>
  </w:style>
  <w:style w:type="paragraph" w:styleId="ListParagraph">
    <w:name w:val="List Paragraph"/>
    <w:basedOn w:val="Normal"/>
    <w:uiPriority w:val="34"/>
    <w:qFormat/>
    <w:rsid w:val="00A65B1B"/>
    <w:pPr>
      <w:ind w:left="720"/>
      <w:contextualSpacing/>
    </w:pPr>
  </w:style>
</w:styles>
</file>

<file path=word/webSettings.xml><?xml version="1.0" encoding="utf-8"?>
<w:webSettings xmlns:r="http://schemas.openxmlformats.org/officeDocument/2006/relationships" xmlns:w="http://schemas.openxmlformats.org/wordprocessingml/2006/main">
  <w:divs>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271059187">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18"/>
  <c:chart>
    <c:title>
      <c:tx>
        <c:rich>
          <a:bodyPr/>
          <a:lstStyle/>
          <a:p>
            <a:pPr>
              <a:defRPr/>
            </a:pPr>
            <a:r>
              <a:rPr lang="ar-SA"/>
              <a:t>
  </a:t>
            </a:r>
          </a:p>
        </c:rich>
      </c:tx>
      <c:layout>
        <c:manualLayout>
          <c:xMode val="edge"/>
          <c:yMode val="edge"/>
          <c:x val="0.49659854508398532"/>
          <c:y val="2.1333445919796842E-2"/>
        </c:manualLayout>
      </c:layout>
    </c:title>
    <c:view3D>
      <c:rotX val="0"/>
      <c:hPercent val="163"/>
      <c:rotY val="0"/>
      <c:depthPercent val="1710"/>
      <c:rAngAx val="1"/>
    </c:view3D>
    <c:plotArea>
      <c:layout>
        <c:manualLayout>
          <c:layoutTarget val="inner"/>
          <c:xMode val="edge"/>
          <c:yMode val="edge"/>
          <c:x val="0.10853066094011062"/>
          <c:y val="2.5442498746691546E-2"/>
          <c:w val="0.83790847053209638"/>
          <c:h val="0.74351850853597401"/>
        </c:manualLayout>
      </c:layout>
      <c:bar3DChart>
        <c:barDir val="bar"/>
        <c:grouping val="stacked"/>
        <c:ser>
          <c:idx val="0"/>
          <c:order val="0"/>
          <c:tx>
            <c:strRef>
              <c:f>Sheet1!$B$6:$B$6</c:f>
              <c:strCache>
                <c:ptCount val="1"/>
                <c:pt idx="0">
                  <c:v>اناث</c:v>
                </c:pt>
              </c:strCache>
            </c:strRef>
          </c:tx>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c:spPr>
          <c:dPt>
            <c:idx val="11"/>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a:scene3d>
                <a:camera prst="orthographicFront"/>
                <a:lightRig rig="threePt" dir="t"/>
              </a:scene3d>
              <a:sp3d>
                <a:bevelT/>
              </a:sp3d>
            </c:spPr>
          </c:dPt>
          <c:dPt>
            <c:idx val="12"/>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a:scene3d>
                <a:camera prst="orthographicFront"/>
                <a:lightRig rig="threePt" dir="t"/>
              </a:scene3d>
              <a:sp3d>
                <a:bevelT/>
              </a:sp3d>
            </c:spPr>
          </c:dPt>
          <c:dPt>
            <c:idx val="13"/>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a:scene3d>
                <a:camera prst="orthographicFront"/>
                <a:lightRig rig="threePt" dir="t"/>
              </a:scene3d>
              <a:sp3d>
                <a:bevelT/>
              </a:sp3d>
            </c:spPr>
          </c:dPt>
          <c:cat>
            <c:strRef>
              <c:f>Sheet1!$A$7:$A$23</c:f>
              <c:strCache>
                <c:ptCount val="17"/>
                <c:pt idx="0">
                  <c:v>+80</c:v>
                </c:pt>
                <c:pt idx="1">
                  <c:v>79-75</c:v>
                </c:pt>
                <c:pt idx="2">
                  <c:v>74-70</c:v>
                </c:pt>
                <c:pt idx="3">
                  <c:v>69-65</c:v>
                </c:pt>
                <c:pt idx="4">
                  <c:v>64-60</c:v>
                </c:pt>
                <c:pt idx="5">
                  <c:v>59-55</c:v>
                </c:pt>
                <c:pt idx="6">
                  <c:v>54-50</c:v>
                </c:pt>
                <c:pt idx="7">
                  <c:v>49-45</c:v>
                </c:pt>
                <c:pt idx="8">
                  <c:v>44-40</c:v>
                </c:pt>
                <c:pt idx="9">
                  <c:v>39-35</c:v>
                </c:pt>
                <c:pt idx="10">
                  <c:v>34-30</c:v>
                </c:pt>
                <c:pt idx="11">
                  <c:v>29-25</c:v>
                </c:pt>
                <c:pt idx="12">
                  <c:v>24-20</c:v>
                </c:pt>
                <c:pt idx="13">
                  <c:v>19-15</c:v>
                </c:pt>
                <c:pt idx="14">
                  <c:v>14-10</c:v>
                </c:pt>
                <c:pt idx="15">
                  <c:v>9-5</c:v>
                </c:pt>
                <c:pt idx="16">
                  <c:v>4-0</c:v>
                </c:pt>
              </c:strCache>
            </c:strRef>
          </c:cat>
          <c:val>
            <c:numRef>
              <c:f>Sheet1!$B$7:$B$23</c:f>
              <c:numCache>
                <c:formatCode>#,##0.0_-;[Red]#,##0.0</c:formatCode>
                <c:ptCount val="17"/>
                <c:pt idx="0">
                  <c:v>-17.582999999999881</c:v>
                </c:pt>
                <c:pt idx="1">
                  <c:v>-14.047000000000001</c:v>
                </c:pt>
                <c:pt idx="2">
                  <c:v>-21.306999999999999</c:v>
                </c:pt>
                <c:pt idx="3">
                  <c:v>-29.524999999999999</c:v>
                </c:pt>
                <c:pt idx="4">
                  <c:v>-41.256</c:v>
                </c:pt>
                <c:pt idx="5">
                  <c:v>-57.223000000000013</c:v>
                </c:pt>
                <c:pt idx="6">
                  <c:v>-78.134999999999991</c:v>
                </c:pt>
                <c:pt idx="7">
                  <c:v>-90.021000000000001</c:v>
                </c:pt>
                <c:pt idx="8">
                  <c:v>-111.23099999999999</c:v>
                </c:pt>
                <c:pt idx="9">
                  <c:v>-128.99800000000027</c:v>
                </c:pt>
                <c:pt idx="10">
                  <c:v>-151.76899999999998</c:v>
                </c:pt>
                <c:pt idx="11">
                  <c:v>-198.15</c:v>
                </c:pt>
                <c:pt idx="12">
                  <c:v>-234.02600000000001</c:v>
                </c:pt>
                <c:pt idx="13">
                  <c:v>-238.88000000000076</c:v>
                </c:pt>
                <c:pt idx="14">
                  <c:v>-266.33599999999899</c:v>
                </c:pt>
                <c:pt idx="15">
                  <c:v>-301.72799999999899</c:v>
                </c:pt>
                <c:pt idx="16">
                  <c:v>-317.77299999999963</c:v>
                </c:pt>
              </c:numCache>
            </c:numRef>
          </c:val>
        </c:ser>
        <c:ser>
          <c:idx val="1"/>
          <c:order val="1"/>
          <c:tx>
            <c:strRef>
              <c:f>Sheet1!$C$6:$C$6</c:f>
              <c:strCache>
                <c:ptCount val="1"/>
                <c:pt idx="0">
                  <c:v>ذكور</c:v>
                </c:pt>
              </c:strCache>
            </c:strRef>
          </c:tx>
          <c:dPt>
            <c:idx val="11"/>
            <c:spPr>
              <a:scene3d>
                <a:camera prst="orthographicFront"/>
                <a:lightRig rig="threePt" dir="t"/>
              </a:scene3d>
              <a:sp3d>
                <a:bevelT/>
              </a:sp3d>
            </c:spPr>
          </c:dPt>
          <c:dPt>
            <c:idx val="12"/>
            <c:spPr>
              <a:scene3d>
                <a:camera prst="orthographicFront"/>
                <a:lightRig rig="threePt" dir="t"/>
              </a:scene3d>
              <a:sp3d>
                <a:bevelT/>
              </a:sp3d>
            </c:spPr>
          </c:dPt>
          <c:dPt>
            <c:idx val="13"/>
            <c:spPr>
              <a:scene3d>
                <a:camera prst="orthographicFront"/>
                <a:lightRig rig="threePt" dir="t"/>
              </a:scene3d>
              <a:sp3d>
                <a:bevelT/>
              </a:sp3d>
            </c:spPr>
          </c:dPt>
          <c:cat>
            <c:strRef>
              <c:f>Sheet1!$A$7:$A$23</c:f>
              <c:strCache>
                <c:ptCount val="17"/>
                <c:pt idx="0">
                  <c:v>+80</c:v>
                </c:pt>
                <c:pt idx="1">
                  <c:v>79-75</c:v>
                </c:pt>
                <c:pt idx="2">
                  <c:v>74-70</c:v>
                </c:pt>
                <c:pt idx="3">
                  <c:v>69-65</c:v>
                </c:pt>
                <c:pt idx="4">
                  <c:v>64-60</c:v>
                </c:pt>
                <c:pt idx="5">
                  <c:v>59-55</c:v>
                </c:pt>
                <c:pt idx="6">
                  <c:v>54-50</c:v>
                </c:pt>
                <c:pt idx="7">
                  <c:v>49-45</c:v>
                </c:pt>
                <c:pt idx="8">
                  <c:v>44-40</c:v>
                </c:pt>
                <c:pt idx="9">
                  <c:v>39-35</c:v>
                </c:pt>
                <c:pt idx="10">
                  <c:v>34-30</c:v>
                </c:pt>
                <c:pt idx="11">
                  <c:v>29-25</c:v>
                </c:pt>
                <c:pt idx="12">
                  <c:v>24-20</c:v>
                </c:pt>
                <c:pt idx="13">
                  <c:v>19-15</c:v>
                </c:pt>
                <c:pt idx="14">
                  <c:v>14-10</c:v>
                </c:pt>
                <c:pt idx="15">
                  <c:v>9-5</c:v>
                </c:pt>
                <c:pt idx="16">
                  <c:v>4-0</c:v>
                </c:pt>
              </c:strCache>
            </c:strRef>
          </c:cat>
          <c:val>
            <c:numRef>
              <c:f>Sheet1!$C$7:$C$23</c:f>
              <c:numCache>
                <c:formatCode>0.0</c:formatCode>
                <c:ptCount val="17"/>
                <c:pt idx="0">
                  <c:v>11.407</c:v>
                </c:pt>
                <c:pt idx="1">
                  <c:v>9.6610000000000014</c:v>
                </c:pt>
                <c:pt idx="2">
                  <c:v>18.248999999999889</c:v>
                </c:pt>
                <c:pt idx="3">
                  <c:v>29.629000000000001</c:v>
                </c:pt>
                <c:pt idx="4">
                  <c:v>40.598000000000013</c:v>
                </c:pt>
                <c:pt idx="5">
                  <c:v>60.708000000000013</c:v>
                </c:pt>
                <c:pt idx="6">
                  <c:v>83.977000000000004</c:v>
                </c:pt>
                <c:pt idx="7">
                  <c:v>94.438000000000002</c:v>
                </c:pt>
                <c:pt idx="8">
                  <c:v>113.82599999999998</c:v>
                </c:pt>
                <c:pt idx="9">
                  <c:v>128.59700000000001</c:v>
                </c:pt>
                <c:pt idx="10">
                  <c:v>153.065</c:v>
                </c:pt>
                <c:pt idx="11">
                  <c:v>206.86200000000076</c:v>
                </c:pt>
                <c:pt idx="12">
                  <c:v>244.95200000000077</c:v>
                </c:pt>
                <c:pt idx="13">
                  <c:v>249.34900000000002</c:v>
                </c:pt>
                <c:pt idx="14">
                  <c:v>278.714</c:v>
                </c:pt>
                <c:pt idx="15">
                  <c:v>316.42099999999863</c:v>
                </c:pt>
                <c:pt idx="16">
                  <c:v>335.26099999999963</c:v>
                </c:pt>
              </c:numCache>
            </c:numRef>
          </c:val>
        </c:ser>
        <c:gapWidth val="0"/>
        <c:gapDepth val="0"/>
        <c:shape val="box"/>
        <c:axId val="122837248"/>
        <c:axId val="122843520"/>
        <c:axId val="0"/>
      </c:bar3DChart>
      <c:catAx>
        <c:axId val="122837248"/>
        <c:scaling>
          <c:orientation val="maxMin"/>
        </c:scaling>
        <c:axPos val="l"/>
        <c:title>
          <c:tx>
            <c:rich>
              <a:bodyPr/>
              <a:lstStyle/>
              <a:p>
                <a:pPr>
                  <a:defRPr sz="800">
                    <a:latin typeface="Arial" pitchFamily="34" charset="0"/>
                    <a:cs typeface="Arial" pitchFamily="34" charset="0"/>
                  </a:defRPr>
                </a:pPr>
                <a:r>
                  <a:rPr lang="ar-SA" sz="800">
                    <a:latin typeface="Arial" pitchFamily="34" charset="0"/>
                    <a:cs typeface="Arial" pitchFamily="34" charset="0"/>
                  </a:rPr>
                  <a:t> الفئة العمرية   </a:t>
                </a:r>
              </a:p>
            </c:rich>
          </c:tx>
          <c:layout>
            <c:manualLayout>
              <c:xMode val="edge"/>
              <c:yMode val="edge"/>
              <c:x val="5.0340062037699827E-2"/>
              <c:y val="0.34953912111468538"/>
            </c:manualLayout>
          </c:layout>
        </c:title>
        <c:numFmt formatCode="0.00" sourceLinked="0"/>
        <c:tickLblPos val="low"/>
        <c:txPr>
          <a:bodyPr rot="0" vert="horz"/>
          <a:lstStyle/>
          <a:p>
            <a:pPr>
              <a:defRPr sz="800">
                <a:latin typeface="Arial" pitchFamily="34" charset="0"/>
                <a:cs typeface="Arial" pitchFamily="34" charset="0"/>
              </a:defRPr>
            </a:pPr>
            <a:endParaRPr lang="ar-SA"/>
          </a:p>
        </c:txPr>
        <c:crossAx val="122843520"/>
        <c:crossesAt val="350"/>
        <c:lblAlgn val="ctr"/>
        <c:lblOffset val="100"/>
        <c:tickLblSkip val="1"/>
        <c:tickMarkSkip val="1"/>
      </c:catAx>
      <c:valAx>
        <c:axId val="122843520"/>
        <c:scaling>
          <c:orientation val="minMax"/>
          <c:max val="350"/>
          <c:min val="-350"/>
        </c:scaling>
        <c:axPos val="b"/>
        <c:title>
          <c:tx>
            <c:rich>
              <a:bodyPr/>
              <a:lstStyle/>
              <a:p>
                <a:pPr>
                  <a:defRPr sz="800">
                    <a:latin typeface="Arial" pitchFamily="34" charset="0"/>
                    <a:cs typeface="Arial" pitchFamily="34" charset="0"/>
                  </a:defRPr>
                </a:pPr>
                <a:r>
                  <a:rPr lang="ar-SA" sz="800">
                    <a:latin typeface="Arial" pitchFamily="34" charset="0"/>
                    <a:cs typeface="Arial" pitchFamily="34" charset="0"/>
                  </a:rPr>
                  <a:t>عدد السكان بالآلاف</a:t>
                </a:r>
              </a:p>
            </c:rich>
          </c:tx>
          <c:layout>
            <c:manualLayout>
              <c:xMode val="edge"/>
              <c:yMode val="edge"/>
              <c:x val="0.4642747575714713"/>
              <c:y val="0.91248415491471857"/>
            </c:manualLayout>
          </c:layout>
        </c:title>
        <c:numFmt formatCode="#,##0_-;[Red]#,##0" sourceLinked="0"/>
        <c:tickLblPos val="nextTo"/>
        <c:txPr>
          <a:bodyPr rot="-5400000" vert="horz"/>
          <a:lstStyle/>
          <a:p>
            <a:pPr>
              <a:defRPr sz="800">
                <a:latin typeface="Arial" pitchFamily="34" charset="0"/>
                <a:cs typeface="Arial" pitchFamily="34" charset="0"/>
              </a:defRPr>
            </a:pPr>
            <a:endParaRPr lang="ar-SA"/>
          </a:p>
        </c:txPr>
        <c:crossAx val="122837248"/>
        <c:crosses val="max"/>
        <c:crossBetween val="between"/>
        <c:majorUnit val="50"/>
        <c:minorUnit val="10"/>
      </c:valAx>
      <c:spPr>
        <a:ln>
          <a:noFill/>
        </a:ln>
      </c:spPr>
    </c:plotArea>
    <c:legend>
      <c:legendPos val="r"/>
      <c:layout>
        <c:manualLayout>
          <c:xMode val="edge"/>
          <c:yMode val="edge"/>
          <c:x val="0.59541138196048204"/>
          <c:y val="9.6000241349141688E-2"/>
          <c:w val="0.27509315109196253"/>
          <c:h val="9.8666835546372969E-2"/>
        </c:manualLayout>
      </c:layout>
      <c:txPr>
        <a:bodyPr/>
        <a:lstStyle/>
        <a:p>
          <a:pPr>
            <a:defRPr sz="800"/>
          </a:pPr>
          <a:endParaRPr lang="ar-SA"/>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0.45075</cdr:x>
      <cdr:y>0.71275</cdr:y>
    </cdr:from>
    <cdr:to>
      <cdr:x>0.60725</cdr:x>
      <cdr:y>0.758</cdr:y>
    </cdr:to>
    <cdr:sp macro="" textlink="">
      <cdr:nvSpPr>
        <cdr:cNvPr id="128001" name="Text Box 1"/>
        <cdr:cNvSpPr txBox="1">
          <a:spLocks xmlns:a="http://schemas.openxmlformats.org/drawingml/2006/main" noChangeArrowheads="1"/>
        </cdr:cNvSpPr>
      </cdr:nvSpPr>
      <cdr:spPr bwMode="auto">
        <a:xfrm xmlns:a="http://schemas.openxmlformats.org/drawingml/2006/main">
          <a:off x="2524516" y="2545854"/>
          <a:ext cx="876509" cy="1616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ar-SA"/>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82A8-1BB8-4C96-8B76-63BA5F40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hbadran</cp:lastModifiedBy>
  <cp:revision>6</cp:revision>
  <cp:lastPrinted>2018-08-09T09:19:00Z</cp:lastPrinted>
  <dcterms:created xsi:type="dcterms:W3CDTF">2018-08-09T08:44:00Z</dcterms:created>
  <dcterms:modified xsi:type="dcterms:W3CDTF">2018-08-09T09:20:00Z</dcterms:modified>
</cp:coreProperties>
</file>