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B2" w:rsidRDefault="00EC09B2" w:rsidP="00EC09B2">
      <w:pPr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EC09B2" w:rsidRDefault="00EC09B2" w:rsidP="00EC09B2">
      <w:pPr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EC09B2" w:rsidRDefault="00EC09B2" w:rsidP="00EC09B2">
      <w:pPr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</w:p>
    <w:p w:rsidR="00812090" w:rsidRPr="007D4272" w:rsidRDefault="00EC09B2" w:rsidP="00EC09B2">
      <w:pPr>
        <w:jc w:val="center"/>
        <w:rPr>
          <w:rFonts w:cs="Simplified Arabic"/>
          <w:b/>
          <w:bCs/>
          <w:color w:val="000000"/>
          <w:sz w:val="30"/>
          <w:szCs w:val="30"/>
          <w:rtl/>
        </w:rPr>
      </w:pPr>
      <w:r w:rsidRPr="007D4272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الاحصاء الفلسطيني: </w:t>
      </w:r>
      <w:r w:rsidR="005F1AB1" w:rsidRPr="007D4272">
        <w:rPr>
          <w:rFonts w:cs="Simplified Arabic" w:hint="cs"/>
          <w:b/>
          <w:bCs/>
          <w:color w:val="000000"/>
          <w:sz w:val="30"/>
          <w:szCs w:val="30"/>
          <w:rtl/>
        </w:rPr>
        <w:t>انخفاض</w:t>
      </w:r>
      <w:r w:rsidR="00C26C78" w:rsidRPr="007D4272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 طفيف على</w:t>
      </w:r>
      <w:r w:rsidR="00243196" w:rsidRPr="007D4272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="002E6C13" w:rsidRPr="007D4272">
        <w:rPr>
          <w:rFonts w:cs="Simplified Arabic" w:hint="cs"/>
          <w:b/>
          <w:bCs/>
          <w:color w:val="000000"/>
          <w:sz w:val="30"/>
          <w:szCs w:val="30"/>
          <w:rtl/>
        </w:rPr>
        <w:t>مؤشر غلاء المعيشة</w:t>
      </w:r>
      <w:r w:rsidR="005B0706" w:rsidRPr="007D4272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 خلال شهر </w:t>
      </w:r>
      <w:r w:rsidR="00645921" w:rsidRPr="007D4272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كانون </w:t>
      </w:r>
      <w:r w:rsidR="00C26C78" w:rsidRPr="007D4272">
        <w:rPr>
          <w:rFonts w:cs="Simplified Arabic" w:hint="cs"/>
          <w:b/>
          <w:bCs/>
          <w:color w:val="000000"/>
          <w:sz w:val="30"/>
          <w:szCs w:val="30"/>
          <w:rtl/>
        </w:rPr>
        <w:t>ثاني</w:t>
      </w:r>
      <w:r w:rsidRPr="007D4272">
        <w:rPr>
          <w:rFonts w:cs="Simplified Arabic" w:hint="cs"/>
          <w:b/>
          <w:bCs/>
          <w:color w:val="000000"/>
          <w:sz w:val="30"/>
          <w:szCs w:val="30"/>
          <w:rtl/>
        </w:rPr>
        <w:t>، 01/2020</w:t>
      </w:r>
    </w:p>
    <w:p w:rsidR="00255EAF" w:rsidRPr="0051104D" w:rsidRDefault="00255EAF" w:rsidP="00A4094C">
      <w:pPr>
        <w:jc w:val="both"/>
        <w:rPr>
          <w:rFonts w:cs="Simplified Arabic"/>
          <w:sz w:val="12"/>
          <w:szCs w:val="12"/>
          <w:rtl/>
        </w:rPr>
      </w:pPr>
    </w:p>
    <w:p w:rsidR="00EC09B2" w:rsidRDefault="00EC09B2" w:rsidP="00895A9B">
      <w:pPr>
        <w:jc w:val="both"/>
        <w:rPr>
          <w:rFonts w:cs="Simplified Arabic"/>
          <w:sz w:val="26"/>
          <w:szCs w:val="26"/>
          <w:rtl/>
        </w:rPr>
      </w:pPr>
    </w:p>
    <w:p w:rsidR="007A599C" w:rsidRPr="00EC09B2" w:rsidRDefault="000901F8" w:rsidP="00895A9B">
      <w:pPr>
        <w:jc w:val="both"/>
        <w:rPr>
          <w:rFonts w:cs="Simplified Arabic"/>
          <w:sz w:val="26"/>
          <w:szCs w:val="26"/>
          <w:rtl/>
        </w:rPr>
      </w:pPr>
      <w:r w:rsidRPr="00EC09B2">
        <w:rPr>
          <w:rFonts w:cs="Simplified Arabic" w:hint="cs"/>
          <w:sz w:val="26"/>
          <w:szCs w:val="26"/>
          <w:rtl/>
        </w:rPr>
        <w:t xml:space="preserve">سجل الرقم </w:t>
      </w:r>
      <w:r w:rsidR="007A599C" w:rsidRPr="00EC09B2">
        <w:rPr>
          <w:rFonts w:cs="Simplified Arabic" w:hint="cs"/>
          <w:sz w:val="26"/>
          <w:szCs w:val="26"/>
          <w:rtl/>
        </w:rPr>
        <w:t>الق</w:t>
      </w:r>
      <w:r w:rsidR="00592134" w:rsidRPr="00EC09B2">
        <w:rPr>
          <w:rFonts w:cs="Simplified Arabic" w:hint="cs"/>
          <w:sz w:val="26"/>
          <w:szCs w:val="26"/>
          <w:rtl/>
        </w:rPr>
        <w:t xml:space="preserve">ياسي لأسعار المستهلك </w:t>
      </w:r>
      <w:r w:rsidR="007A599C" w:rsidRPr="00EC09B2">
        <w:rPr>
          <w:rFonts w:cs="Simplified Arabic" w:hint="cs"/>
          <w:sz w:val="26"/>
          <w:szCs w:val="26"/>
          <w:rtl/>
        </w:rPr>
        <w:t xml:space="preserve">في </w:t>
      </w:r>
      <w:r w:rsidR="00B54F21" w:rsidRPr="00EC09B2">
        <w:rPr>
          <w:rFonts w:cs="Simplified Arabic" w:hint="cs"/>
          <w:b/>
          <w:bCs/>
          <w:sz w:val="26"/>
          <w:szCs w:val="26"/>
          <w:rtl/>
        </w:rPr>
        <w:t>فلسطين</w:t>
      </w:r>
      <w:r w:rsidR="007A599C" w:rsidRPr="00EC09B2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F1AB1" w:rsidRPr="00EC09B2">
        <w:rPr>
          <w:rFonts w:cs="Simplified Arabic" w:hint="cs"/>
          <w:b/>
          <w:bCs/>
          <w:sz w:val="26"/>
          <w:szCs w:val="26"/>
          <w:rtl/>
        </w:rPr>
        <w:t>انخفاضاً</w:t>
      </w:r>
      <w:r w:rsidR="009D028D" w:rsidRPr="00EC09B2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C26C78" w:rsidRPr="00EC09B2">
        <w:rPr>
          <w:rFonts w:cs="Simplified Arabic" w:hint="cs"/>
          <w:b/>
          <w:bCs/>
          <w:sz w:val="26"/>
          <w:szCs w:val="26"/>
          <w:rtl/>
        </w:rPr>
        <w:t xml:space="preserve">طفيفاً </w:t>
      </w:r>
      <w:r w:rsidR="005F1AB1" w:rsidRPr="00EC09B2">
        <w:rPr>
          <w:rFonts w:cs="Simplified Arabic" w:hint="cs"/>
          <w:b/>
          <w:bCs/>
          <w:sz w:val="26"/>
          <w:szCs w:val="26"/>
          <w:rtl/>
        </w:rPr>
        <w:t>مقداره</w:t>
      </w:r>
      <w:r w:rsidR="00B825F0" w:rsidRPr="00EC09B2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9D028D" w:rsidRPr="00EC09B2">
        <w:rPr>
          <w:rFonts w:cs="Simplified Arabic" w:hint="cs"/>
          <w:b/>
          <w:bCs/>
          <w:sz w:val="26"/>
          <w:szCs w:val="26"/>
          <w:rtl/>
        </w:rPr>
        <w:t>0.</w:t>
      </w:r>
      <w:r w:rsidR="00C26C78" w:rsidRPr="00EC09B2">
        <w:rPr>
          <w:rFonts w:cs="Simplified Arabic" w:hint="cs"/>
          <w:b/>
          <w:bCs/>
          <w:sz w:val="26"/>
          <w:szCs w:val="26"/>
          <w:rtl/>
        </w:rPr>
        <w:t>02</w:t>
      </w:r>
      <w:r w:rsidR="007A599C" w:rsidRPr="00EC09B2">
        <w:rPr>
          <w:rFonts w:cs="Simplified Arabic" w:hint="cs"/>
          <w:b/>
          <w:bCs/>
          <w:sz w:val="26"/>
          <w:szCs w:val="26"/>
          <w:rtl/>
        </w:rPr>
        <w:t>%</w:t>
      </w:r>
      <w:r w:rsidR="00B54F21" w:rsidRPr="00EC09B2">
        <w:rPr>
          <w:rFonts w:cs="Simplified Arabic" w:hint="cs"/>
          <w:sz w:val="26"/>
          <w:szCs w:val="26"/>
          <w:rtl/>
        </w:rPr>
        <w:t xml:space="preserve"> خلال شهر </w:t>
      </w:r>
      <w:r w:rsidR="00645921" w:rsidRPr="00EC09B2">
        <w:rPr>
          <w:rFonts w:cs="Simplified Arabic" w:hint="cs"/>
          <w:sz w:val="26"/>
          <w:szCs w:val="26"/>
          <w:rtl/>
        </w:rPr>
        <w:t xml:space="preserve">كانون </w:t>
      </w:r>
      <w:r w:rsidR="00C26C78" w:rsidRPr="00EC09B2">
        <w:rPr>
          <w:rFonts w:cs="Simplified Arabic" w:hint="cs"/>
          <w:sz w:val="26"/>
          <w:szCs w:val="26"/>
          <w:rtl/>
        </w:rPr>
        <w:t>ثاني</w:t>
      </w:r>
      <w:r w:rsidR="007A599C" w:rsidRPr="00EC09B2">
        <w:rPr>
          <w:rFonts w:cs="Simplified Arabic" w:hint="cs"/>
          <w:sz w:val="26"/>
          <w:szCs w:val="26"/>
          <w:rtl/>
        </w:rPr>
        <w:t xml:space="preserve"> </w:t>
      </w:r>
      <w:r w:rsidR="00B825F0" w:rsidRPr="00EC09B2">
        <w:rPr>
          <w:rFonts w:cs="Simplified Arabic" w:hint="cs"/>
          <w:sz w:val="26"/>
          <w:szCs w:val="26"/>
          <w:rtl/>
        </w:rPr>
        <w:t>20</w:t>
      </w:r>
      <w:r w:rsidR="00C26C78" w:rsidRPr="00EC09B2">
        <w:rPr>
          <w:rFonts w:cs="Simplified Arabic" w:hint="cs"/>
          <w:sz w:val="26"/>
          <w:szCs w:val="26"/>
          <w:rtl/>
        </w:rPr>
        <w:t>20</w:t>
      </w:r>
      <w:r w:rsidR="00B54F21" w:rsidRPr="00EC09B2">
        <w:rPr>
          <w:rFonts w:cs="Simplified Arabic" w:hint="cs"/>
          <w:sz w:val="26"/>
          <w:szCs w:val="26"/>
          <w:rtl/>
        </w:rPr>
        <w:t xml:space="preserve"> مقارنة مع شهر </w:t>
      </w:r>
      <w:r w:rsidR="00C26C78" w:rsidRPr="00EC09B2">
        <w:rPr>
          <w:rFonts w:cs="Simplified Arabic" w:hint="cs"/>
          <w:sz w:val="26"/>
          <w:szCs w:val="26"/>
          <w:rtl/>
        </w:rPr>
        <w:t>كانون أول</w:t>
      </w:r>
      <w:r w:rsidR="0087197B" w:rsidRPr="00EC09B2">
        <w:rPr>
          <w:rFonts w:cs="Simplified Arabic" w:hint="cs"/>
          <w:sz w:val="26"/>
          <w:szCs w:val="26"/>
          <w:rtl/>
        </w:rPr>
        <w:t xml:space="preserve"> </w:t>
      </w:r>
      <w:r w:rsidR="00243196" w:rsidRPr="00EC09B2">
        <w:rPr>
          <w:rFonts w:cs="Simplified Arabic" w:hint="cs"/>
          <w:sz w:val="26"/>
          <w:szCs w:val="26"/>
          <w:rtl/>
        </w:rPr>
        <w:t>2019</w:t>
      </w:r>
      <w:r w:rsidR="007A599C" w:rsidRPr="00EC09B2">
        <w:rPr>
          <w:rFonts w:cs="Simplified Arabic" w:hint="cs"/>
          <w:sz w:val="26"/>
          <w:szCs w:val="26"/>
          <w:rtl/>
        </w:rPr>
        <w:t xml:space="preserve">، </w:t>
      </w:r>
      <w:r w:rsidR="00962C78" w:rsidRPr="00EC09B2">
        <w:rPr>
          <w:rFonts w:cs="Simplified Arabic" w:hint="cs"/>
          <w:sz w:val="26"/>
          <w:szCs w:val="26"/>
          <w:rtl/>
        </w:rPr>
        <w:t>بواقع</w:t>
      </w:r>
      <w:r w:rsidR="00645921" w:rsidRPr="00EC09B2">
        <w:rPr>
          <w:rFonts w:cs="Simplified Arabic"/>
          <w:sz w:val="26"/>
          <w:szCs w:val="26"/>
        </w:rPr>
        <w:t>0.</w:t>
      </w:r>
      <w:r w:rsidR="00C26C78" w:rsidRPr="00EC09B2">
        <w:rPr>
          <w:rFonts w:cs="Simplified Arabic"/>
          <w:sz w:val="26"/>
          <w:szCs w:val="26"/>
        </w:rPr>
        <w:t>20</w:t>
      </w:r>
      <w:r w:rsidR="00645921" w:rsidRPr="00EC09B2">
        <w:rPr>
          <w:rFonts w:cs="Simplified Arabic"/>
          <w:sz w:val="26"/>
          <w:szCs w:val="26"/>
        </w:rPr>
        <w:t xml:space="preserve"> </w:t>
      </w:r>
      <w:r w:rsidR="00645921" w:rsidRPr="00EC09B2">
        <w:rPr>
          <w:rFonts w:cs="Simplified Arabic" w:hint="cs"/>
          <w:sz w:val="26"/>
          <w:szCs w:val="26"/>
          <w:rtl/>
        </w:rPr>
        <w:t xml:space="preserve">% </w:t>
      </w:r>
      <w:r w:rsidR="00C26C78" w:rsidRPr="00EC09B2">
        <w:rPr>
          <w:rFonts w:cs="Simplified Arabic" w:hint="cs"/>
          <w:sz w:val="26"/>
          <w:szCs w:val="26"/>
          <w:rtl/>
        </w:rPr>
        <w:t xml:space="preserve">في القدس </w:t>
      </w:r>
      <w:r w:rsidR="00C26C78" w:rsidRPr="00EC09B2">
        <w:rPr>
          <w:rFonts w:cs="Simplified Arabic"/>
          <w:sz w:val="26"/>
          <w:szCs w:val="26"/>
        </w:rPr>
        <w:t>J1</w:t>
      </w:r>
      <w:r w:rsidR="00C26C78" w:rsidRPr="00EC09B2">
        <w:rPr>
          <w:rFonts w:cs="Simplified Arabic" w:hint="cs"/>
          <w:sz w:val="26"/>
          <w:szCs w:val="26"/>
          <w:rtl/>
        </w:rPr>
        <w:t xml:space="preserve">*، وبمقدار 0.17% </w:t>
      </w:r>
      <w:r w:rsidR="00645921" w:rsidRPr="00EC09B2">
        <w:rPr>
          <w:rFonts w:cs="Simplified Arabic" w:hint="cs"/>
          <w:sz w:val="26"/>
          <w:szCs w:val="26"/>
          <w:rtl/>
        </w:rPr>
        <w:t>في الضفة الغربية**</w:t>
      </w:r>
      <w:r w:rsidR="0087197B" w:rsidRPr="00EC09B2">
        <w:rPr>
          <w:rFonts w:cs="Simplified Arabic" w:hint="cs"/>
          <w:sz w:val="26"/>
          <w:szCs w:val="26"/>
          <w:rtl/>
        </w:rPr>
        <w:t xml:space="preserve">، </w:t>
      </w:r>
      <w:r w:rsidR="00645921" w:rsidRPr="00EC09B2">
        <w:rPr>
          <w:rFonts w:cs="Simplified Arabic" w:hint="cs"/>
          <w:sz w:val="26"/>
          <w:szCs w:val="26"/>
          <w:rtl/>
        </w:rPr>
        <w:t xml:space="preserve">في حين سجل الرقم القياسي لأسعار المستهلك </w:t>
      </w:r>
      <w:r w:rsidR="00D51615" w:rsidRPr="00EC09B2">
        <w:rPr>
          <w:rFonts w:cs="Simplified Arabic" w:hint="cs"/>
          <w:sz w:val="26"/>
          <w:szCs w:val="26"/>
          <w:rtl/>
        </w:rPr>
        <w:t>ارتفاعاً</w:t>
      </w:r>
      <w:r w:rsidR="00645921" w:rsidRPr="00EC09B2">
        <w:rPr>
          <w:rFonts w:cs="Simplified Arabic" w:hint="cs"/>
          <w:sz w:val="26"/>
          <w:szCs w:val="26"/>
          <w:rtl/>
        </w:rPr>
        <w:t xml:space="preserve"> نسبته </w:t>
      </w:r>
      <w:r w:rsidR="00645921" w:rsidRPr="00EC09B2">
        <w:rPr>
          <w:rFonts w:cs="Simplified Arabic"/>
          <w:sz w:val="26"/>
          <w:szCs w:val="26"/>
        </w:rPr>
        <w:t>0.</w:t>
      </w:r>
      <w:r w:rsidR="00895A9B" w:rsidRPr="00EC09B2">
        <w:rPr>
          <w:rFonts w:cs="Simplified Arabic"/>
          <w:sz w:val="26"/>
          <w:szCs w:val="26"/>
        </w:rPr>
        <w:t>57</w:t>
      </w:r>
      <w:r w:rsidR="00895A9B" w:rsidRPr="00EC09B2">
        <w:rPr>
          <w:rFonts w:cs="Simplified Arabic" w:hint="cs"/>
          <w:sz w:val="26"/>
          <w:szCs w:val="26"/>
          <w:rtl/>
        </w:rPr>
        <w:t>%</w:t>
      </w:r>
      <w:r w:rsidR="00BF355F" w:rsidRPr="00EC09B2">
        <w:rPr>
          <w:rFonts w:cs="Simplified Arabic" w:hint="cs"/>
          <w:sz w:val="26"/>
          <w:szCs w:val="26"/>
          <w:rtl/>
        </w:rPr>
        <w:t xml:space="preserve"> </w:t>
      </w:r>
      <w:r w:rsidR="00645921" w:rsidRPr="00EC09B2">
        <w:rPr>
          <w:rFonts w:cs="Simplified Arabic" w:hint="cs"/>
          <w:sz w:val="26"/>
          <w:szCs w:val="26"/>
          <w:rtl/>
        </w:rPr>
        <w:t>في قطاع غزة</w:t>
      </w:r>
      <w:r w:rsidR="00A4094C" w:rsidRPr="00EC09B2">
        <w:rPr>
          <w:rFonts w:cs="Simplified Arabic" w:hint="cs"/>
          <w:sz w:val="26"/>
          <w:szCs w:val="26"/>
          <w:rtl/>
        </w:rPr>
        <w:t>.</w:t>
      </w:r>
    </w:p>
    <w:p w:rsidR="00BC79FB" w:rsidRPr="00EC09B2" w:rsidRDefault="00BC79FB" w:rsidP="007C5699">
      <w:pPr>
        <w:jc w:val="both"/>
        <w:rPr>
          <w:rFonts w:cs="Simplified Arabic"/>
          <w:sz w:val="26"/>
          <w:szCs w:val="26"/>
          <w:rtl/>
        </w:rPr>
      </w:pPr>
    </w:p>
    <w:p w:rsidR="007A599C" w:rsidRPr="00EC09B2" w:rsidRDefault="00BC79FB" w:rsidP="00B11FA4">
      <w:pPr>
        <w:jc w:val="both"/>
        <w:rPr>
          <w:rFonts w:cs="Simplified Arabic"/>
          <w:sz w:val="26"/>
          <w:szCs w:val="26"/>
          <w:rtl/>
        </w:rPr>
      </w:pPr>
      <w:r w:rsidRPr="00EC09B2">
        <w:rPr>
          <w:rFonts w:cs="Simplified Arabic" w:hint="cs"/>
          <w:sz w:val="26"/>
          <w:szCs w:val="26"/>
          <w:rtl/>
        </w:rPr>
        <w:t xml:space="preserve">السبب الرئيسي </w:t>
      </w:r>
      <w:r w:rsidR="00CE30FB" w:rsidRPr="00EC09B2">
        <w:rPr>
          <w:rFonts w:cs="Simplified Arabic" w:hint="cs"/>
          <w:sz w:val="26"/>
          <w:szCs w:val="26"/>
          <w:rtl/>
        </w:rPr>
        <w:t>لانخفاض</w:t>
      </w:r>
      <w:r w:rsidRPr="00EC09B2">
        <w:rPr>
          <w:rFonts w:cs="Simplified Arabic" w:hint="cs"/>
          <w:sz w:val="26"/>
          <w:szCs w:val="26"/>
          <w:rtl/>
        </w:rPr>
        <w:t xml:space="preserve"> الأسعار في فلسطين يرجع بشكل أساسي </w:t>
      </w:r>
      <w:r w:rsidR="00CE30FB" w:rsidRPr="00EC09B2">
        <w:rPr>
          <w:rFonts w:cs="Simplified Arabic" w:hint="cs"/>
          <w:sz w:val="26"/>
          <w:szCs w:val="26"/>
          <w:rtl/>
        </w:rPr>
        <w:t>لانخفاض</w:t>
      </w:r>
      <w:r w:rsidR="008B49AE" w:rsidRPr="00EC09B2">
        <w:rPr>
          <w:rFonts w:cs="Simplified Arabic" w:hint="cs"/>
          <w:sz w:val="26"/>
          <w:szCs w:val="26"/>
          <w:rtl/>
        </w:rPr>
        <w:t xml:space="preserve"> </w:t>
      </w:r>
      <w:r w:rsidR="00A352BA" w:rsidRPr="00EC09B2">
        <w:rPr>
          <w:rFonts w:cs="Simplified Arabic" w:hint="cs"/>
          <w:sz w:val="26"/>
          <w:szCs w:val="26"/>
          <w:rtl/>
        </w:rPr>
        <w:t xml:space="preserve">أسعار الدرنيات بمقدار </w:t>
      </w:r>
      <w:r w:rsidR="00A352BA" w:rsidRPr="00EC09B2">
        <w:rPr>
          <w:rFonts w:cs="Simplified Arabic"/>
          <w:sz w:val="26"/>
          <w:szCs w:val="26"/>
        </w:rPr>
        <w:t>7.74</w:t>
      </w:r>
      <w:r w:rsidR="00A352BA" w:rsidRPr="00EC09B2">
        <w:rPr>
          <w:rFonts w:cs="Simplified Arabic" w:hint="cs"/>
          <w:sz w:val="26"/>
          <w:szCs w:val="26"/>
          <w:rtl/>
        </w:rPr>
        <w:t xml:space="preserve">%، وأسعار الدجاج الطازج بمقدار </w:t>
      </w:r>
      <w:r w:rsidR="00A352BA" w:rsidRPr="00EC09B2">
        <w:rPr>
          <w:rFonts w:cs="Simplified Arabic"/>
          <w:sz w:val="26"/>
          <w:szCs w:val="26"/>
        </w:rPr>
        <w:t>5.59</w:t>
      </w:r>
      <w:r w:rsidR="00A352BA" w:rsidRPr="00EC09B2">
        <w:rPr>
          <w:rFonts w:cs="Simplified Arabic" w:hint="cs"/>
          <w:sz w:val="26"/>
          <w:szCs w:val="26"/>
          <w:rtl/>
        </w:rPr>
        <w:t xml:space="preserve">%، </w:t>
      </w:r>
      <w:r w:rsidRPr="00EC09B2">
        <w:rPr>
          <w:rFonts w:cs="Simplified Arabic" w:hint="cs"/>
          <w:sz w:val="26"/>
          <w:szCs w:val="26"/>
          <w:rtl/>
        </w:rPr>
        <w:t xml:space="preserve">على الرغم من </w:t>
      </w:r>
      <w:r w:rsidR="00CE30FB" w:rsidRPr="00EC09B2">
        <w:rPr>
          <w:rFonts w:cs="Simplified Arabic" w:hint="cs"/>
          <w:sz w:val="26"/>
          <w:szCs w:val="26"/>
          <w:rtl/>
        </w:rPr>
        <w:t>ارتفاع</w:t>
      </w:r>
      <w:r w:rsidR="00766D0A" w:rsidRPr="00EC09B2">
        <w:rPr>
          <w:rFonts w:cs="Simplified Arabic" w:hint="cs"/>
          <w:sz w:val="26"/>
          <w:szCs w:val="26"/>
          <w:rtl/>
        </w:rPr>
        <w:t xml:space="preserve"> </w:t>
      </w:r>
      <w:r w:rsidR="007B20E9" w:rsidRPr="00EC09B2">
        <w:rPr>
          <w:rFonts w:cs="Simplified Arabic" w:hint="cs"/>
          <w:sz w:val="26"/>
          <w:szCs w:val="26"/>
          <w:rtl/>
        </w:rPr>
        <w:t xml:space="preserve">أسعار الخضروات المجففة بنسبة </w:t>
      </w:r>
      <w:r w:rsidR="00A352BA" w:rsidRPr="00EC09B2">
        <w:rPr>
          <w:rFonts w:cs="Simplified Arabic" w:hint="cs"/>
          <w:sz w:val="26"/>
          <w:szCs w:val="26"/>
          <w:rtl/>
        </w:rPr>
        <w:t>4.62</w:t>
      </w:r>
      <w:r w:rsidR="007B20E9" w:rsidRPr="00EC09B2">
        <w:rPr>
          <w:rFonts w:cs="Simplified Arabic" w:hint="cs"/>
          <w:sz w:val="26"/>
          <w:szCs w:val="26"/>
          <w:rtl/>
        </w:rPr>
        <w:t xml:space="preserve">%، </w:t>
      </w:r>
      <w:r w:rsidR="00A352BA" w:rsidRPr="00EC09B2">
        <w:rPr>
          <w:rFonts w:cs="Simplified Arabic" w:hint="cs"/>
          <w:sz w:val="26"/>
          <w:szCs w:val="26"/>
          <w:rtl/>
        </w:rPr>
        <w:t xml:space="preserve">وأسعار الفواكه الطازجة </w:t>
      </w:r>
      <w:r w:rsidR="00B11FA4" w:rsidRPr="00EC09B2">
        <w:rPr>
          <w:rFonts w:cs="Simplified Arabic" w:hint="cs"/>
          <w:sz w:val="26"/>
          <w:szCs w:val="26"/>
          <w:rtl/>
        </w:rPr>
        <w:t xml:space="preserve">بنسبة </w:t>
      </w:r>
      <w:r w:rsidR="00A352BA" w:rsidRPr="00EC09B2">
        <w:rPr>
          <w:rFonts w:cs="Simplified Arabic" w:hint="cs"/>
          <w:sz w:val="26"/>
          <w:szCs w:val="26"/>
          <w:rtl/>
        </w:rPr>
        <w:t xml:space="preserve">4.49%، </w:t>
      </w:r>
      <w:r w:rsidR="007B20E9" w:rsidRPr="00EC09B2">
        <w:rPr>
          <w:rFonts w:cs="Simplified Arabic" w:hint="cs"/>
          <w:sz w:val="26"/>
          <w:szCs w:val="26"/>
          <w:rtl/>
        </w:rPr>
        <w:t xml:space="preserve">وأسعار الخضروات الطازجة </w:t>
      </w:r>
      <w:r w:rsidR="00B11FA4" w:rsidRPr="00EC09B2">
        <w:rPr>
          <w:rFonts w:cs="Simplified Arabic" w:hint="cs"/>
          <w:sz w:val="26"/>
          <w:szCs w:val="26"/>
          <w:rtl/>
        </w:rPr>
        <w:t xml:space="preserve">بنسبة </w:t>
      </w:r>
      <w:r w:rsidR="00A352BA" w:rsidRPr="00EC09B2">
        <w:rPr>
          <w:rFonts w:cs="Simplified Arabic" w:hint="cs"/>
          <w:sz w:val="26"/>
          <w:szCs w:val="26"/>
          <w:rtl/>
        </w:rPr>
        <w:t>4.33</w:t>
      </w:r>
      <w:r w:rsidR="007B20E9" w:rsidRPr="00EC09B2">
        <w:rPr>
          <w:rFonts w:cs="Simplified Arabic" w:hint="cs"/>
          <w:sz w:val="26"/>
          <w:szCs w:val="26"/>
          <w:rtl/>
        </w:rPr>
        <w:t xml:space="preserve">%، </w:t>
      </w:r>
      <w:r w:rsidR="00A352BA" w:rsidRPr="00EC09B2">
        <w:rPr>
          <w:rFonts w:cs="Simplified Arabic" w:hint="cs"/>
          <w:sz w:val="26"/>
          <w:szCs w:val="26"/>
          <w:rtl/>
        </w:rPr>
        <w:t xml:space="preserve">وأسعار البيض </w:t>
      </w:r>
      <w:r w:rsidR="00B11FA4" w:rsidRPr="00EC09B2">
        <w:rPr>
          <w:rFonts w:cs="Simplified Arabic" w:hint="cs"/>
          <w:sz w:val="26"/>
          <w:szCs w:val="26"/>
          <w:rtl/>
        </w:rPr>
        <w:t xml:space="preserve">بنسبة </w:t>
      </w:r>
      <w:r w:rsidR="00A352BA" w:rsidRPr="00EC09B2">
        <w:rPr>
          <w:rFonts w:cs="Simplified Arabic" w:hint="cs"/>
          <w:sz w:val="26"/>
          <w:szCs w:val="26"/>
          <w:rtl/>
        </w:rPr>
        <w:t>1.92%.</w:t>
      </w:r>
    </w:p>
    <w:p w:rsidR="00BC79FB" w:rsidRPr="00EC09B2" w:rsidRDefault="00BC79FB" w:rsidP="007C5699">
      <w:pPr>
        <w:jc w:val="both"/>
        <w:rPr>
          <w:rFonts w:cs="Simplified Arabic"/>
          <w:sz w:val="26"/>
          <w:szCs w:val="26"/>
          <w:rtl/>
        </w:rPr>
      </w:pPr>
    </w:p>
    <w:p w:rsidR="00401898" w:rsidRPr="00EC09B2" w:rsidRDefault="00181B11" w:rsidP="00B377A5">
      <w:pPr>
        <w:jc w:val="both"/>
        <w:rPr>
          <w:rFonts w:cs="Simplified Arabic"/>
          <w:sz w:val="26"/>
          <w:szCs w:val="26"/>
          <w:rtl/>
        </w:rPr>
      </w:pPr>
      <w:r w:rsidRPr="00EC09B2">
        <w:rPr>
          <w:rFonts w:cs="Simplified Arabic" w:hint="cs"/>
          <w:sz w:val="26"/>
          <w:szCs w:val="26"/>
          <w:rtl/>
        </w:rPr>
        <w:t>وعند مقارنة الأ</w:t>
      </w:r>
      <w:r w:rsidR="005E7B2E" w:rsidRPr="00EC09B2">
        <w:rPr>
          <w:rFonts w:cs="Simplified Arabic" w:hint="cs"/>
          <w:sz w:val="26"/>
          <w:szCs w:val="26"/>
          <w:rtl/>
        </w:rPr>
        <w:t xml:space="preserve">سعار خلال شهر </w:t>
      </w:r>
      <w:r w:rsidR="007B20E9" w:rsidRPr="00EC09B2">
        <w:rPr>
          <w:rFonts w:cs="Simplified Arabic" w:hint="cs"/>
          <w:sz w:val="26"/>
          <w:szCs w:val="26"/>
          <w:rtl/>
        </w:rPr>
        <w:t xml:space="preserve">كانون </w:t>
      </w:r>
      <w:r w:rsidR="00B377A5" w:rsidRPr="00EC09B2">
        <w:rPr>
          <w:rFonts w:cs="Simplified Arabic" w:hint="cs"/>
          <w:sz w:val="26"/>
          <w:szCs w:val="26"/>
          <w:rtl/>
        </w:rPr>
        <w:t>ثاني</w:t>
      </w:r>
      <w:r w:rsidR="001E75F8" w:rsidRPr="00EC09B2">
        <w:rPr>
          <w:rFonts w:cs="Simplified Arabic" w:hint="cs"/>
          <w:sz w:val="26"/>
          <w:szCs w:val="26"/>
          <w:rtl/>
        </w:rPr>
        <w:t xml:space="preserve"> </w:t>
      </w:r>
      <w:r w:rsidR="00766D0A" w:rsidRPr="00EC09B2">
        <w:rPr>
          <w:rFonts w:cs="Simplified Arabic" w:hint="cs"/>
          <w:sz w:val="26"/>
          <w:szCs w:val="26"/>
          <w:rtl/>
        </w:rPr>
        <w:t>20</w:t>
      </w:r>
      <w:r w:rsidR="00B377A5" w:rsidRPr="00EC09B2">
        <w:rPr>
          <w:rFonts w:cs="Simplified Arabic" w:hint="cs"/>
          <w:sz w:val="26"/>
          <w:szCs w:val="26"/>
          <w:rtl/>
        </w:rPr>
        <w:t>20</w:t>
      </w:r>
      <w:r w:rsidR="005E7B2E" w:rsidRPr="00EC09B2">
        <w:rPr>
          <w:rFonts w:cs="Simplified Arabic" w:hint="cs"/>
          <w:sz w:val="26"/>
          <w:szCs w:val="26"/>
          <w:rtl/>
        </w:rPr>
        <w:t xml:space="preserve"> مع شهر </w:t>
      </w:r>
      <w:r w:rsidR="007B20E9" w:rsidRPr="00EC09B2">
        <w:rPr>
          <w:rFonts w:cs="Simplified Arabic" w:hint="cs"/>
          <w:sz w:val="26"/>
          <w:szCs w:val="26"/>
          <w:rtl/>
        </w:rPr>
        <w:t xml:space="preserve">كانون </w:t>
      </w:r>
      <w:r w:rsidR="00B377A5" w:rsidRPr="00EC09B2">
        <w:rPr>
          <w:rFonts w:cs="Simplified Arabic" w:hint="cs"/>
          <w:sz w:val="26"/>
          <w:szCs w:val="26"/>
          <w:rtl/>
        </w:rPr>
        <w:t>ثاني</w:t>
      </w:r>
      <w:r w:rsidR="001E75F8" w:rsidRPr="00EC09B2">
        <w:rPr>
          <w:rFonts w:cs="Simplified Arabic" w:hint="cs"/>
          <w:sz w:val="26"/>
          <w:szCs w:val="26"/>
          <w:rtl/>
        </w:rPr>
        <w:t xml:space="preserve"> </w:t>
      </w:r>
      <w:r w:rsidR="00B377A5" w:rsidRPr="00EC09B2">
        <w:rPr>
          <w:rFonts w:cs="Simplified Arabic" w:hint="cs"/>
          <w:sz w:val="26"/>
          <w:szCs w:val="26"/>
          <w:rtl/>
        </w:rPr>
        <w:t>2019</w:t>
      </w:r>
      <w:r w:rsidR="005E7B2E" w:rsidRPr="00EC09B2">
        <w:rPr>
          <w:rFonts w:cs="Simplified Arabic" w:hint="cs"/>
          <w:sz w:val="26"/>
          <w:szCs w:val="26"/>
          <w:rtl/>
        </w:rPr>
        <w:t xml:space="preserve"> تشير البيانات </w:t>
      </w:r>
      <w:r w:rsidR="00140DAD" w:rsidRPr="00EC09B2">
        <w:rPr>
          <w:rFonts w:cs="Simplified Arabic" w:hint="cs"/>
          <w:sz w:val="26"/>
          <w:szCs w:val="26"/>
          <w:rtl/>
        </w:rPr>
        <w:t>إلى</w:t>
      </w:r>
      <w:r w:rsidR="005E7B2E" w:rsidRPr="00EC09B2">
        <w:rPr>
          <w:rFonts w:cs="Simplified Arabic" w:hint="cs"/>
          <w:sz w:val="26"/>
          <w:szCs w:val="26"/>
          <w:rtl/>
        </w:rPr>
        <w:t xml:space="preserve"> </w:t>
      </w:r>
      <w:r w:rsidR="00293C44" w:rsidRPr="00EC09B2">
        <w:rPr>
          <w:rFonts w:cs="Simplified Arabic" w:hint="cs"/>
          <w:sz w:val="26"/>
          <w:szCs w:val="26"/>
          <w:rtl/>
        </w:rPr>
        <w:t>ارتفاع</w:t>
      </w:r>
      <w:r w:rsidR="007478C3" w:rsidRPr="00EC09B2">
        <w:rPr>
          <w:rFonts w:cs="Simplified Arabic" w:hint="cs"/>
          <w:sz w:val="26"/>
          <w:szCs w:val="26"/>
          <w:rtl/>
        </w:rPr>
        <w:t xml:space="preserve"> </w:t>
      </w:r>
      <w:r w:rsidR="00C15379" w:rsidRPr="00EC09B2">
        <w:rPr>
          <w:rFonts w:cs="Simplified Arabic" w:hint="cs"/>
          <w:sz w:val="26"/>
          <w:szCs w:val="26"/>
          <w:rtl/>
        </w:rPr>
        <w:t>في</w:t>
      </w:r>
      <w:r w:rsidR="005E7B2E" w:rsidRPr="00EC09B2">
        <w:rPr>
          <w:rFonts w:cs="Simplified Arabic" w:hint="cs"/>
          <w:sz w:val="26"/>
          <w:szCs w:val="26"/>
          <w:rtl/>
        </w:rPr>
        <w:t xml:space="preserve"> الر</w:t>
      </w:r>
      <w:r w:rsidR="004606C7" w:rsidRPr="00EC09B2">
        <w:rPr>
          <w:rFonts w:cs="Simplified Arabic" w:hint="cs"/>
          <w:sz w:val="26"/>
          <w:szCs w:val="26"/>
          <w:rtl/>
        </w:rPr>
        <w:t xml:space="preserve">قم القياسي لأسعار المستهلك </w:t>
      </w:r>
      <w:r w:rsidR="000F58A2" w:rsidRPr="00EC09B2">
        <w:rPr>
          <w:rFonts w:cs="Simplified Arabic" w:hint="cs"/>
          <w:sz w:val="26"/>
          <w:szCs w:val="26"/>
          <w:rtl/>
        </w:rPr>
        <w:t xml:space="preserve">في فلسطين </w:t>
      </w:r>
      <w:r w:rsidR="001D519D" w:rsidRPr="00EC09B2">
        <w:rPr>
          <w:rFonts w:cs="Simplified Arabic" w:hint="cs"/>
          <w:sz w:val="26"/>
          <w:szCs w:val="26"/>
          <w:rtl/>
        </w:rPr>
        <w:t xml:space="preserve">بنسبة </w:t>
      </w:r>
      <w:r w:rsidR="009D2A03" w:rsidRPr="00EC09B2">
        <w:rPr>
          <w:rFonts w:cs="Simplified Arabic"/>
          <w:sz w:val="26"/>
          <w:szCs w:val="26"/>
        </w:rPr>
        <w:t>1.</w:t>
      </w:r>
      <w:r w:rsidR="00B377A5" w:rsidRPr="00EC09B2">
        <w:rPr>
          <w:rFonts w:cs="Simplified Arabic"/>
          <w:sz w:val="26"/>
          <w:szCs w:val="26"/>
        </w:rPr>
        <w:t>26</w:t>
      </w:r>
      <w:r w:rsidR="00424115" w:rsidRPr="00EC09B2">
        <w:rPr>
          <w:rFonts w:cs="Simplified Arabic" w:hint="cs"/>
          <w:sz w:val="26"/>
          <w:szCs w:val="26"/>
          <w:rtl/>
        </w:rPr>
        <w:t>%،</w:t>
      </w:r>
      <w:r w:rsidR="005E7B2E" w:rsidRPr="00EC09B2">
        <w:rPr>
          <w:rFonts w:cs="Simplified Arabic" w:hint="cs"/>
          <w:sz w:val="26"/>
          <w:szCs w:val="26"/>
          <w:rtl/>
        </w:rPr>
        <w:t xml:space="preserve"> </w:t>
      </w:r>
      <w:r w:rsidR="00424115" w:rsidRPr="00EC09B2">
        <w:rPr>
          <w:rFonts w:cs="Simplified Arabic" w:hint="cs"/>
          <w:sz w:val="26"/>
          <w:szCs w:val="26"/>
          <w:rtl/>
        </w:rPr>
        <w:t>بواقع</w:t>
      </w:r>
      <w:r w:rsidR="009D2A03" w:rsidRPr="00EC09B2">
        <w:rPr>
          <w:rFonts w:cs="Simplified Arabic" w:hint="cs"/>
          <w:sz w:val="26"/>
          <w:szCs w:val="26"/>
          <w:rtl/>
        </w:rPr>
        <w:t xml:space="preserve"> </w:t>
      </w:r>
      <w:r w:rsidR="00B377A5" w:rsidRPr="00EC09B2">
        <w:rPr>
          <w:rFonts w:cs="Simplified Arabic"/>
          <w:sz w:val="26"/>
          <w:szCs w:val="26"/>
        </w:rPr>
        <w:t>3.22</w:t>
      </w:r>
      <w:r w:rsidR="009D2A03" w:rsidRPr="00EC09B2">
        <w:rPr>
          <w:rFonts w:cs="Simplified Arabic" w:hint="cs"/>
          <w:sz w:val="26"/>
          <w:szCs w:val="26"/>
          <w:rtl/>
        </w:rPr>
        <w:t>%</w:t>
      </w:r>
      <w:r w:rsidR="00766D0A" w:rsidRPr="00EC09B2">
        <w:rPr>
          <w:rFonts w:cs="Simplified Arabic" w:hint="cs"/>
          <w:sz w:val="26"/>
          <w:szCs w:val="26"/>
          <w:rtl/>
        </w:rPr>
        <w:t xml:space="preserve"> </w:t>
      </w:r>
      <w:r w:rsidR="009D2A03" w:rsidRPr="00EC09B2">
        <w:rPr>
          <w:rFonts w:cs="Simplified Arabic" w:hint="cs"/>
          <w:sz w:val="26"/>
          <w:szCs w:val="26"/>
          <w:rtl/>
        </w:rPr>
        <w:t xml:space="preserve">في القدس </w:t>
      </w:r>
      <w:r w:rsidR="009D2A03" w:rsidRPr="00EC09B2">
        <w:rPr>
          <w:rFonts w:cs="Simplified Arabic"/>
          <w:sz w:val="26"/>
          <w:szCs w:val="26"/>
        </w:rPr>
        <w:t>J1</w:t>
      </w:r>
      <w:r w:rsidR="009D2A03" w:rsidRPr="00EC09B2">
        <w:rPr>
          <w:rFonts w:cs="Simplified Arabic" w:hint="cs"/>
          <w:sz w:val="26"/>
          <w:szCs w:val="26"/>
          <w:rtl/>
        </w:rPr>
        <w:t>*</w:t>
      </w:r>
      <w:r w:rsidR="00293C44" w:rsidRPr="00EC09B2">
        <w:rPr>
          <w:rFonts w:cs="Simplified Arabic" w:hint="cs"/>
          <w:sz w:val="26"/>
          <w:szCs w:val="26"/>
          <w:rtl/>
        </w:rPr>
        <w:t>،</w:t>
      </w:r>
      <w:r w:rsidR="009D028D" w:rsidRPr="00EC09B2">
        <w:rPr>
          <w:rFonts w:cs="Simplified Arabic" w:hint="cs"/>
          <w:sz w:val="26"/>
          <w:szCs w:val="26"/>
          <w:rtl/>
        </w:rPr>
        <w:t xml:space="preserve"> وبنسبة</w:t>
      </w:r>
      <w:r w:rsidR="00293C44" w:rsidRPr="00EC09B2">
        <w:rPr>
          <w:rFonts w:cs="Simplified Arabic" w:hint="cs"/>
          <w:sz w:val="26"/>
          <w:szCs w:val="26"/>
          <w:rtl/>
        </w:rPr>
        <w:t xml:space="preserve"> </w:t>
      </w:r>
      <w:r w:rsidR="009D2A03" w:rsidRPr="00EC09B2">
        <w:rPr>
          <w:rFonts w:cs="Simplified Arabic"/>
          <w:sz w:val="26"/>
          <w:szCs w:val="26"/>
        </w:rPr>
        <w:t>1.</w:t>
      </w:r>
      <w:r w:rsidR="00B377A5" w:rsidRPr="00EC09B2">
        <w:rPr>
          <w:rFonts w:cs="Simplified Arabic"/>
          <w:sz w:val="26"/>
          <w:szCs w:val="26"/>
        </w:rPr>
        <w:t>26</w:t>
      </w:r>
      <w:r w:rsidR="00445714" w:rsidRPr="00EC09B2">
        <w:rPr>
          <w:rFonts w:cs="Simplified Arabic" w:hint="cs"/>
          <w:sz w:val="26"/>
          <w:szCs w:val="26"/>
          <w:rtl/>
        </w:rPr>
        <w:t>%</w:t>
      </w:r>
      <w:r w:rsidR="000279AA" w:rsidRPr="00EC09B2">
        <w:rPr>
          <w:rFonts w:cs="Simplified Arabic" w:hint="cs"/>
          <w:sz w:val="26"/>
          <w:szCs w:val="26"/>
          <w:rtl/>
        </w:rPr>
        <w:t xml:space="preserve"> </w:t>
      </w:r>
      <w:r w:rsidR="009D2A03" w:rsidRPr="00EC09B2">
        <w:rPr>
          <w:rFonts w:cs="Simplified Arabic" w:hint="cs"/>
          <w:sz w:val="26"/>
          <w:szCs w:val="26"/>
          <w:rtl/>
        </w:rPr>
        <w:t>في الضفة الغربية*</w:t>
      </w:r>
      <w:r w:rsidR="00A4094C" w:rsidRPr="00EC09B2">
        <w:rPr>
          <w:rFonts w:cs="Simplified Arabic" w:hint="cs"/>
          <w:sz w:val="26"/>
          <w:szCs w:val="26"/>
          <w:rtl/>
        </w:rPr>
        <w:t>*</w:t>
      </w:r>
      <w:r w:rsidR="009D2A03" w:rsidRPr="00EC09B2">
        <w:rPr>
          <w:rFonts w:cs="Simplified Arabic" w:hint="cs"/>
          <w:sz w:val="26"/>
          <w:szCs w:val="26"/>
          <w:rtl/>
        </w:rPr>
        <w:t xml:space="preserve">، وبارتفاع طفيف نسبته </w:t>
      </w:r>
      <w:r w:rsidR="009D2A03" w:rsidRPr="00EC09B2">
        <w:rPr>
          <w:rFonts w:cs="Simplified Arabic"/>
          <w:sz w:val="26"/>
          <w:szCs w:val="26"/>
        </w:rPr>
        <w:t>0.</w:t>
      </w:r>
      <w:r w:rsidR="00B377A5" w:rsidRPr="00EC09B2">
        <w:rPr>
          <w:rFonts w:cs="Simplified Arabic"/>
          <w:sz w:val="26"/>
          <w:szCs w:val="26"/>
        </w:rPr>
        <w:t>02</w:t>
      </w:r>
      <w:r w:rsidR="009D2A03" w:rsidRPr="00EC09B2">
        <w:rPr>
          <w:rFonts w:cs="Simplified Arabic" w:hint="cs"/>
          <w:sz w:val="26"/>
          <w:szCs w:val="26"/>
          <w:rtl/>
        </w:rPr>
        <w:t xml:space="preserve">% </w:t>
      </w:r>
      <w:r w:rsidR="002F01D2" w:rsidRPr="00EC09B2">
        <w:rPr>
          <w:rFonts w:cs="Simplified Arabic" w:hint="cs"/>
          <w:sz w:val="26"/>
          <w:szCs w:val="26"/>
          <w:rtl/>
        </w:rPr>
        <w:t xml:space="preserve">في </w:t>
      </w:r>
      <w:r w:rsidR="000279AA" w:rsidRPr="00EC09B2">
        <w:rPr>
          <w:rFonts w:cs="Simplified Arabic" w:hint="cs"/>
          <w:sz w:val="26"/>
          <w:szCs w:val="26"/>
          <w:rtl/>
        </w:rPr>
        <w:t>قطاع غزة</w:t>
      </w:r>
      <w:r w:rsidR="00445714" w:rsidRPr="00EC09B2">
        <w:rPr>
          <w:rFonts w:cs="Simplified Arabic" w:hint="cs"/>
          <w:sz w:val="26"/>
          <w:szCs w:val="26"/>
          <w:rtl/>
        </w:rPr>
        <w:t>.</w:t>
      </w:r>
    </w:p>
    <w:p w:rsidR="00EB4EC6" w:rsidRPr="0051104D" w:rsidRDefault="00EB4EC6" w:rsidP="00B377A5">
      <w:pPr>
        <w:jc w:val="both"/>
        <w:rPr>
          <w:rFonts w:cs="Simplified Arabic"/>
          <w:sz w:val="12"/>
          <w:szCs w:val="12"/>
          <w:rtl/>
        </w:rPr>
      </w:pPr>
    </w:p>
    <w:p w:rsidR="00401898" w:rsidRPr="00914478" w:rsidRDefault="00401898" w:rsidP="007C5699">
      <w:pPr>
        <w:pStyle w:val="Header"/>
        <w:jc w:val="lowKashida"/>
        <w:rPr>
          <w:rFonts w:cs="Simplified Arabic"/>
          <w:b/>
          <w:bCs/>
          <w:sz w:val="12"/>
          <w:szCs w:val="12"/>
        </w:rPr>
      </w:pPr>
    </w:p>
    <w:p w:rsidR="00040348" w:rsidRPr="00EB4EC6" w:rsidRDefault="00C33581" w:rsidP="00EB4EC6">
      <w:pPr>
        <w:pStyle w:val="Header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:rsidR="00EB4EC6" w:rsidRPr="00EC09B2" w:rsidRDefault="00EB4EC6" w:rsidP="00FB2FD9">
      <w:pPr>
        <w:jc w:val="both"/>
        <w:rPr>
          <w:rFonts w:cs="Simplified Arabic"/>
          <w:sz w:val="26"/>
          <w:szCs w:val="26"/>
          <w:rtl/>
        </w:rPr>
      </w:pPr>
      <w:r w:rsidRPr="00EC09B2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Pr="00EC09B2">
        <w:rPr>
          <w:rFonts w:cs="Simplified Arabic" w:hint="cs"/>
          <w:b/>
          <w:bCs/>
          <w:sz w:val="26"/>
          <w:szCs w:val="26"/>
          <w:rtl/>
        </w:rPr>
        <w:t xml:space="preserve">القدس </w:t>
      </w:r>
      <w:r w:rsidRPr="00EC09B2">
        <w:rPr>
          <w:rFonts w:cs="Simplified Arabic"/>
          <w:b/>
          <w:bCs/>
          <w:sz w:val="26"/>
          <w:szCs w:val="26"/>
        </w:rPr>
        <w:t>J1</w:t>
      </w:r>
      <w:r w:rsidRPr="00EC09B2">
        <w:rPr>
          <w:rFonts w:cs="Simplified Arabic" w:hint="cs"/>
          <w:b/>
          <w:bCs/>
          <w:sz w:val="26"/>
          <w:szCs w:val="26"/>
          <w:rtl/>
        </w:rPr>
        <w:t xml:space="preserve">* انخفاضاً مقداره </w:t>
      </w:r>
      <w:r w:rsidRPr="00EC09B2">
        <w:rPr>
          <w:rFonts w:cs="Simplified Arabic"/>
          <w:b/>
          <w:bCs/>
          <w:sz w:val="26"/>
          <w:szCs w:val="26"/>
        </w:rPr>
        <w:t>0.20</w:t>
      </w:r>
      <w:r w:rsidRPr="00EC09B2">
        <w:rPr>
          <w:rFonts w:cs="Simplified Arabic" w:hint="cs"/>
          <w:b/>
          <w:bCs/>
          <w:sz w:val="26"/>
          <w:szCs w:val="26"/>
          <w:rtl/>
        </w:rPr>
        <w:t xml:space="preserve">% </w:t>
      </w:r>
      <w:r w:rsidRPr="00EC09B2">
        <w:rPr>
          <w:rFonts w:cs="Simplified Arabic" w:hint="cs"/>
          <w:sz w:val="26"/>
          <w:szCs w:val="26"/>
          <w:rtl/>
        </w:rPr>
        <w:t xml:space="preserve">خلال شهر كانون ثاني 2020 مقارنة مع شهر كانون أول 2019، وذلك نتيجة </w:t>
      </w:r>
      <w:r w:rsidR="00E2698A" w:rsidRPr="00EC09B2">
        <w:rPr>
          <w:rFonts w:cs="Simplified Arabic" w:hint="cs"/>
          <w:sz w:val="26"/>
          <w:szCs w:val="26"/>
          <w:rtl/>
        </w:rPr>
        <w:t>لانخفاض</w:t>
      </w:r>
      <w:r w:rsidRPr="00EC09B2">
        <w:rPr>
          <w:rFonts w:cs="Simplified Arabic" w:hint="cs"/>
          <w:sz w:val="26"/>
          <w:szCs w:val="26"/>
          <w:rtl/>
        </w:rPr>
        <w:t xml:space="preserve"> أسعار الدرنيات </w:t>
      </w:r>
      <w:r w:rsidR="00E2698A" w:rsidRPr="00EC09B2">
        <w:rPr>
          <w:rFonts w:cs="Simplified Arabic" w:hint="cs"/>
          <w:sz w:val="26"/>
          <w:szCs w:val="26"/>
          <w:rtl/>
        </w:rPr>
        <w:t>بمقدار</w:t>
      </w:r>
      <w:r w:rsidRPr="00EC09B2">
        <w:rPr>
          <w:rFonts w:cs="Simplified Arabic" w:hint="cs"/>
          <w:sz w:val="26"/>
          <w:szCs w:val="26"/>
          <w:rtl/>
        </w:rPr>
        <w:t xml:space="preserve"> </w:t>
      </w:r>
      <w:r w:rsidR="00E2698A" w:rsidRPr="00EC09B2">
        <w:rPr>
          <w:rFonts w:cs="Simplified Arabic"/>
          <w:sz w:val="26"/>
          <w:szCs w:val="26"/>
        </w:rPr>
        <w:t>24.10</w:t>
      </w:r>
      <w:r w:rsidRPr="00EC09B2">
        <w:rPr>
          <w:rFonts w:cs="Simplified Arabic" w:hint="cs"/>
          <w:sz w:val="26"/>
          <w:szCs w:val="26"/>
          <w:rtl/>
        </w:rPr>
        <w:t xml:space="preserve">%، </w:t>
      </w:r>
      <w:r w:rsidR="00E2698A" w:rsidRPr="00EC09B2">
        <w:rPr>
          <w:rFonts w:cs="Simplified Arabic" w:hint="cs"/>
          <w:sz w:val="26"/>
          <w:szCs w:val="26"/>
          <w:rtl/>
        </w:rPr>
        <w:t xml:space="preserve">وأسعار المحروقات السائلة المستخدمة كوقود للسيارات "البنزين" بمقدار 4.98%، وأسعار الدجاج الطازج بمقدار 1.88%، وأسعار الفواكه الطازجة بمقدار 1.66%، وأسعار المحروقات السائلة المستخدمة كوقود للسيارات "الديزل" بمقدار 1.56%، وأسعار الأرز بمقدار 1.27%، </w:t>
      </w:r>
      <w:r w:rsidRPr="00EC09B2">
        <w:rPr>
          <w:rFonts w:cs="Simplified Arabic" w:hint="cs"/>
          <w:sz w:val="26"/>
          <w:szCs w:val="26"/>
          <w:rtl/>
        </w:rPr>
        <w:t xml:space="preserve">على الرغم من </w:t>
      </w:r>
      <w:r w:rsidR="00FB2FD9" w:rsidRPr="00EC09B2">
        <w:rPr>
          <w:rFonts w:cs="Simplified Arabic" w:hint="cs"/>
          <w:sz w:val="26"/>
          <w:szCs w:val="26"/>
          <w:rtl/>
        </w:rPr>
        <w:t>ارتفاع</w:t>
      </w:r>
      <w:r w:rsidRPr="00EC09B2">
        <w:rPr>
          <w:rFonts w:cs="Simplified Arabic" w:hint="cs"/>
          <w:sz w:val="26"/>
          <w:szCs w:val="26"/>
          <w:rtl/>
        </w:rPr>
        <w:t xml:space="preserve"> </w:t>
      </w:r>
      <w:r w:rsidR="00FB2FD9" w:rsidRPr="00EC09B2">
        <w:rPr>
          <w:rFonts w:cs="Simplified Arabic" w:hint="cs"/>
          <w:sz w:val="26"/>
          <w:szCs w:val="26"/>
          <w:rtl/>
        </w:rPr>
        <w:t xml:space="preserve">أسعار الزيوت النباتية بنسبة 3.06%، وأسعار الخضروات المجففة بنسبة 2.78%، </w:t>
      </w:r>
      <w:r w:rsidR="009C000D" w:rsidRPr="00EC09B2">
        <w:rPr>
          <w:rFonts w:cs="Simplified Arabic" w:hint="cs"/>
          <w:sz w:val="26"/>
          <w:szCs w:val="26"/>
          <w:rtl/>
        </w:rPr>
        <w:t>و</w:t>
      </w:r>
      <w:r w:rsidRPr="00EC09B2">
        <w:rPr>
          <w:rFonts w:cs="Simplified Arabic" w:hint="cs"/>
          <w:sz w:val="26"/>
          <w:szCs w:val="26"/>
          <w:rtl/>
        </w:rPr>
        <w:t xml:space="preserve">أسعار البيض </w:t>
      </w:r>
      <w:r w:rsidR="00FB2FD9" w:rsidRPr="00EC09B2">
        <w:rPr>
          <w:rFonts w:cs="Simplified Arabic" w:hint="cs"/>
          <w:sz w:val="26"/>
          <w:szCs w:val="26"/>
          <w:rtl/>
        </w:rPr>
        <w:t>بنسبة</w:t>
      </w:r>
      <w:r w:rsidRPr="00EC09B2">
        <w:rPr>
          <w:rFonts w:cs="Simplified Arabic" w:hint="cs"/>
          <w:sz w:val="26"/>
          <w:szCs w:val="26"/>
          <w:rtl/>
        </w:rPr>
        <w:t xml:space="preserve"> </w:t>
      </w:r>
      <w:r w:rsidR="00FB2FD9" w:rsidRPr="00EC09B2">
        <w:rPr>
          <w:rFonts w:cs="Simplified Arabic" w:hint="cs"/>
          <w:sz w:val="26"/>
          <w:szCs w:val="26"/>
          <w:rtl/>
        </w:rPr>
        <w:t>2.11</w:t>
      </w:r>
      <w:r w:rsidRPr="00EC09B2">
        <w:rPr>
          <w:rFonts w:cs="Simplified Arabic" w:hint="cs"/>
          <w:sz w:val="26"/>
          <w:szCs w:val="26"/>
          <w:rtl/>
        </w:rPr>
        <w:t xml:space="preserve">%، </w:t>
      </w:r>
      <w:r w:rsidR="00FB2FD9" w:rsidRPr="00EC09B2">
        <w:rPr>
          <w:rFonts w:cs="Simplified Arabic" w:hint="cs"/>
          <w:sz w:val="26"/>
          <w:szCs w:val="26"/>
          <w:rtl/>
        </w:rPr>
        <w:t xml:space="preserve">وأسعار </w:t>
      </w:r>
      <w:r w:rsidR="009C000D" w:rsidRPr="00EC09B2">
        <w:rPr>
          <w:rFonts w:cs="Simplified Arabic" w:hint="cs"/>
          <w:sz w:val="26"/>
          <w:szCs w:val="26"/>
          <w:rtl/>
        </w:rPr>
        <w:t>ال</w:t>
      </w:r>
      <w:r w:rsidR="00FB2FD9" w:rsidRPr="00EC09B2">
        <w:rPr>
          <w:rFonts w:cs="Simplified Arabic" w:hint="cs"/>
          <w:sz w:val="26"/>
          <w:szCs w:val="26"/>
          <w:rtl/>
        </w:rPr>
        <w:t xml:space="preserve">أسماك </w:t>
      </w:r>
      <w:r w:rsidR="009C000D" w:rsidRPr="00EC09B2">
        <w:rPr>
          <w:rFonts w:cs="Simplified Arabic" w:hint="cs"/>
          <w:sz w:val="26"/>
          <w:szCs w:val="26"/>
          <w:rtl/>
        </w:rPr>
        <w:t>ال</w:t>
      </w:r>
      <w:r w:rsidR="00FB2FD9" w:rsidRPr="00EC09B2">
        <w:rPr>
          <w:rFonts w:cs="Simplified Arabic" w:hint="cs"/>
          <w:sz w:val="26"/>
          <w:szCs w:val="26"/>
          <w:rtl/>
        </w:rPr>
        <w:t xml:space="preserve">حية </w:t>
      </w:r>
      <w:r w:rsidR="009C000D" w:rsidRPr="00EC09B2">
        <w:rPr>
          <w:rFonts w:cs="Simplified Arabic" w:hint="cs"/>
          <w:sz w:val="26"/>
          <w:szCs w:val="26"/>
          <w:rtl/>
        </w:rPr>
        <w:t>ال</w:t>
      </w:r>
      <w:r w:rsidR="00FB2FD9" w:rsidRPr="00EC09B2">
        <w:rPr>
          <w:rFonts w:cs="Simplified Arabic" w:hint="cs"/>
          <w:sz w:val="26"/>
          <w:szCs w:val="26"/>
          <w:rtl/>
        </w:rPr>
        <w:t xml:space="preserve">طازجة أو </w:t>
      </w:r>
      <w:r w:rsidR="009C000D" w:rsidRPr="00EC09B2">
        <w:rPr>
          <w:rFonts w:cs="Simplified Arabic" w:hint="cs"/>
          <w:sz w:val="26"/>
          <w:szCs w:val="26"/>
          <w:rtl/>
        </w:rPr>
        <w:t>ال</w:t>
      </w:r>
      <w:r w:rsidR="00FB2FD9" w:rsidRPr="00EC09B2">
        <w:rPr>
          <w:rFonts w:cs="Simplified Arabic" w:hint="cs"/>
          <w:sz w:val="26"/>
          <w:szCs w:val="26"/>
          <w:rtl/>
        </w:rPr>
        <w:t xml:space="preserve">مبردة أو </w:t>
      </w:r>
      <w:r w:rsidR="009C000D" w:rsidRPr="00EC09B2">
        <w:rPr>
          <w:rFonts w:cs="Simplified Arabic" w:hint="cs"/>
          <w:sz w:val="26"/>
          <w:szCs w:val="26"/>
          <w:rtl/>
        </w:rPr>
        <w:t>ال</w:t>
      </w:r>
      <w:r w:rsidR="00FB2FD9" w:rsidRPr="00EC09B2">
        <w:rPr>
          <w:rFonts w:cs="Simplified Arabic" w:hint="cs"/>
          <w:sz w:val="26"/>
          <w:szCs w:val="26"/>
          <w:rtl/>
        </w:rPr>
        <w:t>مجمدة بنسبة 1.49%.</w:t>
      </w:r>
    </w:p>
    <w:p w:rsidR="00EB4EC6" w:rsidRPr="00EC09B2" w:rsidRDefault="00EB4EC6" w:rsidP="00EB4EC6">
      <w:pPr>
        <w:jc w:val="both"/>
        <w:rPr>
          <w:rFonts w:cs="Simplified Arabic"/>
          <w:sz w:val="26"/>
          <w:szCs w:val="26"/>
          <w:rtl/>
        </w:rPr>
      </w:pPr>
    </w:p>
    <w:p w:rsidR="00FC6C7F" w:rsidRPr="00EC09B2" w:rsidRDefault="00FB2FD9" w:rsidP="00FB2FD9">
      <w:pPr>
        <w:jc w:val="both"/>
        <w:rPr>
          <w:rFonts w:cs="Simplified Arabic"/>
          <w:sz w:val="26"/>
          <w:szCs w:val="26"/>
          <w:rtl/>
        </w:rPr>
      </w:pPr>
      <w:r w:rsidRPr="00EC09B2">
        <w:rPr>
          <w:rFonts w:cs="Simplified Arabic" w:hint="cs"/>
          <w:color w:val="000000"/>
          <w:sz w:val="26"/>
          <w:szCs w:val="26"/>
          <w:rtl/>
        </w:rPr>
        <w:t xml:space="preserve">كما </w:t>
      </w:r>
      <w:r w:rsidR="00FC6C7F" w:rsidRPr="00EC09B2">
        <w:rPr>
          <w:rFonts w:cs="Simplified Arabic" w:hint="cs"/>
          <w:color w:val="000000"/>
          <w:sz w:val="26"/>
          <w:szCs w:val="26"/>
          <w:rtl/>
        </w:rPr>
        <w:t xml:space="preserve">سجل الرقم القياسي لأسعار المستهلك في </w:t>
      </w:r>
      <w:r w:rsidR="009D2A03" w:rsidRPr="00EC09B2">
        <w:rPr>
          <w:rFonts w:cs="Simplified Arabic" w:hint="cs"/>
          <w:b/>
          <w:bCs/>
          <w:color w:val="000000"/>
          <w:sz w:val="26"/>
          <w:szCs w:val="26"/>
          <w:rtl/>
        </w:rPr>
        <w:t>الضفة الغربية**</w:t>
      </w:r>
      <w:r w:rsidR="00FC6C7F" w:rsidRPr="00EC09B2">
        <w:rPr>
          <w:rFonts w:cs="Simplified Arabic" w:hint="cs"/>
          <w:color w:val="000000"/>
          <w:sz w:val="26"/>
          <w:szCs w:val="26"/>
          <w:rtl/>
        </w:rPr>
        <w:t xml:space="preserve"> </w:t>
      </w:r>
      <w:r w:rsidR="00E62844" w:rsidRPr="00EC09B2">
        <w:rPr>
          <w:rFonts w:cs="Simplified Arabic" w:hint="cs"/>
          <w:b/>
          <w:bCs/>
          <w:color w:val="000000"/>
          <w:sz w:val="26"/>
          <w:szCs w:val="26"/>
          <w:rtl/>
        </w:rPr>
        <w:t>انخفاضاً</w:t>
      </w:r>
      <w:r w:rsidR="00FC6C7F" w:rsidRPr="00EC09B2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E62844" w:rsidRPr="00EC09B2">
        <w:rPr>
          <w:rFonts w:cs="Simplified Arabic" w:hint="cs"/>
          <w:b/>
          <w:bCs/>
          <w:color w:val="000000"/>
          <w:sz w:val="26"/>
          <w:szCs w:val="26"/>
          <w:rtl/>
        </w:rPr>
        <w:t>مقداره</w:t>
      </w:r>
      <w:r w:rsidR="00FC6C7F" w:rsidRPr="00EC09B2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9D2A03" w:rsidRPr="00EC09B2">
        <w:rPr>
          <w:rFonts w:cs="Simplified Arabic"/>
          <w:b/>
          <w:bCs/>
          <w:color w:val="000000"/>
          <w:sz w:val="26"/>
          <w:szCs w:val="26"/>
        </w:rPr>
        <w:t>0.</w:t>
      </w:r>
      <w:r w:rsidRPr="00EC09B2">
        <w:rPr>
          <w:rFonts w:cs="Simplified Arabic"/>
          <w:b/>
          <w:bCs/>
          <w:color w:val="000000"/>
          <w:sz w:val="26"/>
          <w:szCs w:val="26"/>
        </w:rPr>
        <w:t>17</w:t>
      </w:r>
      <w:r w:rsidR="009D2A03" w:rsidRPr="00EC09B2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% </w:t>
      </w:r>
      <w:r w:rsidR="00FC6C7F" w:rsidRPr="00EC09B2">
        <w:rPr>
          <w:rFonts w:cs="Simplified Arabic" w:hint="cs"/>
          <w:color w:val="000000"/>
          <w:sz w:val="26"/>
          <w:szCs w:val="26"/>
          <w:rtl/>
        </w:rPr>
        <w:t xml:space="preserve">خلال شهر </w:t>
      </w:r>
      <w:r w:rsidR="00DB609D" w:rsidRPr="00EC09B2">
        <w:rPr>
          <w:rFonts w:cs="Simplified Arabic" w:hint="cs"/>
          <w:sz w:val="26"/>
          <w:szCs w:val="26"/>
          <w:rtl/>
        </w:rPr>
        <w:t xml:space="preserve">كانون </w:t>
      </w:r>
      <w:r w:rsidRPr="00EC09B2">
        <w:rPr>
          <w:rFonts w:cs="Simplified Arabic" w:hint="cs"/>
          <w:sz w:val="26"/>
          <w:szCs w:val="26"/>
          <w:rtl/>
        </w:rPr>
        <w:t>ثاني</w:t>
      </w:r>
      <w:r w:rsidR="00FC6C7F" w:rsidRPr="00EC09B2">
        <w:rPr>
          <w:rFonts w:cs="Simplified Arabic" w:hint="cs"/>
          <w:sz w:val="26"/>
          <w:szCs w:val="26"/>
          <w:rtl/>
        </w:rPr>
        <w:t xml:space="preserve"> </w:t>
      </w:r>
      <w:r w:rsidR="00FC6C7F" w:rsidRPr="00EC09B2">
        <w:rPr>
          <w:rFonts w:cs="Simplified Arabic" w:hint="cs"/>
          <w:color w:val="000000"/>
          <w:sz w:val="26"/>
          <w:szCs w:val="26"/>
          <w:rtl/>
        </w:rPr>
        <w:t>20</w:t>
      </w:r>
      <w:r w:rsidRPr="00EC09B2">
        <w:rPr>
          <w:rFonts w:cs="Simplified Arabic" w:hint="cs"/>
          <w:color w:val="000000"/>
          <w:sz w:val="26"/>
          <w:szCs w:val="26"/>
          <w:rtl/>
        </w:rPr>
        <w:t>20</w:t>
      </w:r>
      <w:r w:rsidR="00FC6C7F" w:rsidRPr="00EC09B2">
        <w:rPr>
          <w:rFonts w:cs="Simplified Arabic" w:hint="cs"/>
          <w:color w:val="000000"/>
          <w:sz w:val="26"/>
          <w:szCs w:val="26"/>
          <w:rtl/>
        </w:rPr>
        <w:t xml:space="preserve"> مقارنة مع شهر </w:t>
      </w:r>
      <w:r w:rsidRPr="00EC09B2">
        <w:rPr>
          <w:rFonts w:cs="Simplified Arabic" w:hint="cs"/>
          <w:sz w:val="26"/>
          <w:szCs w:val="26"/>
          <w:rtl/>
        </w:rPr>
        <w:t>كانون أول</w:t>
      </w:r>
      <w:r w:rsidR="00FC6C7F" w:rsidRPr="00EC09B2">
        <w:rPr>
          <w:rFonts w:cs="Simplified Arabic" w:hint="cs"/>
          <w:sz w:val="26"/>
          <w:szCs w:val="26"/>
          <w:rtl/>
        </w:rPr>
        <w:t xml:space="preserve"> </w:t>
      </w:r>
      <w:r w:rsidR="00FC6C7F" w:rsidRPr="00EC09B2">
        <w:rPr>
          <w:rFonts w:cs="Simplified Arabic" w:hint="cs"/>
          <w:color w:val="000000"/>
          <w:sz w:val="26"/>
          <w:szCs w:val="26"/>
          <w:rtl/>
        </w:rPr>
        <w:t xml:space="preserve">2019، نتج هذا </w:t>
      </w:r>
      <w:r w:rsidR="007B31A5" w:rsidRPr="00EC09B2">
        <w:rPr>
          <w:rFonts w:cs="Simplified Arabic" w:hint="cs"/>
          <w:color w:val="000000"/>
          <w:sz w:val="26"/>
          <w:szCs w:val="26"/>
          <w:rtl/>
        </w:rPr>
        <w:t>الانخفاض</w:t>
      </w:r>
      <w:r w:rsidR="00FC6C7F" w:rsidRPr="00EC09B2">
        <w:rPr>
          <w:rFonts w:cs="Simplified Arabic" w:hint="cs"/>
          <w:color w:val="000000"/>
          <w:sz w:val="26"/>
          <w:szCs w:val="26"/>
          <w:rtl/>
        </w:rPr>
        <w:t xml:space="preserve"> بصورة رئيسية عن </w:t>
      </w:r>
      <w:r w:rsidR="00E62844" w:rsidRPr="00EC09B2">
        <w:rPr>
          <w:rFonts w:cs="Simplified Arabic" w:hint="cs"/>
          <w:color w:val="000000"/>
          <w:sz w:val="26"/>
          <w:szCs w:val="26"/>
          <w:rtl/>
        </w:rPr>
        <w:t>انخفاض</w:t>
      </w:r>
      <w:r w:rsidR="00FC6C7F" w:rsidRPr="00EC09B2">
        <w:rPr>
          <w:rFonts w:cs="Simplified Arabic" w:hint="cs"/>
          <w:color w:val="000000"/>
          <w:sz w:val="26"/>
          <w:szCs w:val="26"/>
          <w:rtl/>
        </w:rPr>
        <w:t xml:space="preserve"> </w:t>
      </w:r>
      <w:r w:rsidRPr="00EC09B2">
        <w:rPr>
          <w:rFonts w:cs="Simplified Arabic" w:hint="cs"/>
          <w:sz w:val="26"/>
          <w:szCs w:val="26"/>
          <w:rtl/>
        </w:rPr>
        <w:t xml:space="preserve">أسعار الدجاج الطازج بمقدار 10.01%، </w:t>
      </w:r>
      <w:r w:rsidR="00DD69A7" w:rsidRPr="00EC09B2">
        <w:rPr>
          <w:rFonts w:cs="Simplified Arabic" w:hint="cs"/>
          <w:sz w:val="26"/>
          <w:szCs w:val="26"/>
          <w:rtl/>
        </w:rPr>
        <w:t>على الرغم من ارتفاع</w:t>
      </w:r>
      <w:r w:rsidR="00DB609D" w:rsidRPr="00EC09B2">
        <w:rPr>
          <w:rFonts w:cs="Simplified Arabic" w:hint="cs"/>
          <w:sz w:val="26"/>
          <w:szCs w:val="26"/>
          <w:rtl/>
        </w:rPr>
        <w:t xml:space="preserve"> </w:t>
      </w:r>
      <w:r w:rsidRPr="00EC09B2">
        <w:rPr>
          <w:rFonts w:cs="Simplified Arabic" w:hint="cs"/>
          <w:sz w:val="26"/>
          <w:szCs w:val="26"/>
          <w:rtl/>
        </w:rPr>
        <w:t>أسعار الخضروات الطازجة بنسبة 5.24%، وأسعار الفواكه الطازجة بنسبة 4.64%، وأسعار الخضروات المجففة بنسبة 2.15%، وأسعار الزيوت النباتية بنسبة 1.02%.</w:t>
      </w:r>
    </w:p>
    <w:p w:rsidR="00FC6C7F" w:rsidRPr="00EC09B2" w:rsidRDefault="00FC6C7F" w:rsidP="00FC6C7F">
      <w:pPr>
        <w:ind w:right="-180"/>
        <w:jc w:val="both"/>
        <w:rPr>
          <w:rFonts w:cs="Simplified Arabic"/>
          <w:sz w:val="26"/>
          <w:szCs w:val="26"/>
          <w:rtl/>
        </w:rPr>
      </w:pPr>
    </w:p>
    <w:p w:rsidR="00401898" w:rsidRDefault="007F6520" w:rsidP="008746B6">
      <w:pPr>
        <w:jc w:val="both"/>
        <w:rPr>
          <w:rFonts w:cs="Simplified Arabic"/>
          <w:sz w:val="26"/>
          <w:szCs w:val="26"/>
          <w:rtl/>
        </w:rPr>
      </w:pPr>
      <w:r w:rsidRPr="00EC09B2">
        <w:rPr>
          <w:rFonts w:cs="Simplified Arabic" w:hint="cs"/>
          <w:sz w:val="26"/>
          <w:szCs w:val="26"/>
          <w:rtl/>
        </w:rPr>
        <w:t xml:space="preserve">في حين </w:t>
      </w:r>
      <w:r w:rsidR="00913EAD" w:rsidRPr="00EC09B2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="00B55088" w:rsidRPr="00EC09B2">
        <w:rPr>
          <w:rFonts w:cs="Simplified Arabic" w:hint="cs"/>
          <w:sz w:val="26"/>
          <w:szCs w:val="26"/>
          <w:rtl/>
        </w:rPr>
        <w:t xml:space="preserve">قطاع غزة ارتفاعاً </w:t>
      </w:r>
      <w:r w:rsidR="00B55088" w:rsidRPr="00EC09B2">
        <w:rPr>
          <w:rFonts w:cs="Simplified Arabic" w:hint="cs"/>
          <w:b/>
          <w:bCs/>
          <w:sz w:val="26"/>
          <w:szCs w:val="26"/>
          <w:rtl/>
        </w:rPr>
        <w:t xml:space="preserve">نسبته </w:t>
      </w:r>
      <w:r w:rsidR="00B55088" w:rsidRPr="00EC09B2">
        <w:rPr>
          <w:rFonts w:cs="Simplified Arabic"/>
          <w:b/>
          <w:bCs/>
          <w:sz w:val="26"/>
          <w:szCs w:val="26"/>
        </w:rPr>
        <w:t>0.</w:t>
      </w:r>
      <w:r w:rsidRPr="00EC09B2">
        <w:rPr>
          <w:rFonts w:cs="Simplified Arabic"/>
          <w:b/>
          <w:bCs/>
          <w:sz w:val="26"/>
          <w:szCs w:val="26"/>
        </w:rPr>
        <w:t>57</w:t>
      </w:r>
      <w:r w:rsidR="00B55088" w:rsidRPr="00EC09B2">
        <w:rPr>
          <w:rFonts w:cs="Simplified Arabic" w:hint="cs"/>
          <w:b/>
          <w:bCs/>
          <w:sz w:val="26"/>
          <w:szCs w:val="26"/>
          <w:rtl/>
        </w:rPr>
        <w:t>%</w:t>
      </w:r>
      <w:r w:rsidR="00913EAD" w:rsidRPr="00EC09B2">
        <w:rPr>
          <w:rFonts w:cs="Simplified Arabic" w:hint="cs"/>
          <w:sz w:val="26"/>
          <w:szCs w:val="26"/>
          <w:rtl/>
        </w:rPr>
        <w:t xml:space="preserve"> خلال شهر </w:t>
      </w:r>
      <w:r w:rsidR="00B55088" w:rsidRPr="00EC09B2">
        <w:rPr>
          <w:rFonts w:cs="Simplified Arabic" w:hint="cs"/>
          <w:sz w:val="26"/>
          <w:szCs w:val="26"/>
          <w:rtl/>
        </w:rPr>
        <w:t xml:space="preserve">كانون </w:t>
      </w:r>
      <w:r w:rsidRPr="00EC09B2">
        <w:rPr>
          <w:rFonts w:cs="Simplified Arabic" w:hint="cs"/>
          <w:sz w:val="26"/>
          <w:szCs w:val="26"/>
          <w:rtl/>
        </w:rPr>
        <w:t>ثاني</w:t>
      </w:r>
      <w:r w:rsidR="00913EAD" w:rsidRPr="00EC09B2">
        <w:rPr>
          <w:rFonts w:cs="Simplified Arabic" w:hint="cs"/>
          <w:sz w:val="26"/>
          <w:szCs w:val="26"/>
          <w:rtl/>
        </w:rPr>
        <w:t xml:space="preserve"> 20</w:t>
      </w:r>
      <w:r w:rsidRPr="00EC09B2">
        <w:rPr>
          <w:rFonts w:cs="Simplified Arabic" w:hint="cs"/>
          <w:sz w:val="26"/>
          <w:szCs w:val="26"/>
          <w:rtl/>
        </w:rPr>
        <w:t>20</w:t>
      </w:r>
      <w:r w:rsidR="00913EAD" w:rsidRPr="00EC09B2">
        <w:rPr>
          <w:rFonts w:cs="Simplified Arabic" w:hint="cs"/>
          <w:sz w:val="26"/>
          <w:szCs w:val="26"/>
          <w:rtl/>
        </w:rPr>
        <w:t xml:space="preserve"> مقارنة مع شهر </w:t>
      </w:r>
      <w:r w:rsidRPr="00EC09B2">
        <w:rPr>
          <w:rFonts w:cs="Simplified Arabic" w:hint="cs"/>
          <w:sz w:val="26"/>
          <w:szCs w:val="26"/>
          <w:rtl/>
        </w:rPr>
        <w:t>كانون أول</w:t>
      </w:r>
      <w:r w:rsidR="00913EAD" w:rsidRPr="00EC09B2">
        <w:rPr>
          <w:rFonts w:cs="Simplified Arabic" w:hint="cs"/>
          <w:sz w:val="26"/>
          <w:szCs w:val="26"/>
          <w:rtl/>
        </w:rPr>
        <w:t xml:space="preserve"> 2019، وذلك نتيجة </w:t>
      </w:r>
      <w:r w:rsidR="00B97B9C" w:rsidRPr="00EC09B2">
        <w:rPr>
          <w:rFonts w:cs="Simplified Arabic" w:hint="cs"/>
          <w:sz w:val="26"/>
          <w:szCs w:val="26"/>
          <w:rtl/>
        </w:rPr>
        <w:t xml:space="preserve">لارتفاع </w:t>
      </w:r>
      <w:r w:rsidR="005811B3" w:rsidRPr="00EC09B2">
        <w:rPr>
          <w:rFonts w:cs="Simplified Arabic" w:hint="cs"/>
          <w:sz w:val="26"/>
          <w:szCs w:val="26"/>
          <w:rtl/>
        </w:rPr>
        <w:t xml:space="preserve">أسعار الخضروات المجففة بنسبة 9.06%، وأسعار الفواكه الطازجة بنسبة </w:t>
      </w:r>
      <w:r w:rsidR="005811B3" w:rsidRPr="00EC09B2">
        <w:rPr>
          <w:rFonts w:cs="Simplified Arabic" w:hint="cs"/>
          <w:sz w:val="26"/>
          <w:szCs w:val="26"/>
          <w:rtl/>
        </w:rPr>
        <w:lastRenderedPageBreak/>
        <w:t xml:space="preserve">6.50%، وأسعار الدجاج الطازج بنسبة 6.06%، </w:t>
      </w:r>
      <w:r w:rsidR="00694FE3" w:rsidRPr="00EC09B2">
        <w:rPr>
          <w:rFonts w:cs="Simplified Arabic" w:hint="cs"/>
          <w:sz w:val="26"/>
          <w:szCs w:val="26"/>
          <w:rtl/>
        </w:rPr>
        <w:t xml:space="preserve">وأسعار البيض بنسبة 4.91%، وأسعار الخضروات الطازجة بنسبة 3.44%، </w:t>
      </w:r>
      <w:r w:rsidR="00913EAD" w:rsidRPr="00EC09B2">
        <w:rPr>
          <w:rFonts w:cs="Simplified Arabic" w:hint="cs"/>
          <w:sz w:val="26"/>
          <w:szCs w:val="26"/>
          <w:rtl/>
        </w:rPr>
        <w:t xml:space="preserve">على الرغم من </w:t>
      </w:r>
      <w:r w:rsidR="00B97B9C" w:rsidRPr="00EC09B2">
        <w:rPr>
          <w:rFonts w:cs="Simplified Arabic" w:hint="cs"/>
          <w:sz w:val="26"/>
          <w:szCs w:val="26"/>
          <w:rtl/>
        </w:rPr>
        <w:t xml:space="preserve">انخفاض </w:t>
      </w:r>
      <w:r w:rsidR="0033141D" w:rsidRPr="00EC09B2">
        <w:rPr>
          <w:rFonts w:cs="Simplified Arabic" w:hint="cs"/>
          <w:sz w:val="26"/>
          <w:szCs w:val="26"/>
          <w:rtl/>
        </w:rPr>
        <w:t xml:space="preserve">أسعار الدرنيات </w:t>
      </w:r>
      <w:r w:rsidR="008746B6" w:rsidRPr="00EC09B2">
        <w:rPr>
          <w:rFonts w:cs="Simplified Arabic" w:hint="cs"/>
          <w:sz w:val="26"/>
          <w:szCs w:val="26"/>
          <w:rtl/>
        </w:rPr>
        <w:t>بمقدار</w:t>
      </w:r>
      <w:r w:rsidR="0033141D" w:rsidRPr="00EC09B2">
        <w:rPr>
          <w:rFonts w:cs="Simplified Arabic" w:hint="cs"/>
          <w:sz w:val="26"/>
          <w:szCs w:val="26"/>
          <w:rtl/>
        </w:rPr>
        <w:t xml:space="preserve"> </w:t>
      </w:r>
      <w:r w:rsidR="0033141D" w:rsidRPr="00EC09B2">
        <w:rPr>
          <w:rFonts w:cs="Simplified Arabic"/>
          <w:sz w:val="26"/>
          <w:szCs w:val="26"/>
        </w:rPr>
        <w:t>21.76</w:t>
      </w:r>
      <w:r w:rsidR="0033141D" w:rsidRPr="00EC09B2">
        <w:rPr>
          <w:rFonts w:cs="Simplified Arabic" w:hint="cs"/>
          <w:sz w:val="26"/>
          <w:szCs w:val="26"/>
          <w:rtl/>
        </w:rPr>
        <w:t xml:space="preserve">%، </w:t>
      </w:r>
      <w:r w:rsidR="00715F4C" w:rsidRPr="00EC09B2">
        <w:rPr>
          <w:rFonts w:cs="Simplified Arabic" w:hint="cs"/>
          <w:sz w:val="26"/>
          <w:szCs w:val="26"/>
          <w:rtl/>
        </w:rPr>
        <w:t xml:space="preserve">وأسعار اللحوم الطازجة </w:t>
      </w:r>
      <w:r w:rsidR="008746B6" w:rsidRPr="00EC09B2">
        <w:rPr>
          <w:rFonts w:cs="Simplified Arabic" w:hint="cs"/>
          <w:sz w:val="26"/>
          <w:szCs w:val="26"/>
          <w:rtl/>
        </w:rPr>
        <w:t xml:space="preserve">بمقدار </w:t>
      </w:r>
      <w:r w:rsidR="0033141D" w:rsidRPr="00EC09B2">
        <w:rPr>
          <w:rFonts w:cs="Simplified Arabic" w:hint="cs"/>
          <w:sz w:val="26"/>
          <w:szCs w:val="26"/>
          <w:rtl/>
        </w:rPr>
        <w:t>3.28</w:t>
      </w:r>
      <w:r w:rsidR="00715F4C" w:rsidRPr="00EC09B2">
        <w:rPr>
          <w:rFonts w:cs="Simplified Arabic" w:hint="cs"/>
          <w:sz w:val="26"/>
          <w:szCs w:val="26"/>
          <w:rtl/>
        </w:rPr>
        <w:t>%</w:t>
      </w:r>
      <w:r w:rsidR="0033141D" w:rsidRPr="00EC09B2">
        <w:rPr>
          <w:rFonts w:cs="Simplified Arabic" w:hint="cs"/>
          <w:sz w:val="26"/>
          <w:szCs w:val="26"/>
          <w:rtl/>
        </w:rPr>
        <w:t xml:space="preserve">، وأسعار الزيوت النباتية </w:t>
      </w:r>
      <w:r w:rsidR="008746B6" w:rsidRPr="00EC09B2">
        <w:rPr>
          <w:rFonts w:cs="Simplified Arabic" w:hint="cs"/>
          <w:sz w:val="26"/>
          <w:szCs w:val="26"/>
          <w:rtl/>
        </w:rPr>
        <w:t xml:space="preserve">بمقدار </w:t>
      </w:r>
      <w:r w:rsidR="0033141D" w:rsidRPr="00EC09B2">
        <w:rPr>
          <w:rFonts w:cs="Simplified Arabic" w:hint="cs"/>
          <w:sz w:val="26"/>
          <w:szCs w:val="26"/>
          <w:rtl/>
        </w:rPr>
        <w:t>2.34%</w:t>
      </w:r>
      <w:r w:rsidR="00B97B9C" w:rsidRPr="00EC09B2">
        <w:rPr>
          <w:rFonts w:cs="Simplified Arabic" w:hint="cs"/>
          <w:sz w:val="26"/>
          <w:szCs w:val="26"/>
          <w:rtl/>
        </w:rPr>
        <w:t>.</w:t>
      </w:r>
    </w:p>
    <w:p w:rsidR="00EC09B2" w:rsidRPr="00EC09B2" w:rsidRDefault="00EC09B2" w:rsidP="008746B6">
      <w:pPr>
        <w:jc w:val="both"/>
        <w:rPr>
          <w:rFonts w:cs="Simplified Arabic"/>
          <w:sz w:val="26"/>
          <w:szCs w:val="26"/>
          <w:rtl/>
        </w:rPr>
      </w:pPr>
    </w:p>
    <w:p w:rsidR="00401898" w:rsidRPr="0051104D" w:rsidRDefault="00401898" w:rsidP="00B72798">
      <w:pPr>
        <w:pStyle w:val="BodyText2"/>
        <w:spacing w:after="0" w:line="240" w:lineRule="auto"/>
        <w:jc w:val="center"/>
        <w:rPr>
          <w:rFonts w:cs="Simplified Arabic"/>
          <w:b/>
          <w:bCs/>
          <w:sz w:val="12"/>
          <w:szCs w:val="12"/>
          <w:rtl/>
        </w:rPr>
      </w:pPr>
      <w:bookmarkStart w:id="0" w:name="OLE_LINK5"/>
      <w:bookmarkStart w:id="1" w:name="OLE_LINK6"/>
    </w:p>
    <w:p w:rsidR="00961766" w:rsidRPr="00EC09B2" w:rsidRDefault="00961766" w:rsidP="006E1F84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EC09B2">
        <w:rPr>
          <w:rFonts w:cs="Simplified Arabic" w:hint="cs"/>
          <w:b/>
          <w:bCs/>
          <w:sz w:val="26"/>
          <w:szCs w:val="26"/>
          <w:rtl/>
        </w:rPr>
        <w:t>الاتجاه العام لحركة الأر</w:t>
      </w:r>
      <w:r w:rsidR="006E1F84" w:rsidRPr="00EC09B2">
        <w:rPr>
          <w:rFonts w:cs="Simplified Arabic" w:hint="cs"/>
          <w:b/>
          <w:bCs/>
          <w:sz w:val="26"/>
          <w:szCs w:val="26"/>
          <w:rtl/>
        </w:rPr>
        <w:t xml:space="preserve">قام القياسية لأسعار المستهلك في </w:t>
      </w:r>
      <w:r w:rsidRPr="00EC09B2">
        <w:rPr>
          <w:rFonts w:cs="Simplified Arabic" w:hint="cs"/>
          <w:b/>
          <w:bCs/>
          <w:sz w:val="26"/>
          <w:szCs w:val="26"/>
          <w:rtl/>
        </w:rPr>
        <w:t xml:space="preserve">فلسطين </w:t>
      </w:r>
      <w:r w:rsidR="00984EBF" w:rsidRPr="00EC09B2">
        <w:rPr>
          <w:rFonts w:cs="Simplified Arabic" w:hint="cs"/>
          <w:b/>
          <w:bCs/>
          <w:sz w:val="26"/>
          <w:szCs w:val="26"/>
          <w:rtl/>
        </w:rPr>
        <w:t>للأشهر</w:t>
      </w:r>
      <w:r w:rsidRPr="00EC09B2">
        <w:rPr>
          <w:rFonts w:cs="Simplified Arabic" w:hint="cs"/>
          <w:b/>
          <w:bCs/>
          <w:sz w:val="26"/>
          <w:szCs w:val="26"/>
          <w:rtl/>
        </w:rPr>
        <w:t xml:space="preserve">: </w:t>
      </w:r>
      <w:r w:rsidR="003B3842" w:rsidRPr="00EC09B2">
        <w:rPr>
          <w:rFonts w:cs="Simplified Arabic" w:hint="cs"/>
          <w:b/>
          <w:bCs/>
          <w:sz w:val="26"/>
          <w:szCs w:val="26"/>
          <w:rtl/>
        </w:rPr>
        <w:t>كانون ثاني</w:t>
      </w:r>
      <w:r w:rsidR="00C8753E" w:rsidRPr="00EC09B2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6E1F84" w:rsidRPr="00EC09B2">
        <w:rPr>
          <w:rFonts w:cs="Simplified Arabic" w:hint="cs"/>
          <w:b/>
          <w:bCs/>
          <w:sz w:val="26"/>
          <w:szCs w:val="26"/>
          <w:rtl/>
        </w:rPr>
        <w:t>2019</w:t>
      </w:r>
      <w:r w:rsidRPr="00EC09B2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F1AB1" w:rsidRPr="00EC09B2">
        <w:rPr>
          <w:rFonts w:cs="Simplified Arabic"/>
          <w:b/>
          <w:bCs/>
          <w:sz w:val="26"/>
          <w:szCs w:val="26"/>
          <w:rtl/>
        </w:rPr>
        <w:t>–</w:t>
      </w:r>
      <w:r w:rsidRPr="00EC09B2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3B3842" w:rsidRPr="00EC09B2">
        <w:rPr>
          <w:rFonts w:cs="Simplified Arabic" w:hint="cs"/>
          <w:b/>
          <w:bCs/>
          <w:sz w:val="26"/>
          <w:szCs w:val="26"/>
          <w:rtl/>
        </w:rPr>
        <w:t xml:space="preserve">كانون </w:t>
      </w:r>
      <w:r w:rsidR="00C8753E" w:rsidRPr="00EC09B2">
        <w:rPr>
          <w:rFonts w:cs="Simplified Arabic" w:hint="cs"/>
          <w:b/>
          <w:bCs/>
          <w:sz w:val="26"/>
          <w:szCs w:val="26"/>
          <w:rtl/>
        </w:rPr>
        <w:t>ثاني</w:t>
      </w:r>
      <w:r w:rsidRPr="00EC09B2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6E1F84" w:rsidRPr="00EC09B2">
        <w:rPr>
          <w:rFonts w:cs="Simplified Arabic" w:hint="cs"/>
          <w:b/>
          <w:bCs/>
          <w:sz w:val="26"/>
          <w:szCs w:val="26"/>
          <w:rtl/>
        </w:rPr>
        <w:t>2020</w:t>
      </w:r>
    </w:p>
    <w:p w:rsidR="00961766" w:rsidRPr="00EC09B2" w:rsidRDefault="00961766" w:rsidP="00931B6F">
      <w:pPr>
        <w:pStyle w:val="BodyText2"/>
        <w:spacing w:after="0" w:line="240" w:lineRule="auto"/>
        <w:jc w:val="center"/>
        <w:rPr>
          <w:sz w:val="26"/>
          <w:szCs w:val="26"/>
          <w:rtl/>
        </w:rPr>
      </w:pPr>
      <w:r w:rsidRPr="00EC09B2">
        <w:rPr>
          <w:rFonts w:cs="Simplified Arabic" w:hint="cs"/>
          <w:b/>
          <w:bCs/>
          <w:sz w:val="26"/>
          <w:szCs w:val="26"/>
          <w:rtl/>
        </w:rPr>
        <w:t>(سنة الأساس 201</w:t>
      </w:r>
      <w:r w:rsidR="00931B6F" w:rsidRPr="00EC09B2">
        <w:rPr>
          <w:rFonts w:cs="Simplified Arabic" w:hint="cs"/>
          <w:b/>
          <w:bCs/>
          <w:sz w:val="26"/>
          <w:szCs w:val="26"/>
          <w:rtl/>
        </w:rPr>
        <w:t>8</w:t>
      </w:r>
      <w:r w:rsidRPr="00EC09B2">
        <w:rPr>
          <w:rFonts w:cs="Simplified Arabic" w:hint="cs"/>
          <w:b/>
          <w:bCs/>
          <w:sz w:val="26"/>
          <w:szCs w:val="26"/>
          <w:rtl/>
        </w:rPr>
        <w:t xml:space="preserve"> = 100)</w:t>
      </w:r>
    </w:p>
    <w:p w:rsidR="00961766" w:rsidRPr="00EC09B2" w:rsidRDefault="00961766" w:rsidP="00961766">
      <w:pPr>
        <w:pStyle w:val="BodyText2"/>
        <w:spacing w:after="0" w:line="240" w:lineRule="auto"/>
        <w:jc w:val="center"/>
        <w:rPr>
          <w:sz w:val="26"/>
          <w:szCs w:val="26"/>
          <w:rtl/>
        </w:rPr>
      </w:pPr>
    </w:p>
    <w:p w:rsidR="00C27AF0" w:rsidRDefault="00961766" w:rsidP="00EC09B2">
      <w:pPr>
        <w:pStyle w:val="BodyText2"/>
        <w:spacing w:after="0" w:line="240" w:lineRule="auto"/>
        <w:jc w:val="center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/>
          <w:b/>
          <w:bCs/>
          <w:noProof/>
          <w:color w:val="FF0000"/>
          <w:lang w:eastAsia="en-US"/>
        </w:rPr>
        <w:drawing>
          <wp:inline distT="0" distB="0" distL="0" distR="0">
            <wp:extent cx="3052089" cy="2157984"/>
            <wp:effectExtent l="19050" t="0" r="14961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4F4D" w:rsidRDefault="00A34F4D" w:rsidP="00045789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</w:rPr>
      </w:pPr>
    </w:p>
    <w:p w:rsidR="00EC09B2" w:rsidRDefault="00EC09B2" w:rsidP="00A34F4D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color w:val="000000"/>
          <w:sz w:val="22"/>
          <w:szCs w:val="22"/>
          <w:rtl/>
        </w:rPr>
      </w:pPr>
    </w:p>
    <w:p w:rsidR="00A34F4D" w:rsidRPr="00EC09B2" w:rsidRDefault="00A34F4D" w:rsidP="00A34F4D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color w:val="000000"/>
          <w:sz w:val="22"/>
          <w:szCs w:val="22"/>
        </w:rPr>
      </w:pPr>
      <w:r w:rsidRPr="00EC09B2">
        <w:rPr>
          <w:rFonts w:cs="Simplified Arabic" w:hint="cs"/>
          <w:b/>
          <w:bCs/>
          <w:color w:val="000000"/>
          <w:sz w:val="22"/>
          <w:szCs w:val="22"/>
          <w:rtl/>
        </w:rPr>
        <w:t>تنويه:</w:t>
      </w:r>
    </w:p>
    <w:p w:rsidR="00586C84" w:rsidRPr="00EC09B2" w:rsidRDefault="00586C84" w:rsidP="00A642C8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2"/>
          <w:szCs w:val="22"/>
        </w:rPr>
      </w:pPr>
      <w:r w:rsidRPr="00EC09B2">
        <w:rPr>
          <w:rFonts w:cs="Simplified Arabic" w:hint="cs"/>
          <w:color w:val="000000"/>
          <w:sz w:val="22"/>
          <w:szCs w:val="22"/>
          <w:rtl/>
        </w:rPr>
        <w:t xml:space="preserve">ضمن عملية التطوير في احتساب مؤشر أسعار المستهلك </w:t>
      </w:r>
      <w:r w:rsidR="00A642C8" w:rsidRPr="00EC09B2">
        <w:rPr>
          <w:rFonts w:cs="Simplified Arabic" w:hint="cs"/>
          <w:color w:val="000000"/>
          <w:sz w:val="22"/>
          <w:szCs w:val="22"/>
          <w:rtl/>
        </w:rPr>
        <w:t xml:space="preserve">على مستوى </w:t>
      </w:r>
      <w:r w:rsidRPr="00EC09B2">
        <w:rPr>
          <w:rFonts w:cs="Simplified Arabic" w:hint="cs"/>
          <w:color w:val="000000"/>
          <w:sz w:val="22"/>
          <w:szCs w:val="22"/>
          <w:rtl/>
        </w:rPr>
        <w:t>فلسطين تم العمل على اعتماد الوزن النسبي للمناطق الفلسطينية "الضفة الغربية**، قطاع غزة، القدس</w:t>
      </w:r>
      <w:r w:rsidRPr="00EC09B2">
        <w:rPr>
          <w:rFonts w:cs="Simplified Arabic"/>
          <w:color w:val="000000"/>
          <w:sz w:val="22"/>
          <w:szCs w:val="22"/>
        </w:rPr>
        <w:t>J1</w:t>
      </w:r>
      <w:r w:rsidRPr="00EC09B2">
        <w:rPr>
          <w:rFonts w:cs="Simplified Arabic" w:hint="cs"/>
          <w:color w:val="000000"/>
          <w:sz w:val="22"/>
          <w:szCs w:val="22"/>
          <w:rtl/>
        </w:rPr>
        <w:t>*" على المستوى التفصيلي لمجموعات الإنفاق الرئيسية و</w:t>
      </w:r>
      <w:r w:rsidR="00A642C8" w:rsidRPr="00EC09B2">
        <w:rPr>
          <w:rFonts w:cs="Simplified Arabic" w:hint="cs"/>
          <w:color w:val="000000"/>
          <w:sz w:val="22"/>
          <w:szCs w:val="22"/>
          <w:rtl/>
        </w:rPr>
        <w:t>الفرعية في احتساب الرقم القياسي</w:t>
      </w:r>
      <w:r w:rsidRPr="00EC09B2">
        <w:rPr>
          <w:rFonts w:cs="Simplified Arabic" w:hint="cs"/>
          <w:color w:val="000000"/>
          <w:sz w:val="22"/>
          <w:szCs w:val="22"/>
          <w:rtl/>
        </w:rPr>
        <w:t>، عوضاً عن استخدام الوزن النسبي على المستوى العام للمناطق، وعليه تم إعادة الاحتساب لشهر 12/2019 وذلك لأغراض الربط ما بين السلاسل الزمنية</w:t>
      </w:r>
      <w:r w:rsidR="00045789" w:rsidRPr="00EC09B2">
        <w:rPr>
          <w:rFonts w:cs="Simplified Arabic" w:hint="cs"/>
          <w:color w:val="000000"/>
          <w:sz w:val="22"/>
          <w:szCs w:val="22"/>
          <w:rtl/>
        </w:rPr>
        <w:t xml:space="preserve"> وتطبيقاً للتوصيات الدولية بهذا الخصوص</w:t>
      </w:r>
      <w:r w:rsidRPr="00EC09B2">
        <w:rPr>
          <w:rFonts w:cs="Simplified Arabic" w:hint="cs"/>
          <w:color w:val="000000"/>
          <w:sz w:val="22"/>
          <w:szCs w:val="22"/>
          <w:rtl/>
        </w:rPr>
        <w:t xml:space="preserve">. </w:t>
      </w:r>
    </w:p>
    <w:p w:rsidR="00A34F4D" w:rsidRPr="00EC09B2" w:rsidRDefault="00A34F4D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22"/>
          <w:szCs w:val="22"/>
          <w:rtl/>
        </w:rPr>
      </w:pPr>
    </w:p>
    <w:p w:rsidR="005B6242" w:rsidRPr="00EC09B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sz w:val="22"/>
          <w:szCs w:val="22"/>
          <w:rtl/>
        </w:rPr>
      </w:pPr>
      <w:r w:rsidRPr="00EC09B2">
        <w:rPr>
          <w:rFonts w:cs="Simplified Arabic" w:hint="cs"/>
          <w:b/>
          <w:bCs/>
          <w:color w:val="000000"/>
          <w:sz w:val="22"/>
          <w:szCs w:val="22"/>
          <w:rtl/>
        </w:rPr>
        <w:t>ملاحظات:</w:t>
      </w:r>
    </w:p>
    <w:p w:rsidR="00080277" w:rsidRPr="00EC09B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sz w:val="22"/>
          <w:szCs w:val="22"/>
          <w:rtl/>
        </w:rPr>
      </w:pPr>
      <w:r w:rsidRPr="00EC09B2">
        <w:rPr>
          <w:rFonts w:cs="Simplified Arabic" w:hint="cs"/>
          <w:color w:val="000000"/>
          <w:sz w:val="22"/>
          <w:szCs w:val="22"/>
          <w:rtl/>
        </w:rPr>
        <w:t>*</w:t>
      </w:r>
      <w:r w:rsidR="007026C5" w:rsidRPr="00EC09B2">
        <w:rPr>
          <w:rFonts w:cs="Simplified Arabic" w:hint="cs"/>
          <w:color w:val="000000"/>
          <w:sz w:val="22"/>
          <w:szCs w:val="22"/>
          <w:rtl/>
        </w:rPr>
        <w:t xml:space="preserve">البيانات </w:t>
      </w:r>
      <w:r w:rsidR="00C34749" w:rsidRPr="00EC09B2">
        <w:rPr>
          <w:rFonts w:cs="Simplified Arabic" w:hint="cs"/>
          <w:color w:val="000000"/>
          <w:sz w:val="22"/>
          <w:szCs w:val="22"/>
          <w:rtl/>
        </w:rPr>
        <w:t>تمثل</w:t>
      </w:r>
      <w:r w:rsidR="00B159A7" w:rsidRPr="00EC09B2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="00080277" w:rsidRPr="00EC09B2">
        <w:rPr>
          <w:rFonts w:cs="Simplified Arabic"/>
          <w:color w:val="000000"/>
          <w:sz w:val="22"/>
          <w:szCs w:val="22"/>
          <w:rtl/>
        </w:rPr>
        <w:t>ذلك</w:t>
      </w:r>
      <w:r w:rsidR="006F2DB0" w:rsidRPr="00EC09B2">
        <w:rPr>
          <w:rFonts w:cs="Simplified Arabic"/>
          <w:color w:val="000000"/>
          <w:sz w:val="22"/>
          <w:szCs w:val="22"/>
          <w:rtl/>
        </w:rPr>
        <w:t xml:space="preserve"> الجزء من محافظة القدس </w:t>
      </w:r>
      <w:r w:rsidR="007026C5" w:rsidRPr="00EC09B2">
        <w:rPr>
          <w:rFonts w:cs="Simplified Arabic" w:hint="cs"/>
          <w:color w:val="000000"/>
          <w:sz w:val="22"/>
          <w:szCs w:val="22"/>
          <w:rtl/>
        </w:rPr>
        <w:t>و</w:t>
      </w:r>
      <w:r w:rsidR="006F2DB0" w:rsidRPr="00EC09B2">
        <w:rPr>
          <w:rFonts w:cs="Simplified Arabic"/>
          <w:color w:val="000000"/>
          <w:sz w:val="22"/>
          <w:szCs w:val="22"/>
          <w:rtl/>
        </w:rPr>
        <w:t>الذي ضم</w:t>
      </w:r>
      <w:r w:rsidR="006F2DB0" w:rsidRPr="00EC09B2">
        <w:rPr>
          <w:rFonts w:cs="Simplified Arabic" w:hint="cs"/>
          <w:color w:val="000000"/>
          <w:sz w:val="22"/>
          <w:szCs w:val="22"/>
          <w:rtl/>
        </w:rPr>
        <w:t>ه الاحتلال</w:t>
      </w:r>
      <w:r w:rsidR="00080277" w:rsidRPr="00EC09B2">
        <w:rPr>
          <w:rFonts w:cs="Simplified Arabic"/>
          <w:color w:val="000000"/>
          <w:sz w:val="22"/>
          <w:szCs w:val="22"/>
          <w:rtl/>
        </w:rPr>
        <w:t xml:space="preserve"> </w:t>
      </w:r>
      <w:r w:rsidR="006F2DB0" w:rsidRPr="00EC09B2">
        <w:rPr>
          <w:rFonts w:cs="Simplified Arabic" w:hint="cs"/>
          <w:color w:val="000000"/>
          <w:sz w:val="22"/>
          <w:szCs w:val="22"/>
          <w:rtl/>
        </w:rPr>
        <w:t>الإسرائيل</w:t>
      </w:r>
      <w:r w:rsidR="006F2DB0" w:rsidRPr="00EC09B2">
        <w:rPr>
          <w:rFonts w:cs="Simplified Arabic" w:hint="eastAsia"/>
          <w:color w:val="000000"/>
          <w:sz w:val="22"/>
          <w:szCs w:val="22"/>
          <w:rtl/>
        </w:rPr>
        <w:t>ي</w:t>
      </w:r>
      <w:r w:rsidR="00080277" w:rsidRPr="00EC09B2">
        <w:rPr>
          <w:rFonts w:cs="Simplified Arabic"/>
          <w:color w:val="000000"/>
          <w:sz w:val="22"/>
          <w:szCs w:val="22"/>
          <w:rtl/>
        </w:rPr>
        <w:t xml:space="preserve"> </w:t>
      </w:r>
      <w:r w:rsidR="007026C5" w:rsidRPr="00EC09B2">
        <w:rPr>
          <w:rFonts w:cs="Simplified Arabic" w:hint="cs"/>
          <w:color w:val="000000"/>
          <w:sz w:val="22"/>
          <w:szCs w:val="22"/>
          <w:rtl/>
        </w:rPr>
        <w:t xml:space="preserve">إليه </w:t>
      </w:r>
      <w:r w:rsidR="00080277" w:rsidRPr="00EC09B2">
        <w:rPr>
          <w:rFonts w:cs="Simplified Arabic"/>
          <w:color w:val="000000"/>
          <w:sz w:val="22"/>
          <w:szCs w:val="22"/>
          <w:rtl/>
        </w:rPr>
        <w:t>عنوة بعي</w:t>
      </w:r>
      <w:r w:rsidR="006F2DB0" w:rsidRPr="00EC09B2">
        <w:rPr>
          <w:rFonts w:cs="Simplified Arabic"/>
          <w:color w:val="000000"/>
          <w:sz w:val="22"/>
          <w:szCs w:val="22"/>
          <w:rtl/>
        </w:rPr>
        <w:t>د احتلاله</w:t>
      </w:r>
      <w:r w:rsidR="00080277" w:rsidRPr="00EC09B2">
        <w:rPr>
          <w:rFonts w:cs="Simplified Arabic"/>
          <w:color w:val="000000"/>
          <w:sz w:val="22"/>
          <w:szCs w:val="22"/>
          <w:rtl/>
        </w:rPr>
        <w:t xml:space="preserve"> للضفة الغربية عام</w:t>
      </w:r>
      <w:r w:rsidR="00872D26" w:rsidRPr="00EC09B2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="00080277" w:rsidRPr="00EC09B2">
        <w:rPr>
          <w:rFonts w:cs="Simplified Arabic"/>
          <w:color w:val="000000"/>
          <w:sz w:val="22"/>
          <w:szCs w:val="22"/>
          <w:rtl/>
        </w:rPr>
        <w:t>1967.</w:t>
      </w:r>
    </w:p>
    <w:p w:rsidR="00B159A7" w:rsidRPr="00EC09B2" w:rsidRDefault="00843420" w:rsidP="00BE1FB3">
      <w:pPr>
        <w:pStyle w:val="BodyText2"/>
        <w:spacing w:after="0" w:line="240" w:lineRule="auto"/>
        <w:jc w:val="both"/>
        <w:rPr>
          <w:rFonts w:cs="Simplified Arabic"/>
          <w:color w:val="000000"/>
          <w:sz w:val="22"/>
          <w:szCs w:val="22"/>
        </w:rPr>
      </w:pPr>
      <w:bookmarkStart w:id="2" w:name="OLE_LINK7"/>
      <w:bookmarkStart w:id="3" w:name="OLE_LINK8"/>
      <w:r w:rsidRPr="00EC09B2">
        <w:rPr>
          <w:rFonts w:cs="Simplified Arabic" w:hint="cs"/>
          <w:color w:val="000000"/>
          <w:sz w:val="22"/>
          <w:szCs w:val="22"/>
          <w:rtl/>
        </w:rPr>
        <w:t>**</w:t>
      </w:r>
      <w:r w:rsidR="007026C5" w:rsidRPr="00EC09B2">
        <w:rPr>
          <w:rFonts w:cs="Simplified Arabic" w:hint="cs"/>
          <w:color w:val="000000"/>
          <w:sz w:val="22"/>
          <w:szCs w:val="22"/>
          <w:rtl/>
        </w:rPr>
        <w:t>البيانات</w:t>
      </w:r>
      <w:r w:rsidR="001B331F" w:rsidRPr="00EC09B2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="00B159A7" w:rsidRPr="00EC09B2">
        <w:rPr>
          <w:rFonts w:cs="Simplified Arabic"/>
          <w:color w:val="000000"/>
          <w:sz w:val="22"/>
          <w:szCs w:val="22"/>
          <w:rtl/>
        </w:rPr>
        <w:t>لا</w:t>
      </w:r>
      <w:r w:rsidR="001B331F" w:rsidRPr="00EC09B2">
        <w:rPr>
          <w:rFonts w:cs="Simplified Arabic" w:hint="cs"/>
          <w:color w:val="000000"/>
          <w:sz w:val="22"/>
          <w:szCs w:val="22"/>
          <w:rtl/>
        </w:rPr>
        <w:t xml:space="preserve"> </w:t>
      </w:r>
      <w:bookmarkEnd w:id="0"/>
      <w:bookmarkEnd w:id="1"/>
      <w:bookmarkEnd w:id="2"/>
      <w:bookmarkEnd w:id="3"/>
      <w:r w:rsidR="00B159A7" w:rsidRPr="00EC09B2">
        <w:rPr>
          <w:rFonts w:cs="Simplified Arabic" w:hint="cs"/>
          <w:color w:val="000000"/>
          <w:sz w:val="22"/>
          <w:szCs w:val="22"/>
          <w:rtl/>
        </w:rPr>
        <w:t xml:space="preserve">تشمل </w:t>
      </w:r>
      <w:r w:rsidR="00B159A7" w:rsidRPr="00EC09B2">
        <w:rPr>
          <w:rFonts w:cs="Simplified Arabic"/>
          <w:color w:val="000000"/>
          <w:sz w:val="22"/>
          <w:szCs w:val="22"/>
          <w:rtl/>
        </w:rPr>
        <w:t>ذلك</w:t>
      </w:r>
      <w:r w:rsidR="006F2DB0" w:rsidRPr="00EC09B2">
        <w:rPr>
          <w:rFonts w:cs="Simplified Arabic"/>
          <w:color w:val="000000"/>
          <w:sz w:val="22"/>
          <w:szCs w:val="22"/>
          <w:rtl/>
        </w:rPr>
        <w:t xml:space="preserve"> الجزء من محافظة القدس </w:t>
      </w:r>
      <w:r w:rsidR="007026C5" w:rsidRPr="00EC09B2">
        <w:rPr>
          <w:rFonts w:cs="Simplified Arabic" w:hint="cs"/>
          <w:color w:val="000000"/>
          <w:sz w:val="22"/>
          <w:szCs w:val="22"/>
          <w:rtl/>
        </w:rPr>
        <w:t>و</w:t>
      </w:r>
      <w:r w:rsidR="006F2DB0" w:rsidRPr="00EC09B2">
        <w:rPr>
          <w:rFonts w:cs="Simplified Arabic"/>
          <w:color w:val="000000"/>
          <w:sz w:val="22"/>
          <w:szCs w:val="22"/>
          <w:rtl/>
        </w:rPr>
        <w:t>الذي ضم</w:t>
      </w:r>
      <w:r w:rsidR="006F2DB0" w:rsidRPr="00EC09B2">
        <w:rPr>
          <w:rFonts w:cs="Simplified Arabic" w:hint="cs"/>
          <w:color w:val="000000"/>
          <w:sz w:val="22"/>
          <w:szCs w:val="22"/>
          <w:rtl/>
        </w:rPr>
        <w:t>ه الاحتلال</w:t>
      </w:r>
      <w:r w:rsidR="00B159A7" w:rsidRPr="00EC09B2">
        <w:rPr>
          <w:rFonts w:cs="Simplified Arabic"/>
          <w:color w:val="000000"/>
          <w:sz w:val="22"/>
          <w:szCs w:val="22"/>
          <w:rtl/>
        </w:rPr>
        <w:t xml:space="preserve"> </w:t>
      </w:r>
      <w:r w:rsidR="006F2DB0" w:rsidRPr="00EC09B2">
        <w:rPr>
          <w:rFonts w:cs="Simplified Arabic" w:hint="cs"/>
          <w:color w:val="000000"/>
          <w:sz w:val="22"/>
          <w:szCs w:val="22"/>
          <w:rtl/>
        </w:rPr>
        <w:t>ال</w:t>
      </w:r>
      <w:r w:rsidR="00B159A7" w:rsidRPr="00EC09B2">
        <w:rPr>
          <w:rFonts w:cs="Simplified Arabic" w:hint="cs"/>
          <w:color w:val="000000"/>
          <w:sz w:val="22"/>
          <w:szCs w:val="22"/>
          <w:rtl/>
        </w:rPr>
        <w:t>إسرائيل</w:t>
      </w:r>
      <w:r w:rsidR="006F2DB0" w:rsidRPr="00EC09B2">
        <w:rPr>
          <w:rFonts w:cs="Simplified Arabic" w:hint="cs"/>
          <w:color w:val="000000"/>
          <w:sz w:val="22"/>
          <w:szCs w:val="22"/>
          <w:rtl/>
        </w:rPr>
        <w:t>ي</w:t>
      </w:r>
      <w:r w:rsidR="006F2DB0" w:rsidRPr="00EC09B2">
        <w:rPr>
          <w:rFonts w:cs="Simplified Arabic"/>
          <w:color w:val="000000"/>
          <w:sz w:val="22"/>
          <w:szCs w:val="22"/>
          <w:rtl/>
        </w:rPr>
        <w:t xml:space="preserve"> </w:t>
      </w:r>
      <w:r w:rsidR="007026C5" w:rsidRPr="00EC09B2">
        <w:rPr>
          <w:rFonts w:cs="Simplified Arabic" w:hint="cs"/>
          <w:color w:val="000000"/>
          <w:sz w:val="22"/>
          <w:szCs w:val="22"/>
          <w:rtl/>
        </w:rPr>
        <w:t xml:space="preserve">إليه </w:t>
      </w:r>
      <w:r w:rsidR="006F2DB0" w:rsidRPr="00EC09B2">
        <w:rPr>
          <w:rFonts w:cs="Simplified Arabic"/>
          <w:color w:val="000000"/>
          <w:sz w:val="22"/>
          <w:szCs w:val="22"/>
          <w:rtl/>
        </w:rPr>
        <w:t>عنوة بعيد احتلاله</w:t>
      </w:r>
      <w:r w:rsidR="00B159A7" w:rsidRPr="00EC09B2">
        <w:rPr>
          <w:rFonts w:cs="Simplified Arabic"/>
          <w:color w:val="000000"/>
          <w:sz w:val="22"/>
          <w:szCs w:val="22"/>
          <w:rtl/>
        </w:rPr>
        <w:t xml:space="preserve"> للضفة الغربية عام</w:t>
      </w:r>
      <w:r w:rsidR="00B159A7" w:rsidRPr="00EC09B2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="00B159A7" w:rsidRPr="00EC09B2">
        <w:rPr>
          <w:rFonts w:cs="Simplified Arabic"/>
          <w:color w:val="000000"/>
          <w:sz w:val="22"/>
          <w:szCs w:val="22"/>
          <w:rtl/>
        </w:rPr>
        <w:t>1967.</w:t>
      </w:r>
    </w:p>
    <w:p w:rsidR="006F184B" w:rsidRDefault="006F184B" w:rsidP="00B159A7">
      <w:pPr>
        <w:pStyle w:val="BodyText2"/>
        <w:spacing w:after="0" w:line="240" w:lineRule="auto"/>
        <w:jc w:val="both"/>
        <w:rPr>
          <w:rFonts w:cs="Simplified Arabic"/>
          <w:b/>
          <w:bCs/>
          <w:sz w:val="20"/>
          <w:szCs w:val="20"/>
          <w:rtl/>
        </w:rPr>
      </w:pPr>
    </w:p>
    <w:sectPr w:rsidR="006F184B" w:rsidSect="006745D0">
      <w:footerReference w:type="even" r:id="rId9"/>
      <w:footerReference w:type="default" r:id="rId10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519" w:rsidRDefault="00984519">
      <w:r>
        <w:separator/>
      </w:r>
    </w:p>
  </w:endnote>
  <w:endnote w:type="continuationSeparator" w:id="0">
    <w:p w:rsidR="00984519" w:rsidRDefault="00984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89" w:rsidRDefault="002A24C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C77D8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D89" w:rsidRDefault="00C77D89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89" w:rsidRDefault="002A24CB">
    <w:pPr>
      <w:pStyle w:val="Footer"/>
      <w:jc w:val="center"/>
    </w:pPr>
    <w:fldSimple w:instr=" PAGE   \* MERGEFORMAT ">
      <w:r w:rsidR="007D4272">
        <w:rPr>
          <w:noProof/>
          <w:rtl/>
        </w:rPr>
        <w:t>2</w:t>
      </w:r>
    </w:fldSimple>
  </w:p>
  <w:p w:rsidR="00C77D89" w:rsidRDefault="00C77D89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519" w:rsidRDefault="00984519">
      <w:r>
        <w:separator/>
      </w:r>
    </w:p>
  </w:footnote>
  <w:footnote w:type="continuationSeparator" w:id="0">
    <w:p w:rsidR="00984519" w:rsidRDefault="00984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484C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96E"/>
    <w:rsid w:val="00026F0C"/>
    <w:rsid w:val="0002776B"/>
    <w:rsid w:val="000279AA"/>
    <w:rsid w:val="00027EE9"/>
    <w:rsid w:val="00031BFA"/>
    <w:rsid w:val="00035419"/>
    <w:rsid w:val="0003558C"/>
    <w:rsid w:val="000375D1"/>
    <w:rsid w:val="00040080"/>
    <w:rsid w:val="000401EF"/>
    <w:rsid w:val="00040348"/>
    <w:rsid w:val="00040F3B"/>
    <w:rsid w:val="0004115C"/>
    <w:rsid w:val="00042B6E"/>
    <w:rsid w:val="00042D93"/>
    <w:rsid w:val="00045789"/>
    <w:rsid w:val="00045A37"/>
    <w:rsid w:val="000462AD"/>
    <w:rsid w:val="00050809"/>
    <w:rsid w:val="00051412"/>
    <w:rsid w:val="000517B6"/>
    <w:rsid w:val="00052776"/>
    <w:rsid w:val="0005498F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23DB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1E0"/>
    <w:rsid w:val="00096B23"/>
    <w:rsid w:val="00096BD5"/>
    <w:rsid w:val="000A0EAC"/>
    <w:rsid w:val="000A2FA2"/>
    <w:rsid w:val="000A3E1F"/>
    <w:rsid w:val="000A4D7D"/>
    <w:rsid w:val="000A67F5"/>
    <w:rsid w:val="000A6AF3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2FA6"/>
    <w:rsid w:val="000D3465"/>
    <w:rsid w:val="000D35D3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B3A"/>
    <w:rsid w:val="001F2BE1"/>
    <w:rsid w:val="001F3D7D"/>
    <w:rsid w:val="001F3D91"/>
    <w:rsid w:val="001F4912"/>
    <w:rsid w:val="001F4DF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16990"/>
    <w:rsid w:val="0022161E"/>
    <w:rsid w:val="00221984"/>
    <w:rsid w:val="00222E33"/>
    <w:rsid w:val="00224DD6"/>
    <w:rsid w:val="0022671A"/>
    <w:rsid w:val="002303C0"/>
    <w:rsid w:val="00230831"/>
    <w:rsid w:val="00230B12"/>
    <w:rsid w:val="0023359B"/>
    <w:rsid w:val="00233A0A"/>
    <w:rsid w:val="002350EA"/>
    <w:rsid w:val="002359F7"/>
    <w:rsid w:val="00237FD1"/>
    <w:rsid w:val="0024064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3744"/>
    <w:rsid w:val="002639AA"/>
    <w:rsid w:val="002653B6"/>
    <w:rsid w:val="00265EDE"/>
    <w:rsid w:val="00267D6C"/>
    <w:rsid w:val="00270F3F"/>
    <w:rsid w:val="00272099"/>
    <w:rsid w:val="00276A44"/>
    <w:rsid w:val="002779B2"/>
    <w:rsid w:val="002813D3"/>
    <w:rsid w:val="00283418"/>
    <w:rsid w:val="002843C3"/>
    <w:rsid w:val="00285547"/>
    <w:rsid w:val="00285834"/>
    <w:rsid w:val="00285962"/>
    <w:rsid w:val="00286D09"/>
    <w:rsid w:val="002916EA"/>
    <w:rsid w:val="0029295A"/>
    <w:rsid w:val="00293C44"/>
    <w:rsid w:val="0029418E"/>
    <w:rsid w:val="00294226"/>
    <w:rsid w:val="002962AE"/>
    <w:rsid w:val="00297FDE"/>
    <w:rsid w:val="002A1898"/>
    <w:rsid w:val="002A1B84"/>
    <w:rsid w:val="002A24CB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56B"/>
    <w:rsid w:val="002B3E30"/>
    <w:rsid w:val="002B6359"/>
    <w:rsid w:val="002B6B6A"/>
    <w:rsid w:val="002C0C08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01D2"/>
    <w:rsid w:val="002F1339"/>
    <w:rsid w:val="002F3813"/>
    <w:rsid w:val="002F4B06"/>
    <w:rsid w:val="002F7117"/>
    <w:rsid w:val="00301E69"/>
    <w:rsid w:val="00304BC5"/>
    <w:rsid w:val="00306F89"/>
    <w:rsid w:val="00310B33"/>
    <w:rsid w:val="00310F91"/>
    <w:rsid w:val="00312F0B"/>
    <w:rsid w:val="00313FCA"/>
    <w:rsid w:val="00314949"/>
    <w:rsid w:val="00314C95"/>
    <w:rsid w:val="003151C7"/>
    <w:rsid w:val="00315F83"/>
    <w:rsid w:val="00316C37"/>
    <w:rsid w:val="00320216"/>
    <w:rsid w:val="00320469"/>
    <w:rsid w:val="0032062C"/>
    <w:rsid w:val="00321730"/>
    <w:rsid w:val="003234C4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4065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7C11"/>
    <w:rsid w:val="003B0477"/>
    <w:rsid w:val="003B064B"/>
    <w:rsid w:val="003B1479"/>
    <w:rsid w:val="003B149E"/>
    <w:rsid w:val="003B1644"/>
    <w:rsid w:val="003B3842"/>
    <w:rsid w:val="003B7682"/>
    <w:rsid w:val="003B799A"/>
    <w:rsid w:val="003C0943"/>
    <w:rsid w:val="003C2419"/>
    <w:rsid w:val="003C242C"/>
    <w:rsid w:val="003C4615"/>
    <w:rsid w:val="003C4E7B"/>
    <w:rsid w:val="003D29A6"/>
    <w:rsid w:val="003D2AA2"/>
    <w:rsid w:val="003D33E0"/>
    <w:rsid w:val="003D366A"/>
    <w:rsid w:val="003D36AD"/>
    <w:rsid w:val="003D5947"/>
    <w:rsid w:val="003D61EC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115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408"/>
    <w:rsid w:val="004355E4"/>
    <w:rsid w:val="004368E9"/>
    <w:rsid w:val="0043752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5626F"/>
    <w:rsid w:val="0045644C"/>
    <w:rsid w:val="004606C7"/>
    <w:rsid w:val="00460ED9"/>
    <w:rsid w:val="004611D1"/>
    <w:rsid w:val="004614C1"/>
    <w:rsid w:val="00463447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CA"/>
    <w:rsid w:val="00482F04"/>
    <w:rsid w:val="004832F3"/>
    <w:rsid w:val="004836F3"/>
    <w:rsid w:val="004844C3"/>
    <w:rsid w:val="00485036"/>
    <w:rsid w:val="004871BB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B676A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11DD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43E"/>
    <w:rsid w:val="00507B8E"/>
    <w:rsid w:val="0051104D"/>
    <w:rsid w:val="00512490"/>
    <w:rsid w:val="00512723"/>
    <w:rsid w:val="00513A2B"/>
    <w:rsid w:val="005148C1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FAA"/>
    <w:rsid w:val="00553775"/>
    <w:rsid w:val="005539FB"/>
    <w:rsid w:val="0055469D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7107"/>
    <w:rsid w:val="005774F8"/>
    <w:rsid w:val="00577688"/>
    <w:rsid w:val="00577850"/>
    <w:rsid w:val="00577E72"/>
    <w:rsid w:val="0058067C"/>
    <w:rsid w:val="0058076F"/>
    <w:rsid w:val="005811B3"/>
    <w:rsid w:val="00581BA0"/>
    <w:rsid w:val="005823E8"/>
    <w:rsid w:val="00582516"/>
    <w:rsid w:val="00583C4D"/>
    <w:rsid w:val="00583F49"/>
    <w:rsid w:val="00585FC8"/>
    <w:rsid w:val="00586C84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6C23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96F"/>
    <w:rsid w:val="0060009E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2EA2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1916"/>
    <w:rsid w:val="0063241F"/>
    <w:rsid w:val="00632DAC"/>
    <w:rsid w:val="006332D0"/>
    <w:rsid w:val="00633404"/>
    <w:rsid w:val="0063370A"/>
    <w:rsid w:val="00633BC8"/>
    <w:rsid w:val="00634B18"/>
    <w:rsid w:val="00636C41"/>
    <w:rsid w:val="00642440"/>
    <w:rsid w:val="00642EB6"/>
    <w:rsid w:val="00643F6E"/>
    <w:rsid w:val="00645921"/>
    <w:rsid w:val="00646BD9"/>
    <w:rsid w:val="00647049"/>
    <w:rsid w:val="00647C35"/>
    <w:rsid w:val="006509E7"/>
    <w:rsid w:val="0065280C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45D0"/>
    <w:rsid w:val="0067585E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8605B"/>
    <w:rsid w:val="0068792F"/>
    <w:rsid w:val="00690840"/>
    <w:rsid w:val="00691809"/>
    <w:rsid w:val="006926F6"/>
    <w:rsid w:val="00692AF7"/>
    <w:rsid w:val="00694682"/>
    <w:rsid w:val="00694EB7"/>
    <w:rsid w:val="00694FE3"/>
    <w:rsid w:val="006953B0"/>
    <w:rsid w:val="006A07DB"/>
    <w:rsid w:val="006A0BE8"/>
    <w:rsid w:val="006A2E5C"/>
    <w:rsid w:val="006A35BA"/>
    <w:rsid w:val="006A399B"/>
    <w:rsid w:val="006A55DA"/>
    <w:rsid w:val="006A5F9C"/>
    <w:rsid w:val="006A7D01"/>
    <w:rsid w:val="006B05D7"/>
    <w:rsid w:val="006B1E71"/>
    <w:rsid w:val="006B2DB1"/>
    <w:rsid w:val="006B34A6"/>
    <w:rsid w:val="006B36AA"/>
    <w:rsid w:val="006B3858"/>
    <w:rsid w:val="006B3E3D"/>
    <w:rsid w:val="006B49F8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C6945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32B"/>
    <w:rsid w:val="006F4FBC"/>
    <w:rsid w:val="006F5948"/>
    <w:rsid w:val="006F5B9F"/>
    <w:rsid w:val="006F6174"/>
    <w:rsid w:val="006F6981"/>
    <w:rsid w:val="006F74C3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19C3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309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F6C"/>
    <w:rsid w:val="007A7894"/>
    <w:rsid w:val="007B0015"/>
    <w:rsid w:val="007B1038"/>
    <w:rsid w:val="007B107B"/>
    <w:rsid w:val="007B10D9"/>
    <w:rsid w:val="007B1329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271C"/>
    <w:rsid w:val="007C411D"/>
    <w:rsid w:val="007C5699"/>
    <w:rsid w:val="007C6BA8"/>
    <w:rsid w:val="007D1C69"/>
    <w:rsid w:val="007D239F"/>
    <w:rsid w:val="007D296E"/>
    <w:rsid w:val="007D4272"/>
    <w:rsid w:val="007D47AB"/>
    <w:rsid w:val="007D7351"/>
    <w:rsid w:val="007E2439"/>
    <w:rsid w:val="007E3870"/>
    <w:rsid w:val="007E3D3A"/>
    <w:rsid w:val="007E4488"/>
    <w:rsid w:val="007E4DB0"/>
    <w:rsid w:val="007E692E"/>
    <w:rsid w:val="007E6F76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17AD0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AF0"/>
    <w:rsid w:val="008469F4"/>
    <w:rsid w:val="00847B7F"/>
    <w:rsid w:val="00847BF3"/>
    <w:rsid w:val="00850010"/>
    <w:rsid w:val="0085018A"/>
    <w:rsid w:val="00853325"/>
    <w:rsid w:val="00853AB8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197B"/>
    <w:rsid w:val="008721E1"/>
    <w:rsid w:val="00872D26"/>
    <w:rsid w:val="00872DA9"/>
    <w:rsid w:val="008746B6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95A9B"/>
    <w:rsid w:val="008A03E4"/>
    <w:rsid w:val="008A1041"/>
    <w:rsid w:val="008A13D0"/>
    <w:rsid w:val="008A1B0B"/>
    <w:rsid w:val="008A21E9"/>
    <w:rsid w:val="008A4D5C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E6580"/>
    <w:rsid w:val="008F0511"/>
    <w:rsid w:val="008F0BA5"/>
    <w:rsid w:val="008F0E0F"/>
    <w:rsid w:val="008F1F76"/>
    <w:rsid w:val="008F2A45"/>
    <w:rsid w:val="008F4942"/>
    <w:rsid w:val="008F6151"/>
    <w:rsid w:val="008F74B5"/>
    <w:rsid w:val="00901001"/>
    <w:rsid w:val="00902E62"/>
    <w:rsid w:val="00903139"/>
    <w:rsid w:val="00903D83"/>
    <w:rsid w:val="009042D3"/>
    <w:rsid w:val="00904917"/>
    <w:rsid w:val="00905666"/>
    <w:rsid w:val="00906036"/>
    <w:rsid w:val="00907968"/>
    <w:rsid w:val="009102EB"/>
    <w:rsid w:val="00910530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6946"/>
    <w:rsid w:val="00927AF6"/>
    <w:rsid w:val="009305BC"/>
    <w:rsid w:val="009312F4"/>
    <w:rsid w:val="00931AC3"/>
    <w:rsid w:val="00931B6F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3C52"/>
    <w:rsid w:val="009540E8"/>
    <w:rsid w:val="009546F8"/>
    <w:rsid w:val="00956F29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4519"/>
    <w:rsid w:val="00984EBF"/>
    <w:rsid w:val="009852DE"/>
    <w:rsid w:val="0098675E"/>
    <w:rsid w:val="009911C4"/>
    <w:rsid w:val="0099157B"/>
    <w:rsid w:val="00992526"/>
    <w:rsid w:val="00993C2B"/>
    <w:rsid w:val="0099424D"/>
    <w:rsid w:val="009A17B4"/>
    <w:rsid w:val="009A2084"/>
    <w:rsid w:val="009A2B2E"/>
    <w:rsid w:val="009A2CA1"/>
    <w:rsid w:val="009A323B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3BC7"/>
    <w:rsid w:val="009B6711"/>
    <w:rsid w:val="009B6F68"/>
    <w:rsid w:val="009B773A"/>
    <w:rsid w:val="009C000D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4E62"/>
    <w:rsid w:val="009E50AB"/>
    <w:rsid w:val="009E5504"/>
    <w:rsid w:val="009E669C"/>
    <w:rsid w:val="009E7C0B"/>
    <w:rsid w:val="009F1984"/>
    <w:rsid w:val="009F2C88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94C"/>
    <w:rsid w:val="00A40A29"/>
    <w:rsid w:val="00A40DED"/>
    <w:rsid w:val="00A41219"/>
    <w:rsid w:val="00A415CA"/>
    <w:rsid w:val="00A41D5C"/>
    <w:rsid w:val="00A428E8"/>
    <w:rsid w:val="00A43E2D"/>
    <w:rsid w:val="00A4453A"/>
    <w:rsid w:val="00A470B5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0E68"/>
    <w:rsid w:val="00A611E9"/>
    <w:rsid w:val="00A61ED5"/>
    <w:rsid w:val="00A624B2"/>
    <w:rsid w:val="00A642C8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4DA"/>
    <w:rsid w:val="00A86825"/>
    <w:rsid w:val="00A86CB4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DB6"/>
    <w:rsid w:val="00AA13AF"/>
    <w:rsid w:val="00AA1E4A"/>
    <w:rsid w:val="00AA256D"/>
    <w:rsid w:val="00AA28EC"/>
    <w:rsid w:val="00AA2D0E"/>
    <w:rsid w:val="00AA34E5"/>
    <w:rsid w:val="00AA3541"/>
    <w:rsid w:val="00AA3BE5"/>
    <w:rsid w:val="00AB0814"/>
    <w:rsid w:val="00AB1EF4"/>
    <w:rsid w:val="00AB24F6"/>
    <w:rsid w:val="00AB3409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107A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08AD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1FA4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9A4"/>
    <w:rsid w:val="00B50D0F"/>
    <w:rsid w:val="00B51F1C"/>
    <w:rsid w:val="00B522FA"/>
    <w:rsid w:val="00B53677"/>
    <w:rsid w:val="00B53EB3"/>
    <w:rsid w:val="00B53F09"/>
    <w:rsid w:val="00B54F21"/>
    <w:rsid w:val="00B55088"/>
    <w:rsid w:val="00B56631"/>
    <w:rsid w:val="00B62025"/>
    <w:rsid w:val="00B629F3"/>
    <w:rsid w:val="00B641C2"/>
    <w:rsid w:val="00B642D5"/>
    <w:rsid w:val="00B645BB"/>
    <w:rsid w:val="00B70138"/>
    <w:rsid w:val="00B72798"/>
    <w:rsid w:val="00B73167"/>
    <w:rsid w:val="00B73AB5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522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9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6352"/>
    <w:rsid w:val="00C26648"/>
    <w:rsid w:val="00C26C78"/>
    <w:rsid w:val="00C27116"/>
    <w:rsid w:val="00C27AF0"/>
    <w:rsid w:val="00C27C22"/>
    <w:rsid w:val="00C312CA"/>
    <w:rsid w:val="00C3209C"/>
    <w:rsid w:val="00C322A5"/>
    <w:rsid w:val="00C32BED"/>
    <w:rsid w:val="00C33581"/>
    <w:rsid w:val="00C33ADB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5E1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89"/>
    <w:rsid w:val="00C81E88"/>
    <w:rsid w:val="00C82032"/>
    <w:rsid w:val="00C8255A"/>
    <w:rsid w:val="00C82DB0"/>
    <w:rsid w:val="00C84927"/>
    <w:rsid w:val="00C85882"/>
    <w:rsid w:val="00C86F98"/>
    <w:rsid w:val="00C8753E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488"/>
    <w:rsid w:val="00CC07C7"/>
    <w:rsid w:val="00CC0BAD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6053"/>
    <w:rsid w:val="00CE6501"/>
    <w:rsid w:val="00CE6BAA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1807"/>
    <w:rsid w:val="00D225E8"/>
    <w:rsid w:val="00D2282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6BFC"/>
    <w:rsid w:val="00D47435"/>
    <w:rsid w:val="00D4749E"/>
    <w:rsid w:val="00D51615"/>
    <w:rsid w:val="00D52645"/>
    <w:rsid w:val="00D527F2"/>
    <w:rsid w:val="00D53A49"/>
    <w:rsid w:val="00D54476"/>
    <w:rsid w:val="00D54DD4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4757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3F57"/>
    <w:rsid w:val="00DA7CF3"/>
    <w:rsid w:val="00DB22DC"/>
    <w:rsid w:val="00DB4819"/>
    <w:rsid w:val="00DB5FD6"/>
    <w:rsid w:val="00DB609D"/>
    <w:rsid w:val="00DB7262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9A7"/>
    <w:rsid w:val="00DD6F3E"/>
    <w:rsid w:val="00DD7BDB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2698A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501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2844"/>
    <w:rsid w:val="00E64301"/>
    <w:rsid w:val="00E708B1"/>
    <w:rsid w:val="00E721CB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9B2"/>
    <w:rsid w:val="00EC200E"/>
    <w:rsid w:val="00EC303F"/>
    <w:rsid w:val="00EC54F4"/>
    <w:rsid w:val="00EC625C"/>
    <w:rsid w:val="00EC77DB"/>
    <w:rsid w:val="00EC7859"/>
    <w:rsid w:val="00ED0336"/>
    <w:rsid w:val="00ED053C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E7C43"/>
    <w:rsid w:val="00EF075C"/>
    <w:rsid w:val="00EF0A97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53FF"/>
    <w:rsid w:val="00F7715E"/>
    <w:rsid w:val="00F775F9"/>
    <w:rsid w:val="00F77FD8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2FD9"/>
    <w:rsid w:val="00FB5D92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2B0F"/>
    <w:rsid w:val="00FC3E81"/>
    <w:rsid w:val="00FC4E0A"/>
    <w:rsid w:val="00FC5BDB"/>
    <w:rsid w:val="00FC6C7F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6060"/>
    <w:rsid w:val="00FF7743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4605363421019041"/>
          <c:y val="5.8897243107769427E-2"/>
          <c:w val="0.6732813848843836"/>
          <c:h val="0.5525475105085594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4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3916652642359827E-2"/>
                  <c:y val="-4.7552395846677593E-2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5.296610169491538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كانون ثاني 2019</c:v>
                </c:pt>
                <c:pt idx="1">
                  <c:v>شباط 2019</c:v>
                </c:pt>
                <c:pt idx="2">
                  <c:v>آذار 2019</c:v>
                </c:pt>
                <c:pt idx="3">
                  <c:v>نيسان 2019</c:v>
                </c:pt>
                <c:pt idx="4">
                  <c:v>أيار 2019</c:v>
                </c:pt>
                <c:pt idx="5">
                  <c:v>حزيران 2019</c:v>
                </c:pt>
                <c:pt idx="6">
                  <c:v>تموز 2019</c:v>
                </c:pt>
                <c:pt idx="7">
                  <c:v>آب 2019</c:v>
                </c:pt>
                <c:pt idx="8">
                  <c:v>أيلول 2019</c:v>
                </c:pt>
                <c:pt idx="9">
                  <c:v>تشرين أول 2019</c:v>
                </c:pt>
                <c:pt idx="10">
                  <c:v>تشرين ثاني 2019</c:v>
                </c:pt>
                <c:pt idx="11">
                  <c:v>كانون أول 2019</c:v>
                </c:pt>
                <c:pt idx="12">
                  <c:v>كانون ثاني 2020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100.07003221563534</c:v>
                </c:pt>
                <c:pt idx="1">
                  <c:v>100.02146955648102</c:v>
                </c:pt>
                <c:pt idx="2">
                  <c:v>100.8750002984339</c:v>
                </c:pt>
                <c:pt idx="3">
                  <c:v>101.73567930556067</c:v>
                </c:pt>
                <c:pt idx="4">
                  <c:v>102.17703884199277</c:v>
                </c:pt>
                <c:pt idx="5">
                  <c:v>101.69</c:v>
                </c:pt>
                <c:pt idx="6">
                  <c:v>101.88</c:v>
                </c:pt>
                <c:pt idx="7">
                  <c:v>102.2</c:v>
                </c:pt>
                <c:pt idx="8">
                  <c:v>102.54</c:v>
                </c:pt>
                <c:pt idx="9">
                  <c:v>102.22080291110667</c:v>
                </c:pt>
                <c:pt idx="10">
                  <c:v>101.9</c:v>
                </c:pt>
                <c:pt idx="11">
                  <c:v>101.35</c:v>
                </c:pt>
                <c:pt idx="12">
                  <c:v>101.33</c:v>
                </c:pt>
              </c:numCache>
            </c:numRef>
          </c:val>
        </c:ser>
        <c:marker val="1"/>
        <c:axId val="189453824"/>
        <c:axId val="189455360"/>
      </c:lineChart>
      <c:catAx>
        <c:axId val="189453824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lang="ar-SA"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89455360"/>
        <c:crosses val="autoZero"/>
        <c:auto val="1"/>
        <c:lblAlgn val="ctr"/>
        <c:lblOffset val="100"/>
        <c:tickLblSkip val="1"/>
        <c:tickMarkSkip val="1"/>
      </c:catAx>
      <c:valAx>
        <c:axId val="189455360"/>
        <c:scaling>
          <c:orientation val="minMax"/>
          <c:max val="105"/>
          <c:min val="90"/>
        </c:scaling>
        <c:axPos val="l"/>
        <c:title>
          <c:tx>
            <c:rich>
              <a:bodyPr/>
              <a:lstStyle/>
              <a:p>
                <a:pPr>
                  <a:defRPr lang="ar-SA"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(CPI)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3.4774215299750451E-2"/>
              <c:y val="1.791301511039934E-2"/>
            </c:manualLayout>
          </c:layout>
          <c:spPr>
            <a:noFill/>
            <a:ln w="25267">
              <a:noFill/>
            </a:ln>
          </c:spPr>
        </c:title>
        <c:numFmt formatCode="0" sourceLinked="0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ar-SA"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89453824"/>
        <c:crosses val="autoZero"/>
        <c:crossBetween val="between"/>
        <c:majorUnit val="2"/>
      </c:valAx>
      <c:spPr>
        <a:noFill/>
        <a:ln w="25369">
          <a:noFill/>
        </a:ln>
      </c:spPr>
    </c:plotArea>
    <c:plotVisOnly val="1"/>
    <c:dispBlanksAs val="gap"/>
  </c:chart>
  <c:spPr>
    <a:noFill/>
    <a:ln w="12700" cap="flat" cmpd="sng" algn="ctr">
      <a:solidFill>
        <a:sysClr val="windowText" lastClr="000000">
          <a:alpha val="58000"/>
        </a:sysClr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6942C-0E8F-4443-B710-D8FB1648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3159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loays</cp:lastModifiedBy>
  <cp:revision>345</cp:revision>
  <cp:lastPrinted>2020-02-11T06:47:00Z</cp:lastPrinted>
  <dcterms:created xsi:type="dcterms:W3CDTF">2019-01-09T09:17:00Z</dcterms:created>
  <dcterms:modified xsi:type="dcterms:W3CDTF">2020-02-11T09:28:00Z</dcterms:modified>
</cp:coreProperties>
</file>