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582" w:rsidRDefault="00C54582" w:rsidP="00C54582">
      <w:pPr>
        <w:ind w:right="-180"/>
        <w:jc w:val="center"/>
        <w:rPr>
          <w:rFonts w:cs="Simplified Arabic"/>
          <w:b/>
          <w:bCs/>
          <w:sz w:val="32"/>
          <w:szCs w:val="32"/>
          <w:rtl/>
        </w:rPr>
      </w:pPr>
      <w:bookmarkStart w:id="0" w:name="OLE_LINK3"/>
      <w:bookmarkStart w:id="1" w:name="OLE_LINK4"/>
    </w:p>
    <w:p w:rsidR="00C54582" w:rsidRDefault="00C54582" w:rsidP="00C54582">
      <w:pPr>
        <w:ind w:right="-180"/>
        <w:jc w:val="center"/>
        <w:rPr>
          <w:rFonts w:cs="Simplified Arabic"/>
          <w:b/>
          <w:bCs/>
          <w:sz w:val="32"/>
          <w:szCs w:val="32"/>
          <w:rtl/>
        </w:rPr>
      </w:pPr>
    </w:p>
    <w:p w:rsidR="00C54582" w:rsidRPr="00C54582" w:rsidRDefault="00C54582" w:rsidP="00C54582">
      <w:pPr>
        <w:ind w:right="-180"/>
        <w:jc w:val="center"/>
        <w:rPr>
          <w:rFonts w:cs="Simplified Arabic"/>
          <w:b/>
          <w:bCs/>
          <w:sz w:val="32"/>
          <w:szCs w:val="32"/>
          <w:rtl/>
        </w:rPr>
      </w:pPr>
      <w:r w:rsidRPr="00C54582">
        <w:rPr>
          <w:rFonts w:cs="Simplified Arabic" w:hint="cs"/>
          <w:b/>
          <w:bCs/>
          <w:sz w:val="32"/>
          <w:szCs w:val="32"/>
          <w:rtl/>
        </w:rPr>
        <w:t>الاحصاء الفلسطيني يصدر بياناً صحفياً بمناسبة يوم المستهلك الفلسطيني</w:t>
      </w:r>
      <w:r w:rsidRPr="00C54582">
        <w:rPr>
          <w:rFonts w:cs="Simplified Arabic" w:hint="cs"/>
          <w:b/>
          <w:bCs/>
          <w:color w:val="000000"/>
          <w:sz w:val="32"/>
          <w:szCs w:val="32"/>
          <w:rtl/>
        </w:rPr>
        <w:t xml:space="preserve"> 15/03/2019</w:t>
      </w:r>
    </w:p>
    <w:p w:rsidR="00C54582" w:rsidRPr="00AD5CA4" w:rsidRDefault="00C54582" w:rsidP="00C54582">
      <w:pPr>
        <w:ind w:right="-180"/>
        <w:rPr>
          <w:rFonts w:cs="Simplified Arabic"/>
          <w:b/>
          <w:bCs/>
          <w:color w:val="000000"/>
          <w:sz w:val="16"/>
          <w:szCs w:val="16"/>
          <w:rtl/>
        </w:rPr>
      </w:pPr>
    </w:p>
    <w:p w:rsidR="00C54582" w:rsidRPr="00C54582" w:rsidRDefault="00C54582" w:rsidP="00C54582">
      <w:pPr>
        <w:ind w:right="-180"/>
        <w:jc w:val="both"/>
        <w:rPr>
          <w:rFonts w:cs="Simplified Arabic"/>
          <w:color w:val="000000"/>
          <w:sz w:val="26"/>
          <w:szCs w:val="26"/>
          <w:rtl/>
        </w:rPr>
      </w:pPr>
      <w:r w:rsidRPr="00C54582">
        <w:rPr>
          <w:rFonts w:cs="Simplified Arabic" w:hint="cs"/>
          <w:b/>
          <w:bCs/>
          <w:sz w:val="26"/>
          <w:szCs w:val="26"/>
          <w:rtl/>
        </w:rPr>
        <w:t>الطعام يشكل ثلث إنفاق المستهلك الفلسطيني</w:t>
      </w:r>
    </w:p>
    <w:p w:rsidR="00C54582" w:rsidRDefault="00C54582" w:rsidP="00C54582">
      <w:pPr>
        <w:ind w:right="-180"/>
        <w:jc w:val="both"/>
        <w:rPr>
          <w:rFonts w:cs="Simplified Arabic"/>
          <w:color w:val="000000"/>
          <w:rtl/>
        </w:rPr>
      </w:pPr>
      <w:r>
        <w:rPr>
          <w:rFonts w:cs="Simplified Arabic" w:hint="cs"/>
          <w:color w:val="000000"/>
          <w:rtl/>
        </w:rPr>
        <w:t xml:space="preserve">تعتبر أسعار المستهلك والتي تعرف بأنها السعر النهائي الذي يدفعه المواطن مقابل الحصول على السلعة أو الخدمة لاستخدامه النهائي، من المواضيع الهامة التي تمس حياة الموطن اليومية، كونها ذات تأثير مباشر ينعكس على مستوى المعيشة الذي يمكن أن يحققه بدخله المتاح. وتتكون سلة المستهلك الفلسطيني من حوالي 650 سلعة وخدمة موزعة على 12 مجموعة رئيسية أهمها المواد الغذائية والمشروبات والمسكن ومستلزماته والنقل والمواصلات. </w:t>
      </w:r>
    </w:p>
    <w:p w:rsidR="00C54582" w:rsidRPr="00C54582" w:rsidRDefault="00C54582" w:rsidP="00C54582">
      <w:pPr>
        <w:ind w:right="-180"/>
        <w:jc w:val="both"/>
        <w:rPr>
          <w:rFonts w:cs="Simplified Arabic"/>
          <w:color w:val="000000"/>
          <w:sz w:val="16"/>
          <w:szCs w:val="16"/>
          <w:rtl/>
        </w:rPr>
      </w:pPr>
    </w:p>
    <w:p w:rsidR="00C54582" w:rsidRDefault="00C54582" w:rsidP="00C54582">
      <w:pPr>
        <w:tabs>
          <w:tab w:val="num" w:pos="1215"/>
        </w:tabs>
        <w:jc w:val="both"/>
        <w:rPr>
          <w:rFonts w:cs="Simplified Arabic"/>
          <w:rtl/>
        </w:rPr>
      </w:pPr>
      <w:r>
        <w:rPr>
          <w:rFonts w:cs="Simplified Arabic" w:hint="cs"/>
          <w:rtl/>
        </w:rPr>
        <w:t>ي</w:t>
      </w:r>
      <w:r w:rsidRPr="002514B1">
        <w:rPr>
          <w:rFonts w:cs="Simplified Arabic" w:hint="cs"/>
          <w:rtl/>
        </w:rPr>
        <w:t xml:space="preserve">شكل الإنفاق على مجموعات الطعام في </w:t>
      </w:r>
      <w:r>
        <w:rPr>
          <w:rFonts w:cs="Simplified Arabic" w:hint="cs"/>
          <w:rtl/>
        </w:rPr>
        <w:t>فلسطين</w:t>
      </w:r>
      <w:r w:rsidRPr="002514B1">
        <w:rPr>
          <w:rFonts w:cs="Simplified Arabic" w:hint="cs"/>
          <w:rtl/>
        </w:rPr>
        <w:t xml:space="preserve"> </w:t>
      </w:r>
      <w:r>
        <w:rPr>
          <w:rFonts w:cs="Simplified Arabic" w:hint="cs"/>
          <w:rtl/>
        </w:rPr>
        <w:t>31</w:t>
      </w:r>
      <w:r w:rsidRPr="002514B1">
        <w:rPr>
          <w:rFonts w:cs="Simplified Arabic" w:hint="cs"/>
          <w:rtl/>
        </w:rPr>
        <w:t xml:space="preserve">% من </w:t>
      </w:r>
      <w:r>
        <w:rPr>
          <w:rFonts w:cs="Simplified Arabic" w:hint="cs"/>
          <w:rtl/>
        </w:rPr>
        <w:t>متوسط</w:t>
      </w:r>
      <w:r w:rsidRPr="002514B1">
        <w:rPr>
          <w:rFonts w:cs="Simplified Arabic" w:hint="cs"/>
          <w:rtl/>
        </w:rPr>
        <w:t xml:space="preserve"> الإنفاق الشهري</w:t>
      </w:r>
      <w:r>
        <w:rPr>
          <w:rFonts w:cs="Simplified Arabic" w:hint="cs"/>
          <w:rtl/>
        </w:rPr>
        <w:t xml:space="preserve"> للفرد</w:t>
      </w:r>
      <w:r w:rsidRPr="002514B1">
        <w:rPr>
          <w:rFonts w:cs="Simplified Arabic" w:hint="cs"/>
          <w:rtl/>
        </w:rPr>
        <w:t xml:space="preserve">، بواقع </w:t>
      </w:r>
      <w:r>
        <w:rPr>
          <w:rFonts w:cs="Simplified Arabic" w:hint="cs"/>
          <w:rtl/>
        </w:rPr>
        <w:t>29</w:t>
      </w:r>
      <w:r w:rsidRPr="002514B1">
        <w:rPr>
          <w:rFonts w:cs="Simplified Arabic" w:hint="cs"/>
          <w:rtl/>
        </w:rPr>
        <w:t xml:space="preserve">% في الضفة الغربية </w:t>
      </w:r>
      <w:r>
        <w:rPr>
          <w:rFonts w:cs="Simplified Arabic" w:hint="cs"/>
          <w:rtl/>
        </w:rPr>
        <w:t>و36</w:t>
      </w:r>
      <w:r w:rsidRPr="002514B1">
        <w:rPr>
          <w:rFonts w:cs="Simplified Arabic" w:hint="cs"/>
          <w:rtl/>
        </w:rPr>
        <w:t>% في قطاع غزة، تليها</w:t>
      </w:r>
      <w:r w:rsidRPr="002514B1">
        <w:rPr>
          <w:rFonts w:cs="Simplified Arabic"/>
          <w:rtl/>
        </w:rPr>
        <w:t xml:space="preserve"> </w:t>
      </w:r>
      <w:r w:rsidRPr="002514B1">
        <w:rPr>
          <w:rFonts w:cs="Simplified Arabic" w:hint="cs"/>
          <w:rtl/>
        </w:rPr>
        <w:t>نسبة الإنفاق على</w:t>
      </w:r>
      <w:r w:rsidRPr="002514B1">
        <w:rPr>
          <w:rFonts w:cs="Simplified Arabic"/>
          <w:rtl/>
        </w:rPr>
        <w:t xml:space="preserve"> وسائل النقل والاتصالات</w:t>
      </w:r>
      <w:r>
        <w:rPr>
          <w:rFonts w:cs="Simplified Arabic" w:hint="cs"/>
          <w:rtl/>
        </w:rPr>
        <w:t xml:space="preserve"> بواقع 19</w:t>
      </w:r>
      <w:r w:rsidRPr="002514B1">
        <w:rPr>
          <w:rFonts w:cs="Simplified Arabic" w:hint="cs"/>
          <w:rtl/>
        </w:rPr>
        <w:t xml:space="preserve">%، </w:t>
      </w:r>
      <w:r>
        <w:rPr>
          <w:rFonts w:cs="Simplified Arabic" w:hint="cs"/>
          <w:rtl/>
        </w:rPr>
        <w:t xml:space="preserve">وعلى المسكن بواقع 9%, </w:t>
      </w:r>
      <w:r w:rsidRPr="002514B1">
        <w:rPr>
          <w:rFonts w:cs="Simplified Arabic" w:hint="cs"/>
          <w:rtl/>
        </w:rPr>
        <w:t xml:space="preserve">وكانت أدنى نسبة من الإنفاق على مجموعتي النشاطات الترفيهية </w:t>
      </w:r>
      <w:r>
        <w:rPr>
          <w:rFonts w:cs="Simplified Arabic" w:hint="cs"/>
          <w:rtl/>
        </w:rPr>
        <w:t>والثقافية والعناية الشخصية بواقع</w:t>
      </w:r>
      <w:r w:rsidRPr="002514B1">
        <w:rPr>
          <w:rFonts w:cs="Simplified Arabic" w:hint="cs"/>
          <w:rtl/>
        </w:rPr>
        <w:t xml:space="preserve"> </w:t>
      </w:r>
      <w:r>
        <w:rPr>
          <w:rFonts w:cs="Simplified Arabic" w:hint="cs"/>
          <w:rtl/>
        </w:rPr>
        <w:t>2</w:t>
      </w:r>
      <w:r w:rsidRPr="002514B1">
        <w:rPr>
          <w:rFonts w:cs="Simplified Arabic" w:hint="cs"/>
          <w:rtl/>
        </w:rPr>
        <w:t xml:space="preserve">% </w:t>
      </w:r>
      <w:r>
        <w:rPr>
          <w:rFonts w:cs="Simplified Arabic" w:hint="cs"/>
          <w:rtl/>
        </w:rPr>
        <w:t>لكل منهما</w:t>
      </w:r>
      <w:r w:rsidRPr="002514B1">
        <w:rPr>
          <w:rFonts w:cs="Simplified Arabic" w:hint="cs"/>
          <w:rtl/>
        </w:rPr>
        <w:t xml:space="preserve"> في </w:t>
      </w:r>
      <w:r>
        <w:rPr>
          <w:rFonts w:cs="Simplified Arabic" w:hint="cs"/>
          <w:rtl/>
        </w:rPr>
        <w:t>فلسطين</w:t>
      </w:r>
      <w:r w:rsidRPr="002514B1">
        <w:rPr>
          <w:rFonts w:cs="Simplified Arabic" w:hint="cs"/>
          <w:rtl/>
        </w:rPr>
        <w:t>.</w:t>
      </w:r>
    </w:p>
    <w:p w:rsidR="00C54582" w:rsidRPr="00AD5CA4" w:rsidRDefault="00C54582" w:rsidP="00C54582">
      <w:pPr>
        <w:tabs>
          <w:tab w:val="num" w:pos="1215"/>
        </w:tabs>
        <w:jc w:val="both"/>
        <w:rPr>
          <w:rFonts w:cs="Simplified Arabic"/>
          <w:sz w:val="16"/>
          <w:szCs w:val="16"/>
          <w:rtl/>
        </w:rPr>
      </w:pPr>
    </w:p>
    <w:p w:rsidR="00C54582" w:rsidRDefault="00C54582" w:rsidP="00C54582">
      <w:pPr>
        <w:tabs>
          <w:tab w:val="num" w:pos="1215"/>
        </w:tabs>
        <w:jc w:val="center"/>
        <w:rPr>
          <w:rFonts w:cs="Simplified Arabic"/>
          <w:rtl/>
        </w:rPr>
      </w:pPr>
      <w:r w:rsidRPr="00B270EE">
        <w:rPr>
          <w:rFonts w:cs="Simplified Arabic"/>
          <w:noProof/>
          <w:rtl/>
          <w:lang w:eastAsia="en-US"/>
        </w:rPr>
        <w:drawing>
          <wp:inline distT="0" distB="0" distL="0" distR="0">
            <wp:extent cx="2933700" cy="2352675"/>
            <wp:effectExtent l="0" t="0" r="0" b="0"/>
            <wp:docPr id="3" name="Picture 1" descr="C:\Users\tfida\Pictures\arabic_ff_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fida\Pictures\arabic_ff_f.png"/>
                    <pic:cNvPicPr>
                      <a:picLocks noChangeAspect="1" noChangeArrowheads="1"/>
                    </pic:cNvPicPr>
                  </pic:nvPicPr>
                  <pic:blipFill>
                    <a:blip r:embed="rId6" cstate="print"/>
                    <a:srcRect/>
                    <a:stretch>
                      <a:fillRect/>
                    </a:stretch>
                  </pic:blipFill>
                  <pic:spPr bwMode="auto">
                    <a:xfrm>
                      <a:off x="0" y="0"/>
                      <a:ext cx="2931820" cy="2351167"/>
                    </a:xfrm>
                    <a:prstGeom prst="rect">
                      <a:avLst/>
                    </a:prstGeom>
                    <a:noFill/>
                    <a:ln w="9525">
                      <a:noFill/>
                      <a:miter lim="800000"/>
                      <a:headEnd/>
                      <a:tailEnd/>
                    </a:ln>
                  </pic:spPr>
                </pic:pic>
              </a:graphicData>
            </a:graphic>
          </wp:inline>
        </w:drawing>
      </w:r>
    </w:p>
    <w:p w:rsidR="00C54582" w:rsidRPr="00AD5CA4" w:rsidRDefault="00C54582" w:rsidP="00C54582">
      <w:pPr>
        <w:tabs>
          <w:tab w:val="num" w:pos="1215"/>
        </w:tabs>
        <w:jc w:val="both"/>
        <w:rPr>
          <w:rFonts w:cs="Simplified Arabic"/>
          <w:sz w:val="16"/>
          <w:szCs w:val="16"/>
          <w:rtl/>
        </w:rPr>
      </w:pPr>
    </w:p>
    <w:p w:rsidR="00C54582" w:rsidRPr="00C54582" w:rsidRDefault="00C54582" w:rsidP="00C54582">
      <w:pPr>
        <w:tabs>
          <w:tab w:val="num" w:pos="1215"/>
        </w:tabs>
        <w:jc w:val="both"/>
        <w:rPr>
          <w:rFonts w:cs="Simplified Arabic"/>
          <w:sz w:val="26"/>
          <w:szCs w:val="26"/>
          <w:rtl/>
        </w:rPr>
      </w:pPr>
      <w:r w:rsidRPr="00C54582">
        <w:rPr>
          <w:rFonts w:cs="Simplified Arabic" w:hint="cs"/>
          <w:b/>
          <w:bCs/>
          <w:sz w:val="26"/>
          <w:szCs w:val="26"/>
          <w:rtl/>
        </w:rPr>
        <w:t>تغير هيكلي في نمط الاستهلاك للمجتمع الفلسطيني خلال السنوات الستة الماضية، نتج عن انخفاض مساهمة الإنفاق على الطعام والملابس مقابل ارتفاع مساهمة الإنفاق على وسائل النقل والاتصالات والتحويلات النقدية</w:t>
      </w:r>
    </w:p>
    <w:p w:rsidR="00C54582" w:rsidRDefault="00C54582" w:rsidP="00C54582">
      <w:pPr>
        <w:tabs>
          <w:tab w:val="num" w:pos="1215"/>
        </w:tabs>
        <w:ind w:right="-181"/>
        <w:jc w:val="both"/>
        <w:rPr>
          <w:rFonts w:cs="Simplified Arabic"/>
          <w:rtl/>
        </w:rPr>
      </w:pPr>
      <w:r>
        <w:rPr>
          <w:rFonts w:cs="Simplified Arabic" w:hint="cs"/>
          <w:rtl/>
        </w:rPr>
        <w:t>تظهر البيانات تغيراً في نمط إنفاق الأسرة/الفرد الفلسطيني على المجموعات الرئيسية ما بين عامي 2017 و2011 في فلسطين على المجموعات الرئيسية للإنفاق، فقد انخفضت حصة الطعام من الإنفاق الكلي لتصبح 31% مقارنة بـ 36% في عام 2011.</w:t>
      </w:r>
    </w:p>
    <w:p w:rsidR="00C54582" w:rsidRPr="00DC7EC8" w:rsidRDefault="00C54582" w:rsidP="00C54582">
      <w:pPr>
        <w:tabs>
          <w:tab w:val="num" w:pos="1215"/>
        </w:tabs>
        <w:ind w:right="-181"/>
        <w:jc w:val="both"/>
        <w:rPr>
          <w:rFonts w:cs="Simplified Arabic"/>
          <w:sz w:val="8"/>
          <w:szCs w:val="8"/>
          <w:rtl/>
        </w:rPr>
      </w:pPr>
      <w:r>
        <w:rPr>
          <w:rFonts w:cs="Simplified Arabic" w:hint="cs"/>
          <w:rtl/>
        </w:rPr>
        <w:t xml:space="preserve">كما انخفضت حصة الملابس والأحذية من الإنفاق الشهري من 7% عام 2011 إلى 5% عام 2017. </w:t>
      </w:r>
    </w:p>
    <w:p w:rsidR="00C54582" w:rsidRDefault="00C54582" w:rsidP="00C54582">
      <w:pPr>
        <w:ind w:right="-180"/>
        <w:jc w:val="both"/>
        <w:rPr>
          <w:rFonts w:cs="Simplified Arabic"/>
          <w:rtl/>
        </w:rPr>
      </w:pPr>
      <w:r>
        <w:rPr>
          <w:rFonts w:cs="Simplified Arabic" w:hint="cs"/>
          <w:rtl/>
        </w:rPr>
        <w:t xml:space="preserve">في المقابل ارتفعت حصة وسائل النقل والاتصالات لتصل إلى 19% في العام 2017 مقارنة بـ 15% في العام 2011، كما ارتفعت حصة الإنفاق على التحويلات النقدية المدفوعة من 4% إلى 8%.  </w:t>
      </w:r>
    </w:p>
    <w:p w:rsidR="00C54582" w:rsidRPr="00AD5CA4" w:rsidRDefault="00C54582" w:rsidP="00C54582">
      <w:pPr>
        <w:ind w:right="-180"/>
        <w:jc w:val="both"/>
        <w:rPr>
          <w:rFonts w:cs="Simplified Arabic"/>
          <w:sz w:val="16"/>
          <w:szCs w:val="16"/>
          <w:rtl/>
        </w:rPr>
      </w:pPr>
    </w:p>
    <w:p w:rsidR="00C54582" w:rsidRPr="00AD5CA4" w:rsidRDefault="00C54582" w:rsidP="00C54582">
      <w:pPr>
        <w:ind w:right="-180"/>
        <w:jc w:val="both"/>
        <w:rPr>
          <w:rFonts w:cs="Simplified Arabic"/>
          <w:sz w:val="26"/>
          <w:szCs w:val="26"/>
          <w:rtl/>
        </w:rPr>
      </w:pPr>
      <w:r w:rsidRPr="00AD5CA4">
        <w:rPr>
          <w:rFonts w:cs="Simplified Arabic" w:hint="cs"/>
          <w:b/>
          <w:bCs/>
          <w:sz w:val="26"/>
          <w:szCs w:val="26"/>
          <w:rtl/>
        </w:rPr>
        <w:t>ارتفاع تراكمي في أسعار المستهلك خلال العقد الماضي بنسبة 30%</w:t>
      </w:r>
      <w:r w:rsidRPr="00AD5CA4">
        <w:rPr>
          <w:rFonts w:cs="Simplified Arabic" w:hint="cs"/>
          <w:sz w:val="26"/>
          <w:szCs w:val="26"/>
          <w:rtl/>
        </w:rPr>
        <w:t xml:space="preserve"> </w:t>
      </w:r>
    </w:p>
    <w:p w:rsidR="00C54582" w:rsidRDefault="00C54582" w:rsidP="00C54582">
      <w:pPr>
        <w:ind w:right="-180"/>
        <w:jc w:val="both"/>
        <w:rPr>
          <w:rFonts w:cs="Simplified Arabic"/>
          <w:color w:val="000000"/>
          <w:rtl/>
        </w:rPr>
      </w:pPr>
      <w:r>
        <w:rPr>
          <w:rFonts w:cs="Simplified Arabic" w:hint="cs"/>
          <w:color w:val="000000"/>
          <w:rtl/>
        </w:rPr>
        <w:t>ارتفعت أ</w:t>
      </w:r>
      <w:r w:rsidRPr="003E78AD">
        <w:rPr>
          <w:rFonts w:cs="Simplified Arabic" w:hint="cs"/>
          <w:color w:val="000000"/>
          <w:rtl/>
        </w:rPr>
        <w:t>سعار المستهلك خلال ال</w:t>
      </w:r>
      <w:r>
        <w:rPr>
          <w:rFonts w:cs="Simplified Arabic" w:hint="cs"/>
          <w:color w:val="000000"/>
          <w:rtl/>
        </w:rPr>
        <w:t>ع</w:t>
      </w:r>
      <w:r w:rsidRPr="003E78AD">
        <w:rPr>
          <w:rFonts w:cs="Simplified Arabic" w:hint="cs"/>
          <w:color w:val="000000"/>
          <w:rtl/>
        </w:rPr>
        <w:t xml:space="preserve">قد الماضي </w:t>
      </w:r>
      <w:r>
        <w:rPr>
          <w:rFonts w:cs="Simplified Arabic" w:hint="cs"/>
          <w:color w:val="000000"/>
          <w:rtl/>
        </w:rPr>
        <w:t xml:space="preserve">في فلسطين </w:t>
      </w:r>
      <w:r w:rsidRPr="003E78AD">
        <w:rPr>
          <w:rFonts w:cs="Simplified Arabic" w:hint="cs"/>
          <w:color w:val="000000"/>
          <w:rtl/>
        </w:rPr>
        <w:t xml:space="preserve">بحوالي </w:t>
      </w:r>
      <w:r>
        <w:rPr>
          <w:rFonts w:cs="Simplified Arabic" w:hint="cs"/>
          <w:color w:val="000000"/>
          <w:rtl/>
        </w:rPr>
        <w:t>30% (بواقع 32% في الضفة الغربية مقابل 24% في قطاع غزة). كان الارتفاع الأكبر في مجموعة التبغ بواقع 115%، تليها مجموعة خدمات المطاعم والمقاهي بواقع 56%، ثم مجموعة السلع والخدمات المتنوعة بواقع 35%، تليها مجموعة المواد الغذائية والمشروبات المرطبة بنسبة 31%.</w:t>
      </w:r>
    </w:p>
    <w:p w:rsidR="00C54582" w:rsidRDefault="00C54582" w:rsidP="00C54582">
      <w:pPr>
        <w:ind w:right="-180"/>
        <w:jc w:val="both"/>
        <w:rPr>
          <w:rFonts w:cs="Simplified Arabic"/>
          <w:color w:val="000000"/>
          <w:rtl/>
        </w:rPr>
      </w:pPr>
      <w:r>
        <w:rPr>
          <w:rFonts w:cs="Simplified Arabic" w:hint="cs"/>
          <w:color w:val="000000"/>
          <w:rtl/>
        </w:rPr>
        <w:t>مع العلم أن مجموعة المواد الغذائية هي الأكثر تأثيراً على جدول غلاء المعيشة، وذلك نظراً لارتفاع وزنها في سلة المستهلك الفلسطيني حيث تستحوذ على ثلث إنفاق الأسرة تقريباً.</w:t>
      </w:r>
    </w:p>
    <w:p w:rsidR="00C54582" w:rsidRDefault="00C54582" w:rsidP="00C54582">
      <w:pPr>
        <w:ind w:right="-180"/>
        <w:jc w:val="both"/>
        <w:rPr>
          <w:rFonts w:cs="Simplified Arabic"/>
          <w:color w:val="000000"/>
          <w:rtl/>
        </w:rPr>
      </w:pPr>
    </w:p>
    <w:p w:rsidR="00C54582" w:rsidRPr="00AD5CA4" w:rsidRDefault="00C54582" w:rsidP="00C54582">
      <w:pPr>
        <w:ind w:right="-180"/>
        <w:jc w:val="both"/>
        <w:rPr>
          <w:rFonts w:cs="Simplified Arabic"/>
          <w:color w:val="000000"/>
          <w:sz w:val="16"/>
          <w:szCs w:val="16"/>
          <w:rtl/>
        </w:rPr>
      </w:pPr>
    </w:p>
    <w:p w:rsidR="00C54582" w:rsidRPr="00AD5CA4" w:rsidRDefault="00C54582" w:rsidP="00C54582">
      <w:pPr>
        <w:pBdr>
          <w:between w:val="single" w:sz="4" w:space="1" w:color="auto"/>
          <w:bar w:val="single" w:sz="4" w:color="auto"/>
        </w:pBdr>
        <w:rPr>
          <w:rFonts w:cs="Simplified Arabic"/>
          <w:b/>
          <w:bCs/>
          <w:sz w:val="26"/>
          <w:szCs w:val="26"/>
          <w:rtl/>
        </w:rPr>
      </w:pPr>
      <w:r w:rsidRPr="00AD5CA4">
        <w:rPr>
          <w:rFonts w:cs="Simplified Arabic" w:hint="cs"/>
          <w:b/>
          <w:bCs/>
          <w:sz w:val="26"/>
          <w:szCs w:val="26"/>
          <w:rtl/>
        </w:rPr>
        <w:t>متوسط إنفاق الفرد الشهري في الضفة الغربية أكثر من ضعف إنفاقه في قطاع غزة</w:t>
      </w:r>
      <w:bookmarkStart w:id="2" w:name="OLE_LINK5"/>
      <w:bookmarkStart w:id="3" w:name="OLE_LINK6"/>
    </w:p>
    <w:p w:rsidR="00C54582" w:rsidRPr="002514B1" w:rsidRDefault="00C54582" w:rsidP="00C54582">
      <w:pPr>
        <w:tabs>
          <w:tab w:val="num" w:pos="1215"/>
        </w:tabs>
        <w:jc w:val="both"/>
        <w:rPr>
          <w:rFonts w:cs="Simplified Arabic"/>
          <w:rtl/>
        </w:rPr>
      </w:pPr>
      <w:r>
        <w:rPr>
          <w:rFonts w:cs="Simplified Arabic" w:hint="cs"/>
          <w:rtl/>
        </w:rPr>
        <w:t>تُظهر البيانات تباين ملحوظ في متوسط إنفاق</w:t>
      </w:r>
      <w:r w:rsidRPr="002514B1">
        <w:rPr>
          <w:rFonts w:cs="Simplified Arabic" w:hint="cs"/>
          <w:rtl/>
        </w:rPr>
        <w:t xml:space="preserve"> الفرد </w:t>
      </w:r>
      <w:r>
        <w:rPr>
          <w:rFonts w:cs="Simplified Arabic" w:hint="cs"/>
          <w:rtl/>
        </w:rPr>
        <w:t>الشهري بين الضفة الغربية وقطاع غزة</w:t>
      </w:r>
      <w:r w:rsidRPr="002514B1">
        <w:rPr>
          <w:rFonts w:cs="Simplified Arabic" w:hint="cs"/>
          <w:rtl/>
        </w:rPr>
        <w:t xml:space="preserve">، بواقع </w:t>
      </w:r>
      <w:r>
        <w:rPr>
          <w:rFonts w:cs="Simplified Arabic" w:hint="cs"/>
          <w:rtl/>
        </w:rPr>
        <w:t>220</w:t>
      </w:r>
      <w:r w:rsidRPr="002514B1">
        <w:rPr>
          <w:rFonts w:cs="Simplified Arabic" w:hint="cs"/>
          <w:rtl/>
        </w:rPr>
        <w:t xml:space="preserve"> ديناراً أردنياً في الضفة الغربية مقابل </w:t>
      </w:r>
      <w:r>
        <w:rPr>
          <w:rFonts w:cs="Simplified Arabic" w:hint="cs"/>
          <w:rtl/>
        </w:rPr>
        <w:t>91</w:t>
      </w:r>
      <w:r w:rsidRPr="002514B1">
        <w:rPr>
          <w:rFonts w:cs="Simplified Arabic" w:hint="cs"/>
          <w:rtl/>
        </w:rPr>
        <w:t xml:space="preserve"> ديناراً أردنياً في قطاع غزة</w:t>
      </w:r>
      <w:r>
        <w:rPr>
          <w:rFonts w:cs="Simplified Arabic" w:hint="cs"/>
          <w:rtl/>
        </w:rPr>
        <w:t xml:space="preserve"> في العام 2017</w:t>
      </w:r>
      <w:r w:rsidRPr="002514B1">
        <w:rPr>
          <w:rFonts w:cs="Simplified Arabic" w:hint="cs"/>
          <w:rtl/>
        </w:rPr>
        <w:t xml:space="preserve">. </w:t>
      </w:r>
    </w:p>
    <w:p w:rsidR="00C54582" w:rsidRPr="00396359" w:rsidRDefault="00C54582" w:rsidP="00C54582">
      <w:pPr>
        <w:tabs>
          <w:tab w:val="left" w:pos="1215"/>
        </w:tabs>
        <w:jc w:val="both"/>
        <w:rPr>
          <w:rFonts w:cs="Simplified Arabic"/>
          <w:sz w:val="16"/>
          <w:szCs w:val="16"/>
        </w:rPr>
      </w:pPr>
      <w:r w:rsidRPr="00757DA8">
        <w:rPr>
          <w:rFonts w:cs="Simplified Arabic" w:hint="cs"/>
          <w:rtl/>
        </w:rPr>
        <w:t xml:space="preserve"> </w:t>
      </w:r>
      <w:r>
        <w:rPr>
          <w:rFonts w:cs="Simplified Arabic"/>
          <w:rtl/>
        </w:rPr>
        <w:tab/>
      </w:r>
    </w:p>
    <w:p w:rsidR="00C54582" w:rsidRDefault="00C54582" w:rsidP="00C54582">
      <w:pPr>
        <w:tabs>
          <w:tab w:val="num" w:pos="1215"/>
        </w:tabs>
        <w:jc w:val="both"/>
        <w:rPr>
          <w:rFonts w:cs="Simplified Arabic"/>
          <w:rtl/>
        </w:rPr>
      </w:pPr>
      <w:r w:rsidRPr="00B270EE">
        <w:rPr>
          <w:rFonts w:cs="Simplified Arabic" w:hint="cs"/>
          <w:rtl/>
        </w:rPr>
        <w:t>خلال السنوات الست</w:t>
      </w:r>
      <w:r>
        <w:rPr>
          <w:rFonts w:cs="Simplified Arabic" w:hint="cs"/>
          <w:rtl/>
        </w:rPr>
        <w:t>ة</w:t>
      </w:r>
      <w:r w:rsidRPr="00B270EE">
        <w:rPr>
          <w:rFonts w:cs="Simplified Arabic" w:hint="cs"/>
          <w:rtl/>
        </w:rPr>
        <w:t xml:space="preserve"> الماضية ارتفع متوسط إنفاق الفرد في الضفة الغربية </w:t>
      </w:r>
      <w:r>
        <w:rPr>
          <w:rFonts w:cs="Simplified Arabic" w:hint="cs"/>
          <w:rtl/>
        </w:rPr>
        <w:t>وانخف</w:t>
      </w:r>
      <w:r w:rsidRPr="00B270EE">
        <w:rPr>
          <w:rFonts w:cs="Simplified Arabic" w:hint="cs"/>
          <w:rtl/>
        </w:rPr>
        <w:t>ض في قطاع غزة</w:t>
      </w:r>
      <w:r>
        <w:rPr>
          <w:rFonts w:cs="Simplified Arabic" w:hint="cs"/>
          <w:rtl/>
        </w:rPr>
        <w:t xml:space="preserve">، فقد </w:t>
      </w:r>
      <w:r w:rsidRPr="005D3B09">
        <w:rPr>
          <w:rFonts w:cs="Simplified Arabic" w:hint="cs"/>
          <w:rtl/>
        </w:rPr>
        <w:t>ارتفع متوسط</w:t>
      </w:r>
      <w:r>
        <w:rPr>
          <w:rFonts w:cs="Simplified Arabic" w:hint="cs"/>
          <w:rtl/>
        </w:rPr>
        <w:t xml:space="preserve"> </w:t>
      </w:r>
      <w:r w:rsidRPr="005D3B09">
        <w:rPr>
          <w:rFonts w:cs="Simplified Arabic" w:hint="cs"/>
          <w:rtl/>
        </w:rPr>
        <w:t xml:space="preserve">إنفاق الفرد من </w:t>
      </w:r>
      <w:r>
        <w:rPr>
          <w:rFonts w:cs="Simplified Arabic" w:hint="cs"/>
          <w:rtl/>
        </w:rPr>
        <w:t>188</w:t>
      </w:r>
      <w:r w:rsidRPr="005D3B09">
        <w:rPr>
          <w:rFonts w:cs="Simplified Arabic" w:hint="cs"/>
          <w:rtl/>
        </w:rPr>
        <w:t xml:space="preserve"> ديناراً أردنياً عام </w:t>
      </w:r>
      <w:r>
        <w:rPr>
          <w:rFonts w:cs="Simplified Arabic" w:hint="cs"/>
          <w:rtl/>
        </w:rPr>
        <w:t>2011</w:t>
      </w:r>
      <w:r w:rsidRPr="005D3B09">
        <w:rPr>
          <w:rFonts w:cs="Simplified Arabic" w:hint="cs"/>
          <w:rtl/>
        </w:rPr>
        <w:t xml:space="preserve"> إلى </w:t>
      </w:r>
      <w:r>
        <w:rPr>
          <w:rFonts w:cs="Simplified Arabic" w:hint="cs"/>
          <w:rtl/>
        </w:rPr>
        <w:t>220</w:t>
      </w:r>
      <w:r w:rsidRPr="005D3B09">
        <w:rPr>
          <w:rFonts w:cs="Simplified Arabic" w:hint="cs"/>
          <w:rtl/>
        </w:rPr>
        <w:t xml:space="preserve"> ديناراً أردنياً عام </w:t>
      </w:r>
      <w:r>
        <w:rPr>
          <w:rFonts w:cs="Simplified Arabic" w:hint="cs"/>
          <w:rtl/>
        </w:rPr>
        <w:t>2017 في الضفة الغربية</w:t>
      </w:r>
      <w:r w:rsidRPr="005D3B09">
        <w:rPr>
          <w:rFonts w:cs="Simplified Arabic" w:hint="cs"/>
          <w:rtl/>
        </w:rPr>
        <w:t>،</w:t>
      </w:r>
      <w:r>
        <w:rPr>
          <w:rFonts w:cs="Simplified Arabic" w:hint="cs"/>
          <w:rtl/>
        </w:rPr>
        <w:t xml:space="preserve"> </w:t>
      </w:r>
      <w:r w:rsidRPr="005D3B09">
        <w:rPr>
          <w:rFonts w:cs="Simplified Arabic" w:hint="cs"/>
          <w:rtl/>
        </w:rPr>
        <w:t xml:space="preserve">أي بارتفاع مقداره </w:t>
      </w:r>
      <w:r>
        <w:rPr>
          <w:rFonts w:cs="Simplified Arabic" w:hint="cs"/>
          <w:rtl/>
        </w:rPr>
        <w:t>17</w:t>
      </w:r>
      <w:r w:rsidRPr="005D3B09">
        <w:rPr>
          <w:rFonts w:cs="Simplified Arabic" w:hint="cs"/>
          <w:rtl/>
        </w:rPr>
        <w:t xml:space="preserve">%، أما في قطاع غزة فقد </w:t>
      </w:r>
      <w:r w:rsidRPr="00503436">
        <w:rPr>
          <w:rFonts w:cs="Simplified Arabic" w:hint="cs"/>
          <w:color w:val="000000" w:themeColor="text1"/>
          <w:rtl/>
        </w:rPr>
        <w:t>انخفض</w:t>
      </w:r>
      <w:r w:rsidRPr="005D3B09">
        <w:rPr>
          <w:rFonts w:cs="Simplified Arabic" w:hint="cs"/>
          <w:rtl/>
        </w:rPr>
        <w:t xml:space="preserve"> الإنفاق الكلي للفرد في عام </w:t>
      </w:r>
      <w:r>
        <w:rPr>
          <w:rFonts w:cs="Simplified Arabic" w:hint="cs"/>
          <w:rtl/>
        </w:rPr>
        <w:t>2017</w:t>
      </w:r>
      <w:r w:rsidRPr="005D3B09">
        <w:rPr>
          <w:rFonts w:cs="Simplified Arabic" w:hint="cs"/>
          <w:rtl/>
        </w:rPr>
        <w:t xml:space="preserve"> مقارنة مع عام </w:t>
      </w:r>
      <w:r>
        <w:rPr>
          <w:rFonts w:cs="Simplified Arabic" w:hint="cs"/>
          <w:rtl/>
        </w:rPr>
        <w:t>2011</w:t>
      </w:r>
      <w:r w:rsidRPr="005D3B09">
        <w:rPr>
          <w:rFonts w:cs="Simplified Arabic" w:hint="cs"/>
          <w:rtl/>
        </w:rPr>
        <w:t xml:space="preserve">، حيث </w:t>
      </w:r>
      <w:r>
        <w:rPr>
          <w:rFonts w:cs="Simplified Arabic" w:hint="cs"/>
          <w:color w:val="000000" w:themeColor="text1"/>
          <w:rtl/>
        </w:rPr>
        <w:t>تراجع</w:t>
      </w:r>
      <w:r w:rsidRPr="005D3B09">
        <w:rPr>
          <w:rFonts w:cs="Simplified Arabic" w:hint="cs"/>
          <w:rtl/>
        </w:rPr>
        <w:t xml:space="preserve"> من </w:t>
      </w:r>
      <w:r>
        <w:rPr>
          <w:rFonts w:cs="Simplified Arabic" w:hint="cs"/>
          <w:rtl/>
        </w:rPr>
        <w:t>110</w:t>
      </w:r>
      <w:r w:rsidRPr="005D3B09">
        <w:rPr>
          <w:rFonts w:cs="Simplified Arabic" w:hint="cs"/>
          <w:rtl/>
        </w:rPr>
        <w:t xml:space="preserve"> دينا</w:t>
      </w:r>
      <w:r>
        <w:rPr>
          <w:rFonts w:cs="Simplified Arabic" w:hint="cs"/>
          <w:rtl/>
        </w:rPr>
        <w:t>راً أردنياً إلى 91</w:t>
      </w:r>
      <w:r w:rsidRPr="005D3B09">
        <w:rPr>
          <w:rFonts w:cs="Simplified Arabic" w:hint="cs"/>
          <w:rtl/>
        </w:rPr>
        <w:t xml:space="preserve"> ديناراً أردنياً أي </w:t>
      </w:r>
      <w:r>
        <w:rPr>
          <w:rFonts w:cs="Simplified Arabic" w:hint="cs"/>
          <w:rtl/>
        </w:rPr>
        <w:t xml:space="preserve">بانخفاض </w:t>
      </w:r>
      <w:r w:rsidRPr="005D3B09">
        <w:rPr>
          <w:rFonts w:cs="Simplified Arabic" w:hint="cs"/>
          <w:rtl/>
        </w:rPr>
        <w:t>نسب</w:t>
      </w:r>
      <w:r>
        <w:rPr>
          <w:rFonts w:cs="Simplified Arabic" w:hint="cs"/>
          <w:rtl/>
        </w:rPr>
        <w:t>ته</w:t>
      </w:r>
      <w:r w:rsidRPr="005D3B09">
        <w:rPr>
          <w:rFonts w:cs="Simplified Arabic" w:hint="cs"/>
          <w:rtl/>
        </w:rPr>
        <w:t xml:space="preserve"> </w:t>
      </w:r>
      <w:r>
        <w:rPr>
          <w:rFonts w:cs="Simplified Arabic" w:hint="cs"/>
          <w:rtl/>
        </w:rPr>
        <w:t>حوالي 17</w:t>
      </w:r>
      <w:r w:rsidRPr="005D3B09">
        <w:rPr>
          <w:rFonts w:cs="Simplified Arabic" w:hint="cs"/>
          <w:rtl/>
        </w:rPr>
        <w:t>%.</w:t>
      </w:r>
    </w:p>
    <w:p w:rsidR="00C54582" w:rsidRPr="00C54582" w:rsidRDefault="00C54582" w:rsidP="00C54582">
      <w:pPr>
        <w:tabs>
          <w:tab w:val="num" w:pos="1215"/>
        </w:tabs>
        <w:jc w:val="both"/>
        <w:rPr>
          <w:rFonts w:cs="Simplified Arabic"/>
          <w:sz w:val="16"/>
          <w:szCs w:val="16"/>
          <w:rtl/>
        </w:rPr>
      </w:pPr>
    </w:p>
    <w:p w:rsidR="00C54582" w:rsidRPr="00AD5CA4" w:rsidRDefault="00C54582" w:rsidP="00C54582">
      <w:pPr>
        <w:tabs>
          <w:tab w:val="num" w:pos="1215"/>
        </w:tabs>
        <w:jc w:val="both"/>
        <w:rPr>
          <w:rFonts w:cs="Simplified Arabic"/>
          <w:sz w:val="26"/>
          <w:szCs w:val="26"/>
          <w:rtl/>
        </w:rPr>
      </w:pPr>
      <w:r w:rsidRPr="00AD5CA4">
        <w:rPr>
          <w:rFonts w:cs="Simplified Arabic" w:hint="cs"/>
          <w:b/>
          <w:bCs/>
          <w:sz w:val="26"/>
          <w:szCs w:val="26"/>
          <w:rtl/>
        </w:rPr>
        <w:t>أكثر من نصف السكان في قطاع غزة فقراء في عام 2017، نسبة الفقر في قطاع غزه تشكل أربعة أضعافها في الضفة الغربية</w:t>
      </w:r>
    </w:p>
    <w:p w:rsidR="00C54582" w:rsidRDefault="00C54582" w:rsidP="00C54582">
      <w:pPr>
        <w:jc w:val="both"/>
        <w:rPr>
          <w:rFonts w:cs="Simplified Arabic"/>
          <w:rtl/>
        </w:rPr>
      </w:pPr>
      <w:r>
        <w:rPr>
          <w:rFonts w:cs="Simplified Arabic" w:hint="cs"/>
          <w:rtl/>
        </w:rPr>
        <w:t>بلغت نسبة الفقراء في الضفة الغربية 14%، بينما وصلت نسبة الفقراء إلى ما يزيد عن نصف السكان في قطاع غزة، فقد بلغت 53%، أي تفوق نسبة الفقر في الضفة الغربية بحوالي أربعة أضعاف.</w:t>
      </w:r>
    </w:p>
    <w:p w:rsidR="00C54582" w:rsidRPr="00AD5CA4" w:rsidRDefault="00C54582" w:rsidP="00C54582">
      <w:pPr>
        <w:jc w:val="both"/>
        <w:rPr>
          <w:rFonts w:cs="Simplified Arabic"/>
          <w:sz w:val="16"/>
          <w:szCs w:val="16"/>
          <w:rtl/>
        </w:rPr>
      </w:pPr>
      <w:r>
        <w:rPr>
          <w:rFonts w:cs="Simplified Arabic" w:hint="cs"/>
          <w:rtl/>
        </w:rPr>
        <w:t xml:space="preserve">  </w:t>
      </w:r>
    </w:p>
    <w:p w:rsidR="00C54582" w:rsidRDefault="00C54582" w:rsidP="00C54582">
      <w:pPr>
        <w:jc w:val="both"/>
        <w:rPr>
          <w:rFonts w:ascii="Simplified Arabic" w:hAnsi="Simplified Arabic" w:cs="Simplified Arabic"/>
          <w:rtl/>
        </w:rPr>
      </w:pPr>
      <w:r>
        <w:rPr>
          <w:rFonts w:ascii="Simplified Arabic" w:hAnsi="Simplified Arabic" w:cs="Simplified Arabic" w:hint="cs"/>
          <w:rtl/>
        </w:rPr>
        <w:t xml:space="preserve">ارتفعت </w:t>
      </w:r>
      <w:r>
        <w:rPr>
          <w:rFonts w:cs="Simplified Arabic" w:hint="cs"/>
          <w:rtl/>
        </w:rPr>
        <w:t xml:space="preserve">نسبة الفقراء </w:t>
      </w:r>
      <w:r w:rsidRPr="00196BEF">
        <w:rPr>
          <w:rFonts w:cs="Simplified Arabic" w:hint="cs"/>
          <w:rtl/>
        </w:rPr>
        <w:t>في فلسطين</w:t>
      </w:r>
      <w:r>
        <w:rPr>
          <w:rFonts w:cs="Simplified Arabic" w:hint="cs"/>
          <w:rtl/>
        </w:rPr>
        <w:t xml:space="preserve"> </w:t>
      </w:r>
      <w:r>
        <w:rPr>
          <w:rFonts w:ascii="Simplified Arabic" w:hAnsi="Simplified Arabic" w:cs="Simplified Arabic" w:hint="cs"/>
          <w:rtl/>
        </w:rPr>
        <w:t>لتصل إلى 29% في عام 2017، ويعزى هذا الارتفاع إلى ارتفاع مؤشرات الفقر بشكل ملحوظ في قطاع غزة بالرغم من انخفاضه في الضفة الغربية، فقد ارتفعت نسبة الفقر في قطاع غزة</w:t>
      </w:r>
      <w:r w:rsidRPr="005C737C">
        <w:rPr>
          <w:rFonts w:ascii="Simplified Arabic" w:hAnsi="Simplified Arabic" w:cs="Simplified Arabic"/>
          <w:rtl/>
        </w:rPr>
        <w:t xml:space="preserve"> بحوالي </w:t>
      </w:r>
      <w:r>
        <w:rPr>
          <w:rFonts w:ascii="Simplified Arabic" w:hAnsi="Simplified Arabic" w:cs="Simplified Arabic" w:hint="cs"/>
          <w:rtl/>
        </w:rPr>
        <w:t>37</w:t>
      </w:r>
      <w:r w:rsidRPr="005C737C">
        <w:rPr>
          <w:rFonts w:ascii="Simplified Arabic" w:hAnsi="Simplified Arabic" w:cs="Simplified Arabic"/>
          <w:rtl/>
        </w:rPr>
        <w:t>%</w:t>
      </w:r>
      <w:r>
        <w:rPr>
          <w:rFonts w:ascii="Simplified Arabic" w:hAnsi="Simplified Arabic" w:cs="Simplified Arabic" w:hint="cs"/>
          <w:rtl/>
        </w:rPr>
        <w:t>، (من39% في العام 2011 لتصل إلى 53% في العام 2017)</w:t>
      </w:r>
      <w:r w:rsidRPr="005C737C">
        <w:rPr>
          <w:rFonts w:ascii="Simplified Arabic" w:hAnsi="Simplified Arabic" w:cs="Simplified Arabic"/>
          <w:rtl/>
        </w:rPr>
        <w:t xml:space="preserve">. إلا أن الوضع </w:t>
      </w:r>
      <w:r>
        <w:rPr>
          <w:rFonts w:ascii="Simplified Arabic" w:hAnsi="Simplified Arabic" w:cs="Simplified Arabic" w:hint="cs"/>
          <w:rtl/>
        </w:rPr>
        <w:t>معاكس</w:t>
      </w:r>
      <w:r>
        <w:rPr>
          <w:rFonts w:ascii="Simplified Arabic" w:hAnsi="Simplified Arabic" w:cs="Simplified Arabic"/>
          <w:rtl/>
        </w:rPr>
        <w:t xml:space="preserve"> في الضفة الغربية</w:t>
      </w:r>
      <w:r w:rsidRPr="005C737C">
        <w:rPr>
          <w:rFonts w:ascii="Simplified Arabic" w:hAnsi="Simplified Arabic" w:cs="Simplified Arabic"/>
          <w:rtl/>
        </w:rPr>
        <w:t xml:space="preserve">، </w:t>
      </w:r>
      <w:r>
        <w:rPr>
          <w:rFonts w:ascii="Simplified Arabic" w:hAnsi="Simplified Arabic" w:cs="Simplified Arabic" w:hint="cs"/>
          <w:rtl/>
        </w:rPr>
        <w:t xml:space="preserve">حيث انخفضت مؤشرات الفقر </w:t>
      </w:r>
      <w:r w:rsidRPr="005C737C">
        <w:rPr>
          <w:rFonts w:ascii="Simplified Arabic" w:hAnsi="Simplified Arabic" w:cs="Simplified Arabic"/>
          <w:rtl/>
        </w:rPr>
        <w:t xml:space="preserve">في الضفة الغربية خلال </w:t>
      </w:r>
      <w:r>
        <w:rPr>
          <w:rFonts w:ascii="Simplified Arabic" w:hAnsi="Simplified Arabic" w:cs="Simplified Arabic" w:hint="cs"/>
          <w:rtl/>
        </w:rPr>
        <w:t xml:space="preserve">السنوات الستة الماضية، حيث </w:t>
      </w:r>
      <w:r>
        <w:rPr>
          <w:rFonts w:ascii="Simplified Arabic" w:hAnsi="Simplified Arabic" w:cs="Simplified Arabic"/>
          <w:rtl/>
        </w:rPr>
        <w:t>انخفض الفقر في الضفة الغر</w:t>
      </w:r>
      <w:r>
        <w:rPr>
          <w:rFonts w:ascii="Simplified Arabic" w:hAnsi="Simplified Arabic" w:cs="Simplified Arabic" w:hint="cs"/>
          <w:rtl/>
        </w:rPr>
        <w:t xml:space="preserve">بية بحوالي 22% (من 18% للعام 2011 مقابل 14% للعام 2017).  </w:t>
      </w:r>
    </w:p>
    <w:p w:rsidR="00C54582" w:rsidRPr="0032689E" w:rsidRDefault="00C54582" w:rsidP="00C54582">
      <w:pPr>
        <w:jc w:val="both"/>
        <w:rPr>
          <w:rFonts w:ascii="Simplified Arabic" w:hAnsi="Simplified Arabic" w:cs="Simplified Arabic"/>
          <w:sz w:val="10"/>
          <w:szCs w:val="10"/>
          <w:rtl/>
        </w:rPr>
      </w:pPr>
    </w:p>
    <w:p w:rsidR="00C54582" w:rsidRPr="00AD5CA4" w:rsidRDefault="00C54582" w:rsidP="00C54582">
      <w:pPr>
        <w:jc w:val="center"/>
        <w:rPr>
          <w:rFonts w:ascii="Simplified Arabic" w:hAnsi="Simplified Arabic" w:cs="Simplified Arabic"/>
          <w:b/>
          <w:bCs/>
          <w:sz w:val="26"/>
          <w:szCs w:val="26"/>
          <w:rtl/>
        </w:rPr>
      </w:pPr>
      <w:r w:rsidRPr="00AD5CA4">
        <w:rPr>
          <w:rFonts w:ascii="Simplified Arabic" w:hAnsi="Simplified Arabic" w:cs="Simplified Arabic"/>
          <w:b/>
          <w:bCs/>
          <w:sz w:val="26"/>
          <w:szCs w:val="26"/>
          <w:rtl/>
        </w:rPr>
        <w:t>نسبة الفقر بين الأفراد وفقاً لأنماط الاستهلاك الشهري</w:t>
      </w:r>
    </w:p>
    <w:p w:rsidR="00C54582" w:rsidRPr="0032689E" w:rsidRDefault="00C54582" w:rsidP="00C54582">
      <w:pPr>
        <w:jc w:val="center"/>
        <w:rPr>
          <w:rFonts w:ascii="Simplified Arabic" w:hAnsi="Simplified Arabic" w:cs="Simplified Arabic"/>
          <w:b/>
          <w:bCs/>
          <w:sz w:val="22"/>
          <w:szCs w:val="22"/>
          <w:rtl/>
        </w:rPr>
      </w:pPr>
      <w:r w:rsidRPr="00AD5CA4">
        <w:rPr>
          <w:rFonts w:ascii="Simplified Arabic" w:hAnsi="Simplified Arabic" w:cs="Simplified Arabic"/>
          <w:b/>
          <w:bCs/>
          <w:sz w:val="26"/>
          <w:szCs w:val="26"/>
          <w:rtl/>
        </w:rPr>
        <w:t xml:space="preserve"> (2009-2011، 2017)</w:t>
      </w:r>
    </w:p>
    <w:tbl>
      <w:tblPr>
        <w:tblStyle w:val="TableGrid"/>
        <w:bidiVisual/>
        <w:tblW w:w="0" w:type="auto"/>
        <w:jc w:val="center"/>
        <w:tblLook w:val="04A0"/>
      </w:tblPr>
      <w:tblGrid>
        <w:gridCol w:w="4776"/>
      </w:tblGrid>
      <w:tr w:rsidR="00C54582" w:rsidTr="00C54582">
        <w:trPr>
          <w:jc w:val="center"/>
        </w:trPr>
        <w:tc>
          <w:tcPr>
            <w:tcW w:w="4776" w:type="dxa"/>
          </w:tcPr>
          <w:p w:rsidR="00C54582" w:rsidRDefault="00C54582" w:rsidP="00626181">
            <w:pPr>
              <w:jc w:val="both"/>
              <w:rPr>
                <w:rFonts w:ascii="Simplified Arabic" w:hAnsi="Simplified Arabic" w:cs="Simplified Arabic"/>
                <w:rtl/>
              </w:rPr>
            </w:pPr>
            <w:r w:rsidRPr="00FD2DB7">
              <w:rPr>
                <w:rFonts w:ascii="Simplified Arabic" w:hAnsi="Simplified Arabic" w:cs="Simplified Arabic" w:hint="cs"/>
                <w:noProof/>
                <w:rtl/>
                <w:lang w:eastAsia="en-US"/>
              </w:rPr>
              <w:drawing>
                <wp:inline distT="0" distB="0" distL="0" distR="0">
                  <wp:extent cx="2895600" cy="2238375"/>
                  <wp:effectExtent l="0" t="0" r="0" b="0"/>
                  <wp:docPr id="4"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bookmarkEnd w:id="0"/>
      <w:bookmarkEnd w:id="1"/>
      <w:bookmarkEnd w:id="2"/>
      <w:bookmarkEnd w:id="3"/>
    </w:tbl>
    <w:p w:rsidR="00C54582" w:rsidRDefault="00C54582" w:rsidP="00C54582">
      <w:pPr>
        <w:spacing w:line="360" w:lineRule="auto"/>
        <w:rPr>
          <w:rFonts w:cs="Simplified Arabic"/>
          <w:b/>
          <w:bCs/>
          <w:sz w:val="10"/>
          <w:szCs w:val="10"/>
          <w:rtl/>
        </w:rPr>
      </w:pPr>
    </w:p>
    <w:p w:rsidR="00C54582" w:rsidRPr="00704A97" w:rsidRDefault="00C54582" w:rsidP="00C54582">
      <w:pPr>
        <w:spacing w:line="360" w:lineRule="auto"/>
        <w:rPr>
          <w:rFonts w:cs="Simplified Arabic"/>
          <w:b/>
          <w:bCs/>
          <w:sz w:val="10"/>
          <w:szCs w:val="10"/>
          <w:rtl/>
        </w:rPr>
      </w:pPr>
      <w:r>
        <w:rPr>
          <w:rFonts w:cs="Simplified Arabic" w:hint="cs"/>
          <w:b/>
          <w:bCs/>
          <w:sz w:val="10"/>
          <w:szCs w:val="10"/>
          <w:rtl/>
        </w:rPr>
        <w:t xml:space="preserve">        </w:t>
      </w:r>
    </w:p>
    <w:tbl>
      <w:tblPr>
        <w:tblStyle w:val="TableGrid"/>
        <w:bidiVisual/>
        <w:tblW w:w="0" w:type="auto"/>
        <w:jc w:val="center"/>
        <w:tblBorders>
          <w:top w:val="none" w:sz="0" w:space="0" w:color="auto"/>
          <w:left w:val="none" w:sz="0" w:space="0" w:color="auto"/>
          <w:bottom w:val="none" w:sz="0" w:space="0" w:color="auto"/>
          <w:right w:val="none" w:sz="0" w:space="0" w:color="auto"/>
        </w:tblBorders>
        <w:tblLook w:val="04A0"/>
      </w:tblPr>
      <w:tblGrid>
        <w:gridCol w:w="2588"/>
      </w:tblGrid>
      <w:tr w:rsidR="00C54582" w:rsidTr="00C54582">
        <w:trPr>
          <w:trHeight w:val="1961"/>
          <w:jc w:val="center"/>
        </w:trPr>
        <w:tc>
          <w:tcPr>
            <w:tcW w:w="2588" w:type="dxa"/>
          </w:tcPr>
          <w:p w:rsidR="00C54582" w:rsidRDefault="00C54582" w:rsidP="00626181">
            <w:pPr>
              <w:spacing w:line="360" w:lineRule="auto"/>
              <w:rPr>
                <w:rFonts w:asciiTheme="majorBidi" w:hAnsiTheme="majorBidi" w:cstheme="majorBidi"/>
                <w:b/>
                <w:bCs/>
                <w:sz w:val="20"/>
                <w:szCs w:val="20"/>
                <w:rtl/>
              </w:rPr>
            </w:pPr>
            <w:r>
              <w:rPr>
                <w:rFonts w:asciiTheme="majorBidi" w:hAnsiTheme="majorBidi"/>
                <w:b/>
                <w:bCs/>
                <w:noProof/>
                <w:sz w:val="20"/>
                <w:szCs w:val="20"/>
                <w:rtl/>
                <w:lang w:eastAsia="en-US"/>
              </w:rPr>
              <w:drawing>
                <wp:anchor distT="0" distB="0" distL="114300" distR="114300" simplePos="0" relativeHeight="251661312" behindDoc="1" locked="0" layoutInCell="1" allowOverlap="1">
                  <wp:simplePos x="0" y="0"/>
                  <wp:positionH relativeFrom="column">
                    <wp:posOffset>4438650</wp:posOffset>
                  </wp:positionH>
                  <wp:positionV relativeFrom="paragraph">
                    <wp:posOffset>73660</wp:posOffset>
                  </wp:positionV>
                  <wp:extent cx="666750" cy="885825"/>
                  <wp:effectExtent l="19050" t="0" r="0" b="0"/>
                  <wp:wrapTight wrapText="bothSides">
                    <wp:wrapPolygon edited="0">
                      <wp:start x="-617" y="0"/>
                      <wp:lineTo x="-617" y="21368"/>
                      <wp:lineTo x="21600" y="21368"/>
                      <wp:lineTo x="21600" y="0"/>
                      <wp:lineTo x="-617" y="0"/>
                    </wp:wrapPolygon>
                  </wp:wrapTight>
                  <wp:docPr id="2" name="Picture 1" descr="C:\Users\loays\Desktop\شعار القدس عاصمة الثقافة الاسلامية\شعار االقدس عاصمة الثقافة الاسلامية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ays\Desktop\شعار القدس عاصمة الثقافة الاسلامية\شعار االقدس عاصمة الثقافة الاسلامية 2019.jpg"/>
                          <pic:cNvPicPr>
                            <a:picLocks noChangeAspect="1" noChangeArrowheads="1"/>
                          </pic:cNvPicPr>
                        </pic:nvPicPr>
                        <pic:blipFill>
                          <a:blip r:embed="rId8" cstate="print"/>
                          <a:srcRect/>
                          <a:stretch>
                            <a:fillRect/>
                          </a:stretch>
                        </pic:blipFill>
                        <pic:spPr bwMode="auto">
                          <a:xfrm>
                            <a:off x="0" y="0"/>
                            <a:ext cx="666750" cy="885825"/>
                          </a:xfrm>
                          <a:prstGeom prst="rect">
                            <a:avLst/>
                          </a:prstGeom>
                          <a:noFill/>
                          <a:ln w="9525">
                            <a:noFill/>
                            <a:miter lim="800000"/>
                            <a:headEnd/>
                            <a:tailEnd/>
                          </a:ln>
                        </pic:spPr>
                      </pic:pic>
                    </a:graphicData>
                  </a:graphic>
                </wp:anchor>
              </w:drawing>
            </w:r>
            <w:r w:rsidRPr="0032689E">
              <w:rPr>
                <w:rFonts w:asciiTheme="majorBidi" w:hAnsiTheme="majorBidi"/>
                <w:b/>
                <w:bCs/>
                <w:noProof/>
                <w:sz w:val="20"/>
                <w:szCs w:val="20"/>
                <w:rtl/>
                <w:lang w:eastAsia="en-US"/>
              </w:rPr>
              <w:drawing>
                <wp:inline distT="0" distB="0" distL="0" distR="0">
                  <wp:extent cx="828675" cy="876300"/>
                  <wp:effectExtent l="19050" t="0" r="9525" b="0"/>
                  <wp:docPr id="8" name="Picture 2" descr="cid:image006.jpg@01D4D4C2.37FF5010"/>
                  <wp:cNvGraphicFramePr/>
                  <a:graphic xmlns:a="http://schemas.openxmlformats.org/drawingml/2006/main">
                    <a:graphicData uri="http://schemas.openxmlformats.org/drawingml/2006/picture">
                      <pic:pic xmlns:pic="http://schemas.openxmlformats.org/drawingml/2006/picture">
                        <pic:nvPicPr>
                          <pic:cNvPr id="0" name="Picture 6" descr="cid:image006.jpg@01D4D4C2.37FF5010"/>
                          <pic:cNvPicPr>
                            <a:picLocks noChangeAspect="1" noChangeArrowheads="1"/>
                          </pic:cNvPicPr>
                        </pic:nvPicPr>
                        <pic:blipFill>
                          <a:blip r:embed="rId9" cstate="print"/>
                          <a:srcRect/>
                          <a:stretch>
                            <a:fillRect/>
                          </a:stretch>
                        </pic:blipFill>
                        <pic:spPr bwMode="auto">
                          <a:xfrm>
                            <a:off x="0" y="0"/>
                            <a:ext cx="828675" cy="876300"/>
                          </a:xfrm>
                          <a:prstGeom prst="rect">
                            <a:avLst/>
                          </a:prstGeom>
                          <a:noFill/>
                          <a:ln w="9525">
                            <a:noFill/>
                            <a:miter lim="800000"/>
                            <a:headEnd/>
                            <a:tailEnd/>
                          </a:ln>
                        </pic:spPr>
                      </pic:pic>
                    </a:graphicData>
                  </a:graphic>
                </wp:inline>
              </w:drawing>
            </w:r>
          </w:p>
        </w:tc>
      </w:tr>
    </w:tbl>
    <w:p w:rsidR="00C54582" w:rsidRDefault="00C54582" w:rsidP="00C54582">
      <w:pPr>
        <w:spacing w:line="360" w:lineRule="auto"/>
        <w:rPr>
          <w:rFonts w:asciiTheme="majorBidi" w:hAnsiTheme="majorBidi" w:cstheme="majorBidi"/>
          <w:b/>
          <w:bCs/>
          <w:sz w:val="20"/>
          <w:szCs w:val="20"/>
          <w:rtl/>
        </w:rPr>
      </w:pPr>
    </w:p>
    <w:p w:rsidR="00357DF5" w:rsidRDefault="00357DF5"/>
    <w:sectPr w:rsidR="00357DF5" w:rsidSect="00C54582">
      <w:footerReference w:type="even" r:id="rId10"/>
      <w:footerReference w:type="default" r:id="rId11"/>
      <w:pgSz w:w="11907" w:h="16840" w:code="9"/>
      <w:pgMar w:top="720" w:right="720" w:bottom="720" w:left="720" w:header="284" w:footer="397" w:gutter="0"/>
      <w:pgNumType w:start="1"/>
      <w:cols w:space="851"/>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568" w:rsidRDefault="00036568" w:rsidP="00C54582">
      <w:r>
        <w:separator/>
      </w:r>
    </w:p>
  </w:endnote>
  <w:endnote w:type="continuationSeparator" w:id="0">
    <w:p w:rsidR="00036568" w:rsidRDefault="00036568" w:rsidP="00C545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C06" w:rsidRDefault="00323A6F">
    <w:pPr>
      <w:pStyle w:val="Footer"/>
      <w:framePr w:wrap="around" w:vAnchor="text" w:hAnchor="margin" w:xAlign="center" w:y="1"/>
      <w:rPr>
        <w:rStyle w:val="PageNumber"/>
        <w:rtl/>
      </w:rPr>
    </w:pPr>
    <w:r>
      <w:rPr>
        <w:rStyle w:val="PageNumber"/>
        <w:rtl/>
      </w:rPr>
      <w:fldChar w:fldCharType="begin"/>
    </w:r>
    <w:r w:rsidR="00333FD6">
      <w:rPr>
        <w:rStyle w:val="PageNumber"/>
      </w:rPr>
      <w:instrText xml:space="preserve">PAGE  </w:instrText>
    </w:r>
    <w:r>
      <w:rPr>
        <w:rStyle w:val="PageNumber"/>
        <w:rtl/>
      </w:rPr>
      <w:fldChar w:fldCharType="end"/>
    </w:r>
  </w:p>
  <w:p w:rsidR="00221C06" w:rsidRDefault="00036568">
    <w:pPr>
      <w:pStyle w:val="Footer"/>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947740807"/>
      <w:docPartObj>
        <w:docPartGallery w:val="Page Numbers (Bottom of Page)"/>
        <w:docPartUnique/>
      </w:docPartObj>
    </w:sdtPr>
    <w:sdtContent>
      <w:p w:rsidR="00C54582" w:rsidRDefault="00323A6F">
        <w:pPr>
          <w:pStyle w:val="Footer"/>
          <w:jc w:val="center"/>
        </w:pPr>
        <w:fldSimple w:instr=" PAGE   \* MERGEFORMAT ">
          <w:r w:rsidR="00242C12">
            <w:rPr>
              <w:noProof/>
              <w:rtl/>
            </w:rPr>
            <w:t>1</w:t>
          </w:r>
        </w:fldSimple>
      </w:p>
    </w:sdtContent>
  </w:sdt>
  <w:p w:rsidR="00C54582" w:rsidRDefault="00C545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568" w:rsidRDefault="00036568" w:rsidP="00C54582">
      <w:r>
        <w:separator/>
      </w:r>
    </w:p>
  </w:footnote>
  <w:footnote w:type="continuationSeparator" w:id="0">
    <w:p w:rsidR="00036568" w:rsidRDefault="00036568" w:rsidP="00C545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54582"/>
    <w:rsid w:val="00036568"/>
    <w:rsid w:val="00242C12"/>
    <w:rsid w:val="00323A6F"/>
    <w:rsid w:val="00333FD6"/>
    <w:rsid w:val="00357DF5"/>
    <w:rsid w:val="004C7DB1"/>
    <w:rsid w:val="00C5458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582"/>
    <w:pPr>
      <w:bidi/>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4582"/>
    <w:pPr>
      <w:tabs>
        <w:tab w:val="center" w:pos="4320"/>
        <w:tab w:val="right" w:pos="8640"/>
      </w:tabs>
    </w:pPr>
    <w:rPr>
      <w:rFonts w:cs="Traditional Arabic"/>
      <w:snapToGrid w:val="0"/>
      <w:sz w:val="20"/>
      <w:szCs w:val="20"/>
      <w:lang w:eastAsia="en-US"/>
    </w:rPr>
  </w:style>
  <w:style w:type="character" w:customStyle="1" w:styleId="HeaderChar">
    <w:name w:val="Header Char"/>
    <w:basedOn w:val="DefaultParagraphFont"/>
    <w:link w:val="Header"/>
    <w:uiPriority w:val="99"/>
    <w:rsid w:val="00C54582"/>
    <w:rPr>
      <w:rFonts w:ascii="Times New Roman" w:eastAsia="Times New Roman" w:hAnsi="Times New Roman" w:cs="Traditional Arabic"/>
      <w:snapToGrid w:val="0"/>
      <w:sz w:val="20"/>
      <w:szCs w:val="20"/>
    </w:rPr>
  </w:style>
  <w:style w:type="paragraph" w:styleId="Footer">
    <w:name w:val="footer"/>
    <w:basedOn w:val="Normal"/>
    <w:link w:val="FooterChar"/>
    <w:uiPriority w:val="99"/>
    <w:unhideWhenUsed/>
    <w:rsid w:val="00C54582"/>
    <w:pPr>
      <w:tabs>
        <w:tab w:val="center" w:pos="4153"/>
        <w:tab w:val="right" w:pos="8306"/>
      </w:tabs>
    </w:pPr>
  </w:style>
  <w:style w:type="character" w:customStyle="1" w:styleId="FooterChar">
    <w:name w:val="Footer Char"/>
    <w:basedOn w:val="DefaultParagraphFont"/>
    <w:link w:val="Footer"/>
    <w:uiPriority w:val="99"/>
    <w:rsid w:val="00C54582"/>
    <w:rPr>
      <w:rFonts w:ascii="Times New Roman" w:eastAsia="Times New Roman" w:hAnsi="Times New Roman" w:cs="Times New Roman"/>
      <w:sz w:val="24"/>
      <w:szCs w:val="24"/>
      <w:lang w:eastAsia="ar-SA"/>
    </w:rPr>
  </w:style>
  <w:style w:type="character" w:styleId="PageNumber">
    <w:name w:val="page number"/>
    <w:basedOn w:val="DefaultParagraphFont"/>
    <w:semiHidden/>
    <w:rsid w:val="00C54582"/>
  </w:style>
  <w:style w:type="table" w:styleId="TableGrid">
    <w:name w:val="Table Grid"/>
    <w:basedOn w:val="TableNormal"/>
    <w:uiPriority w:val="59"/>
    <w:rsid w:val="00C5458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54582"/>
    <w:rPr>
      <w:rFonts w:ascii="Tahoma" w:hAnsi="Tahoma" w:cs="Tahoma"/>
      <w:sz w:val="16"/>
      <w:szCs w:val="16"/>
    </w:rPr>
  </w:style>
  <w:style w:type="character" w:customStyle="1" w:styleId="BalloonTextChar">
    <w:name w:val="Balloon Text Char"/>
    <w:basedOn w:val="DefaultParagraphFont"/>
    <w:link w:val="BalloonText"/>
    <w:uiPriority w:val="99"/>
    <w:semiHidden/>
    <w:rsid w:val="00C54582"/>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style val="1"/>
  <c:chart>
    <c:autoTitleDeleted val="1"/>
    <c:plotArea>
      <c:layout>
        <c:manualLayout>
          <c:layoutTarget val="inner"/>
          <c:xMode val="edge"/>
          <c:yMode val="edge"/>
          <c:x val="9.6128332526254398E-2"/>
          <c:y val="3.0052023973585813E-2"/>
          <c:w val="0.85753636840044956"/>
          <c:h val="0.77278643729921426"/>
        </c:manualLayout>
      </c:layout>
      <c:lineChart>
        <c:grouping val="standard"/>
        <c:ser>
          <c:idx val="0"/>
          <c:order val="0"/>
          <c:tx>
            <c:strRef>
              <c:f>Sheet1!$B$1</c:f>
              <c:strCache>
                <c:ptCount val="1"/>
                <c:pt idx="0">
                  <c:v>الضفة الغربية</c:v>
                </c:pt>
              </c:strCache>
            </c:strRef>
          </c:tx>
          <c:spPr>
            <a:ln w="38100">
              <a:solidFill>
                <a:schemeClr val="tx1">
                  <a:lumMod val="95000"/>
                  <a:lumOff val="5000"/>
                </a:schemeClr>
              </a:solidFill>
            </a:ln>
          </c:spPr>
          <c:marker>
            <c:symbol val="none"/>
          </c:marker>
          <c:dLbls>
            <c:dLbl>
              <c:idx val="0"/>
              <c:layout>
                <c:manualLayout>
                  <c:x val="-4.2122999157541419E-3"/>
                  <c:y val="4.3410852713178356E-2"/>
                </c:manualLayout>
              </c:layout>
              <c:dLblPos val="r"/>
              <c:showVal val="1"/>
            </c:dLbl>
            <c:dLbl>
              <c:idx val="1"/>
              <c:layout>
                <c:manualLayout>
                  <c:x val="0"/>
                  <c:y val="3.7209302325582026E-2"/>
                </c:manualLayout>
              </c:layout>
              <c:dLblPos val="r"/>
              <c:showVal val="1"/>
            </c:dLbl>
            <c:dLbl>
              <c:idx val="2"/>
              <c:layout>
                <c:manualLayout>
                  <c:x val="7.7224606350252459E-17"/>
                  <c:y val="5.5813953488372106E-2"/>
                </c:manualLayout>
              </c:layout>
              <c:dLblPos val="r"/>
              <c:showVal val="1"/>
            </c:dLbl>
            <c:dLbl>
              <c:idx val="3"/>
              <c:layout>
                <c:manualLayout>
                  <c:x val="-2.5273799494524615E-2"/>
                  <c:y val="1.24031007751938E-2"/>
                </c:manualLayout>
              </c:layout>
              <c:dLblPos val="r"/>
              <c:showVal val="1"/>
            </c:dLbl>
            <c:txPr>
              <a:bodyPr/>
              <a:lstStyle/>
              <a:p>
                <a:pPr>
                  <a:defRPr sz="800">
                    <a:latin typeface="Arial" pitchFamily="34" charset="0"/>
                    <a:cs typeface="Arial" pitchFamily="34" charset="0"/>
                  </a:defRPr>
                </a:pPr>
                <a:endParaRPr lang="ar-SA"/>
              </a:p>
            </c:txPr>
            <c:dLblPos val="r"/>
            <c:showVal val="1"/>
          </c:dLbls>
          <c:cat>
            <c:numRef>
              <c:f>Sheet1!$A$2:$A$5</c:f>
              <c:numCache>
                <c:formatCode>General</c:formatCode>
                <c:ptCount val="4"/>
                <c:pt idx="0">
                  <c:v>2009</c:v>
                </c:pt>
                <c:pt idx="1">
                  <c:v>2010</c:v>
                </c:pt>
                <c:pt idx="2">
                  <c:v>2011</c:v>
                </c:pt>
                <c:pt idx="3">
                  <c:v>2017</c:v>
                </c:pt>
              </c:numCache>
            </c:numRef>
          </c:cat>
          <c:val>
            <c:numRef>
              <c:f>Sheet1!$B$2:$B$5</c:f>
              <c:numCache>
                <c:formatCode>General</c:formatCode>
                <c:ptCount val="4"/>
                <c:pt idx="0">
                  <c:v>19.399999999999999</c:v>
                </c:pt>
                <c:pt idx="1">
                  <c:v>18.3</c:v>
                </c:pt>
                <c:pt idx="2">
                  <c:v>17.8</c:v>
                </c:pt>
                <c:pt idx="3">
                  <c:v>13.9</c:v>
                </c:pt>
              </c:numCache>
            </c:numRef>
          </c:val>
        </c:ser>
        <c:ser>
          <c:idx val="1"/>
          <c:order val="1"/>
          <c:tx>
            <c:strRef>
              <c:f>Sheet1!$C$1</c:f>
              <c:strCache>
                <c:ptCount val="1"/>
                <c:pt idx="0">
                  <c:v>قطاع غزة</c:v>
                </c:pt>
              </c:strCache>
            </c:strRef>
          </c:tx>
          <c:marker>
            <c:symbol val="none"/>
          </c:marker>
          <c:dLbls>
            <c:dLbl>
              <c:idx val="0"/>
              <c:layout>
                <c:manualLayout>
                  <c:x val="4.2122999157541419E-3"/>
                  <c:y val="-5.5813953488372106E-2"/>
                </c:manualLayout>
              </c:layout>
              <c:dLblPos val="r"/>
              <c:showVal val="1"/>
            </c:dLbl>
            <c:dLbl>
              <c:idx val="1"/>
              <c:layout>
                <c:manualLayout>
                  <c:x val="0"/>
                  <c:y val="-4.3410852713178287E-2"/>
                </c:manualLayout>
              </c:layout>
              <c:dLblPos val="r"/>
              <c:showVal val="1"/>
            </c:dLbl>
            <c:dLbl>
              <c:idx val="2"/>
              <c:layout>
                <c:manualLayout>
                  <c:x val="-4.2122999157540439E-3"/>
                  <c:y val="-9.3023255813953543E-2"/>
                </c:manualLayout>
              </c:layout>
              <c:dLblPos val="r"/>
              <c:showVal val="1"/>
            </c:dLbl>
            <c:dLbl>
              <c:idx val="3"/>
              <c:layout>
                <c:manualLayout>
                  <c:x val="-1.6849199663016408E-2"/>
                  <c:y val="-4.6457607433217961E-3"/>
                </c:manualLayout>
              </c:layout>
              <c:dLblPos val="r"/>
              <c:showVal val="1"/>
            </c:dLbl>
            <c:txPr>
              <a:bodyPr/>
              <a:lstStyle/>
              <a:p>
                <a:pPr>
                  <a:defRPr sz="800">
                    <a:latin typeface="Arial" pitchFamily="34" charset="0"/>
                    <a:cs typeface="Arial" pitchFamily="34" charset="0"/>
                  </a:defRPr>
                </a:pPr>
                <a:endParaRPr lang="ar-SA"/>
              </a:p>
            </c:txPr>
            <c:dLblPos val="r"/>
            <c:showVal val="1"/>
          </c:dLbls>
          <c:cat>
            <c:numRef>
              <c:f>Sheet1!$A$2:$A$5</c:f>
              <c:numCache>
                <c:formatCode>General</c:formatCode>
                <c:ptCount val="4"/>
                <c:pt idx="0">
                  <c:v>2009</c:v>
                </c:pt>
                <c:pt idx="1">
                  <c:v>2010</c:v>
                </c:pt>
                <c:pt idx="2">
                  <c:v>2011</c:v>
                </c:pt>
                <c:pt idx="3">
                  <c:v>2017</c:v>
                </c:pt>
              </c:numCache>
            </c:numRef>
          </c:cat>
          <c:val>
            <c:numRef>
              <c:f>Sheet1!$C$2:$C$5</c:f>
              <c:numCache>
                <c:formatCode>0.0</c:formatCode>
                <c:ptCount val="4"/>
                <c:pt idx="0" formatCode="General">
                  <c:v>38.300000000000004</c:v>
                </c:pt>
                <c:pt idx="1">
                  <c:v>38</c:v>
                </c:pt>
                <c:pt idx="2" formatCode="General">
                  <c:v>38.800000000000004</c:v>
                </c:pt>
                <c:pt idx="3">
                  <c:v>53</c:v>
                </c:pt>
              </c:numCache>
            </c:numRef>
          </c:val>
        </c:ser>
        <c:ser>
          <c:idx val="2"/>
          <c:order val="2"/>
          <c:tx>
            <c:strRef>
              <c:f>Sheet1!$D$1</c:f>
              <c:strCache>
                <c:ptCount val="1"/>
                <c:pt idx="0">
                  <c:v>فلسطين</c:v>
                </c:pt>
              </c:strCache>
            </c:strRef>
          </c:tx>
          <c:spPr>
            <a:ln w="31750"/>
          </c:spPr>
          <c:marker>
            <c:symbol val="none"/>
          </c:marker>
          <c:dLbls>
            <c:dLbl>
              <c:idx val="0"/>
              <c:layout>
                <c:manualLayout>
                  <c:x val="0"/>
                  <c:y val="-2.48062015503876E-2"/>
                </c:manualLayout>
              </c:layout>
              <c:dLblPos val="r"/>
              <c:showVal val="1"/>
            </c:dLbl>
            <c:dLbl>
              <c:idx val="1"/>
              <c:layout>
                <c:manualLayout>
                  <c:x val="4.2122999157541419E-3"/>
                  <c:y val="-2.48062015503876E-2"/>
                </c:manualLayout>
              </c:layout>
              <c:dLblPos val="r"/>
              <c:showVal val="1"/>
            </c:dLbl>
            <c:dLbl>
              <c:idx val="2"/>
              <c:layout>
                <c:manualLayout>
                  <c:x val="7.7224606350252459E-17"/>
                  <c:y val="-3.7209302325581978E-2"/>
                </c:manualLayout>
              </c:layout>
              <c:dLblPos val="r"/>
              <c:showVal val="1"/>
            </c:dLbl>
            <c:dLbl>
              <c:idx val="3"/>
              <c:layout>
                <c:manualLayout>
                  <c:x val="-2.1061499578770168E-2"/>
                  <c:y val="-9.2915214866434379E-3"/>
                </c:manualLayout>
              </c:layout>
              <c:dLblPos val="r"/>
              <c:showVal val="1"/>
            </c:dLbl>
            <c:txPr>
              <a:bodyPr/>
              <a:lstStyle/>
              <a:p>
                <a:pPr>
                  <a:defRPr sz="800">
                    <a:latin typeface="Arial" pitchFamily="34" charset="0"/>
                    <a:cs typeface="Arial" pitchFamily="34" charset="0"/>
                  </a:defRPr>
                </a:pPr>
                <a:endParaRPr lang="ar-SA"/>
              </a:p>
            </c:txPr>
            <c:dLblPos val="r"/>
            <c:showVal val="1"/>
          </c:dLbls>
          <c:cat>
            <c:numRef>
              <c:f>Sheet1!$A$2:$A$5</c:f>
              <c:numCache>
                <c:formatCode>General</c:formatCode>
                <c:ptCount val="4"/>
                <c:pt idx="0">
                  <c:v>2009</c:v>
                </c:pt>
                <c:pt idx="1">
                  <c:v>2010</c:v>
                </c:pt>
                <c:pt idx="2">
                  <c:v>2011</c:v>
                </c:pt>
                <c:pt idx="3">
                  <c:v>2017</c:v>
                </c:pt>
              </c:numCache>
            </c:numRef>
          </c:cat>
          <c:val>
            <c:numRef>
              <c:f>Sheet1!$D$2:$D$5</c:f>
              <c:numCache>
                <c:formatCode>General</c:formatCode>
                <c:ptCount val="4"/>
                <c:pt idx="0">
                  <c:v>26.2</c:v>
                </c:pt>
                <c:pt idx="1">
                  <c:v>25.7</c:v>
                </c:pt>
                <c:pt idx="2">
                  <c:v>25.8</c:v>
                </c:pt>
                <c:pt idx="3">
                  <c:v>29.2</c:v>
                </c:pt>
              </c:numCache>
            </c:numRef>
          </c:val>
        </c:ser>
        <c:dLbls>
          <c:showVal val="1"/>
        </c:dLbls>
        <c:marker val="1"/>
        <c:axId val="94944256"/>
        <c:axId val="96866688"/>
      </c:lineChart>
      <c:catAx>
        <c:axId val="94944256"/>
        <c:scaling>
          <c:orientation val="minMax"/>
        </c:scaling>
        <c:axPos val="b"/>
        <c:numFmt formatCode="General" sourceLinked="1"/>
        <c:majorTickMark val="none"/>
        <c:tickLblPos val="nextTo"/>
        <c:txPr>
          <a:bodyPr/>
          <a:lstStyle/>
          <a:p>
            <a:pPr>
              <a:defRPr sz="800">
                <a:latin typeface="Arial" pitchFamily="34" charset="0"/>
                <a:cs typeface="Arial" pitchFamily="34" charset="0"/>
              </a:defRPr>
            </a:pPr>
            <a:endParaRPr lang="ar-SA"/>
          </a:p>
        </c:txPr>
        <c:crossAx val="96866688"/>
        <c:crosses val="autoZero"/>
        <c:auto val="1"/>
        <c:lblAlgn val="ctr"/>
        <c:lblOffset val="100"/>
      </c:catAx>
      <c:valAx>
        <c:axId val="96866688"/>
        <c:scaling>
          <c:orientation val="minMax"/>
        </c:scaling>
        <c:axPos val="l"/>
        <c:numFmt formatCode="General" sourceLinked="1"/>
        <c:majorTickMark val="none"/>
        <c:tickLblPos val="nextTo"/>
        <c:txPr>
          <a:bodyPr/>
          <a:lstStyle/>
          <a:p>
            <a:pPr>
              <a:defRPr sz="800">
                <a:latin typeface="Arial" pitchFamily="34" charset="0"/>
                <a:cs typeface="Arial" pitchFamily="34" charset="0"/>
              </a:defRPr>
            </a:pPr>
            <a:endParaRPr lang="ar-SA"/>
          </a:p>
        </c:txPr>
        <c:crossAx val="94944256"/>
        <c:crosses val="autoZero"/>
        <c:crossBetween val="between"/>
      </c:valAx>
    </c:plotArea>
    <c:legend>
      <c:legendPos val="b"/>
      <c:txPr>
        <a:bodyPr/>
        <a:lstStyle/>
        <a:p>
          <a:pPr>
            <a:defRPr sz="800">
              <a:latin typeface="Simplified Arabic" pitchFamily="18" charset="-78"/>
              <a:cs typeface="Simplified Arabic" pitchFamily="18" charset="-78"/>
            </a:defRPr>
          </a:pPr>
          <a:endParaRPr lang="ar-SA"/>
        </a:p>
      </c:txPr>
    </c:legend>
    <c:plotVisOnly val="1"/>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527</Words>
  <Characters>3004</Characters>
  <Application>Microsoft Office Word</Application>
  <DocSecurity>0</DocSecurity>
  <Lines>25</Lines>
  <Paragraphs>7</Paragraphs>
  <ScaleCrop>false</ScaleCrop>
  <Company>Hewlett-Packard Company</Company>
  <LinksUpToDate>false</LinksUpToDate>
  <CharactersWithSpaces>3524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hbadran</dc:creator>
  <cp:lastModifiedBy>loays</cp:lastModifiedBy>
  <cp:revision>2</cp:revision>
  <dcterms:created xsi:type="dcterms:W3CDTF">2019-03-14T06:41:00Z</dcterms:created>
  <dcterms:modified xsi:type="dcterms:W3CDTF">2019-03-14T07:16:00Z</dcterms:modified>
</cp:coreProperties>
</file>