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AFDB" w14:textId="77777777" w:rsidR="0080160A" w:rsidRDefault="0045783E" w:rsidP="0080160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5783E">
        <w:rPr>
          <w:rFonts w:cs="Simplified Arabic" w:hint="cs"/>
          <w:b/>
          <w:bCs/>
          <w:sz w:val="32"/>
          <w:szCs w:val="32"/>
          <w:rtl/>
        </w:rPr>
        <w:t>الاحصاء الف</w:t>
      </w:r>
      <w:r w:rsidR="0080160A">
        <w:rPr>
          <w:rFonts w:cs="Simplified Arabic" w:hint="cs"/>
          <w:b/>
          <w:bCs/>
          <w:sz w:val="32"/>
          <w:szCs w:val="32"/>
          <w:rtl/>
        </w:rPr>
        <w:t>ل</w:t>
      </w:r>
      <w:r w:rsidRPr="0045783E">
        <w:rPr>
          <w:rFonts w:cs="Simplified Arabic" w:hint="cs"/>
          <w:b/>
          <w:bCs/>
          <w:sz w:val="32"/>
          <w:szCs w:val="32"/>
          <w:rtl/>
        </w:rPr>
        <w:t xml:space="preserve">سطيني: </w:t>
      </w:r>
      <w:r>
        <w:rPr>
          <w:rFonts w:cs="Simplified Arabic" w:hint="cs"/>
          <w:b/>
          <w:bCs/>
          <w:sz w:val="32"/>
          <w:szCs w:val="32"/>
          <w:rtl/>
        </w:rPr>
        <w:t>إر</w:t>
      </w:r>
      <w:r w:rsidR="00F15423" w:rsidRPr="0045783E">
        <w:rPr>
          <w:rFonts w:cs="Simplified Arabic" w:hint="cs"/>
          <w:b/>
          <w:bCs/>
          <w:sz w:val="32"/>
          <w:szCs w:val="32"/>
          <w:rtl/>
        </w:rPr>
        <w:t>تفاع</w:t>
      </w:r>
      <w:r w:rsidR="007201A8" w:rsidRPr="0045783E">
        <w:rPr>
          <w:rFonts w:cs="Simplified Arabic" w:hint="cs"/>
          <w:b/>
          <w:bCs/>
          <w:sz w:val="32"/>
          <w:szCs w:val="32"/>
          <w:rtl/>
        </w:rPr>
        <w:t xml:space="preserve"> طفيف</w:t>
      </w:r>
      <w:r w:rsidR="00F15423" w:rsidRPr="0045783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7201A8" w:rsidRPr="0045783E">
        <w:rPr>
          <w:rFonts w:cs="Simplified Arabic" w:hint="cs"/>
          <w:b/>
          <w:bCs/>
          <w:sz w:val="32"/>
          <w:szCs w:val="32"/>
          <w:rtl/>
        </w:rPr>
        <w:t>على مؤشر</w:t>
      </w:r>
      <w:r w:rsidR="00F15423" w:rsidRPr="0045783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F415F" w:rsidRPr="0045783E">
        <w:rPr>
          <w:rFonts w:cs="Simplified Arabic" w:hint="cs"/>
          <w:b/>
          <w:bCs/>
          <w:sz w:val="32"/>
          <w:szCs w:val="32"/>
          <w:rtl/>
        </w:rPr>
        <w:t>الرقم القياسي لأسعار المستهلك</w:t>
      </w:r>
    </w:p>
    <w:p w14:paraId="7C96AEE7" w14:textId="1A7E5077" w:rsidR="0045783E" w:rsidRPr="0045783E" w:rsidRDefault="0080160A" w:rsidP="0080160A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Simplified Arabic" w:hint="cs"/>
          <w:b/>
          <w:bCs/>
          <w:sz w:val="32"/>
          <w:szCs w:val="32"/>
          <w:rtl/>
        </w:rPr>
        <w:t>(جدول غلاء المعيشة)</w:t>
      </w:r>
      <w:r w:rsidR="00126CD1" w:rsidRPr="0045783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B595F" w:rsidRPr="0045783E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7201A8" w:rsidRPr="0045783E">
        <w:rPr>
          <w:rFonts w:cs="Simplified Arabic" w:hint="cs"/>
          <w:b/>
          <w:bCs/>
          <w:sz w:val="32"/>
          <w:szCs w:val="32"/>
          <w:rtl/>
          <w:lang w:bidi="ar-JO"/>
        </w:rPr>
        <w:t>أيار</w:t>
      </w:r>
      <w:r w:rsidR="0045783E" w:rsidRPr="0045783E">
        <w:rPr>
          <w:rFonts w:cs="Simplified Arabic" w:hint="cs"/>
          <w:b/>
          <w:bCs/>
          <w:sz w:val="32"/>
          <w:szCs w:val="32"/>
          <w:rtl/>
          <w:lang w:bidi="ar-JO"/>
        </w:rPr>
        <w:t>،05/2021</w:t>
      </w:r>
    </w:p>
    <w:p w14:paraId="300E62DB" w14:textId="77777777" w:rsidR="007358F6" w:rsidRPr="00620959" w:rsidRDefault="007358F6" w:rsidP="00620959">
      <w:pPr>
        <w:jc w:val="both"/>
        <w:rPr>
          <w:rFonts w:cs="Simplified Arabic"/>
          <w:b/>
          <w:bCs/>
          <w:sz w:val="8"/>
          <w:szCs w:val="8"/>
          <w:rtl/>
        </w:rPr>
      </w:pPr>
    </w:p>
    <w:p w14:paraId="5D722967" w14:textId="27C1E941" w:rsidR="0045783E" w:rsidRDefault="0045783E" w:rsidP="0045783E">
      <w:pPr>
        <w:tabs>
          <w:tab w:val="left" w:pos="2540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14:paraId="32F336A3" w14:textId="38DEFBE4" w:rsidR="007A599C" w:rsidRPr="0045783E" w:rsidRDefault="004B595F" w:rsidP="007201A8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45783E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45783E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45783E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45783E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EF6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5B491C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رتفاع</w:t>
      </w:r>
      <w:r w:rsidR="00FF415F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اً</w:t>
      </w:r>
      <w:r w:rsidR="009D028D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201A8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طفيفاً </w:t>
      </w:r>
      <w:r w:rsidR="005B491C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7201A8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08</w:t>
      </w:r>
      <w:r w:rsidR="007A599C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45783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7A599C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45783E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45783E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87197B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45783E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45783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45783E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>0.26</w:t>
      </w:r>
      <w:r w:rsidR="00526C6A" w:rsidRPr="0045783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="00BF0B46" w:rsidRPr="0045783E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C26C78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45783E">
        <w:rPr>
          <w:rFonts w:ascii="Simplified Arabic" w:hAnsi="Simplified Arabic" w:cs="Simplified Arabic"/>
          <w:sz w:val="26"/>
          <w:szCs w:val="26"/>
          <w:rtl/>
        </w:rPr>
        <w:t>0.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>24</w:t>
      </w:r>
      <w:r w:rsidR="00C26C78" w:rsidRPr="0045783E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45783E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0F22A6" w:rsidRPr="0045783E">
        <w:rPr>
          <w:rFonts w:ascii="Simplified Arabic" w:hAnsi="Simplified Arabic" w:cs="Simplified Arabic"/>
          <w:sz w:val="26"/>
          <w:szCs w:val="26"/>
          <w:rtl/>
        </w:rPr>
        <w:t xml:space="preserve"> القدس </w:t>
      </w:r>
      <w:r w:rsidR="000F22A6" w:rsidRPr="0045783E">
        <w:rPr>
          <w:rFonts w:ascii="Simplified Arabic" w:hAnsi="Simplified Arabic" w:cs="Simplified Arabic"/>
          <w:sz w:val="26"/>
          <w:szCs w:val="26"/>
        </w:rPr>
        <w:t>J1</w:t>
      </w:r>
      <w:r w:rsidR="000F22A6" w:rsidRPr="0045783E">
        <w:rPr>
          <w:rFonts w:ascii="Simplified Arabic" w:hAnsi="Simplified Arabic" w:cs="Simplified Arabic"/>
          <w:sz w:val="26"/>
          <w:szCs w:val="26"/>
          <w:rtl/>
        </w:rPr>
        <w:t>*</w:t>
      </w:r>
      <w:r w:rsidR="007201A8" w:rsidRPr="0045783E">
        <w:rPr>
          <w:rFonts w:ascii="Simplified Arabic" w:hAnsi="Simplified Arabic" w:cs="Simplified Arabic"/>
          <w:sz w:val="26"/>
          <w:szCs w:val="26"/>
          <w:rtl/>
        </w:rPr>
        <w:t>، في حين سجل الرقم القياسي انخفاضاً مقداره 0.61% في قطاع غزة</w:t>
      </w:r>
      <w:r w:rsidR="00526C6A"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83E534" w14:textId="77777777" w:rsidR="008C3024" w:rsidRPr="0045783E" w:rsidRDefault="008C302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11E161B5" w:rsidR="00713BEC" w:rsidRPr="0045783E" w:rsidRDefault="00BC79FB" w:rsidP="004544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B491C" w:rsidRPr="0045783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45783E">
        <w:rPr>
          <w:rFonts w:ascii="Simplified Arabic" w:hAnsi="Simplified Arabic" w:cs="Simplified Arabic"/>
          <w:sz w:val="26"/>
          <w:szCs w:val="26"/>
          <w:rtl/>
        </w:rPr>
        <w:t>،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B491C" w:rsidRPr="0045783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6.43%، </w:t>
      </w:r>
      <w:r w:rsidR="00D644FA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1.74%،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0.71%، </w:t>
      </w:r>
      <w:r w:rsidR="00D644FA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0.41%، </w:t>
      </w:r>
      <w:r w:rsidR="00713BEC" w:rsidRPr="0045783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17.93%، و</w:t>
      </w:r>
      <w:r w:rsidR="00D644FA"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البيض بمقدار 11.32%،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بمقدار 5.52%، </w:t>
      </w:r>
      <w:r w:rsidR="00D644FA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طازجة أو مبردة أو مجمدة بمقدار 2.61%،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1.89%، </w:t>
      </w:r>
      <w:r w:rsidR="00D644FA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بمقدار </w:t>
      </w:r>
      <w:r w:rsidR="00454456" w:rsidRPr="0045783E">
        <w:rPr>
          <w:rFonts w:ascii="Simplified Arabic" w:hAnsi="Simplified Arabic" w:cs="Simplified Arabic"/>
          <w:sz w:val="26"/>
          <w:szCs w:val="26"/>
          <w:rtl/>
        </w:rPr>
        <w:t>1.11%</w:t>
      </w:r>
      <w:r w:rsidR="001B2E05"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45783E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30D12C67" w:rsidR="001D7F3F" w:rsidRPr="0045783E" w:rsidRDefault="00A46522" w:rsidP="004831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45783E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45783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350683" w:rsidRPr="0045783E">
        <w:rPr>
          <w:rFonts w:ascii="Simplified Arabic" w:hAnsi="Simplified Arabic" w:cs="Simplified Arabic"/>
          <w:sz w:val="26"/>
          <w:szCs w:val="26"/>
          <w:rtl/>
        </w:rPr>
        <w:t>مشمش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 xml:space="preserve"> بلدي</w:t>
      </w:r>
      <w:r w:rsidR="000C0E22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50683" w:rsidRPr="0045783E">
        <w:rPr>
          <w:rFonts w:ascii="Simplified Arabic" w:hAnsi="Simplified Arabic" w:cs="Simplified Arabic"/>
          <w:sz w:val="26"/>
          <w:szCs w:val="26"/>
          <w:rtl/>
        </w:rPr>
        <w:t>21</w:t>
      </w:r>
      <w:r w:rsidR="000C0E22" w:rsidRPr="0045783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وخوخ أ</w:t>
      </w:r>
      <w:r w:rsidR="00350683" w:rsidRPr="0045783E">
        <w:rPr>
          <w:rFonts w:ascii="Simplified Arabic" w:hAnsi="Simplified Arabic" w:cs="Simplified Arabic"/>
          <w:sz w:val="26"/>
          <w:szCs w:val="26"/>
          <w:rtl/>
        </w:rPr>
        <w:t>بو فروة 13</w:t>
      </w:r>
      <w:r w:rsidR="000C0E22" w:rsidRPr="0045783E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350683" w:rsidRPr="0045783E">
        <w:rPr>
          <w:rFonts w:ascii="Simplified Arabic" w:hAnsi="Simplified Arabic" w:cs="Simplified Arabic"/>
          <w:sz w:val="26"/>
          <w:szCs w:val="26"/>
          <w:rtl/>
        </w:rPr>
        <w:t>1كغم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، وعنب أبيض 17 شيقل/1كغم، وبرقوق أحمر 18 شيقل/1كغم، ودجاج طازج 15 شيقل/1كغم</w:t>
      </w:r>
      <w:r w:rsidR="000C0E22"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A2C9FDE" w14:textId="77777777" w:rsidR="008310BA" w:rsidRPr="0045783E" w:rsidRDefault="008310BA" w:rsidP="008310B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CFDD0DA" w14:textId="77777777" w:rsidR="008C3024" w:rsidRPr="0045783E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632B554E" w:rsidR="00401898" w:rsidRPr="0045783E" w:rsidRDefault="0034700F" w:rsidP="005226A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45783E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1E75F8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45783E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86423B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45783E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45783E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45783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45783E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45783E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2.30</w:t>
      </w:r>
      <w:r w:rsidR="00424115" w:rsidRPr="0045783E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45783E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>2.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99</w:t>
      </w:r>
      <w:r w:rsidR="009D2A03" w:rsidRPr="0045783E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7CA6" w:rsidRPr="0045783E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001215" w:rsidRPr="0045783E">
        <w:rPr>
          <w:rFonts w:ascii="Simplified Arabic" w:hAnsi="Simplified Arabic" w:cs="Simplified Arabic"/>
          <w:sz w:val="26"/>
          <w:szCs w:val="26"/>
        </w:rPr>
        <w:t>J1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>*، وبنسبة</w:t>
      </w:r>
      <w:r w:rsidR="00BF0B46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2.89</w:t>
      </w:r>
      <w:r w:rsidR="0096529B" w:rsidRPr="0045783E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6227CC" w:rsidRPr="0045783E">
        <w:rPr>
          <w:rFonts w:ascii="Simplified Arabic" w:hAnsi="Simplified Arabic" w:cs="Simplified Arabic"/>
          <w:sz w:val="26"/>
          <w:szCs w:val="26"/>
          <w:rtl/>
        </w:rPr>
        <w:t>الضفة الغربية**</w:t>
      </w:r>
      <w:r w:rsidR="003C2D5D" w:rsidRPr="0045783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وبارتفاع طفيف نسبته</w:t>
      </w:r>
      <w:r w:rsidR="003C2D5D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45783E">
        <w:rPr>
          <w:rFonts w:ascii="Simplified Arabic" w:hAnsi="Simplified Arabic" w:cs="Simplified Arabic"/>
          <w:sz w:val="26"/>
          <w:szCs w:val="26"/>
          <w:rtl/>
        </w:rPr>
        <w:t>0.</w:t>
      </w:r>
      <w:r w:rsidR="005226AC" w:rsidRPr="0045783E">
        <w:rPr>
          <w:rFonts w:ascii="Simplified Arabic" w:hAnsi="Simplified Arabic" w:cs="Simplified Arabic"/>
          <w:sz w:val="26"/>
          <w:szCs w:val="26"/>
          <w:rtl/>
        </w:rPr>
        <w:t>01</w:t>
      </w:r>
      <w:r w:rsidR="003C2D5D" w:rsidRPr="0045783E">
        <w:rPr>
          <w:rFonts w:ascii="Simplified Arabic" w:hAnsi="Simplified Arabic" w:cs="Simplified Arabic"/>
          <w:sz w:val="26"/>
          <w:szCs w:val="26"/>
          <w:rtl/>
        </w:rPr>
        <w:t>% في</w:t>
      </w:r>
      <w:r w:rsidR="00001215" w:rsidRPr="0045783E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445714"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D70D4A" w14:textId="77777777" w:rsidR="007363B2" w:rsidRPr="0045783E" w:rsidRDefault="007363B2" w:rsidP="006227C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25BE07" w14:textId="77777777" w:rsidR="007363B2" w:rsidRPr="0045783E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51F842D7" w14:textId="4FF1F451" w:rsidR="00736354" w:rsidRPr="0045783E" w:rsidRDefault="00736354" w:rsidP="001F2C8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0.26%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خلال شهر أيار 2021 مقارنة مع شهر نيسان 2021، نتج هذا الارتفاع بصورة رئيسية عن ارتفاع أسعار الفواكه الطازجة بنسبة 7.27%، وأسعار البطاطا </w:t>
      </w:r>
      <w:r w:rsidR="001F2C8C" w:rsidRPr="0045783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1.81%، وأسعار الدجاج الطازج بنسبة 1.70%، وأسعار الغاز بنسبة 0.61%، وأسعار المحروقات السائلة المستخدمة كوقود للسيارات "البنزين" بنسبة 0.48%، على الرغم من انخفاض أسعار البيض بمقدار 13.63%، وأسعار الخضروات المجففة بمقدار 8.66%.</w:t>
      </w:r>
    </w:p>
    <w:p w14:paraId="3C2902BB" w14:textId="77777777" w:rsidR="00736354" w:rsidRPr="0045783E" w:rsidRDefault="00736354" w:rsidP="0073635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5A847F" w14:textId="37364D6C" w:rsidR="00736354" w:rsidRPr="0045783E" w:rsidRDefault="00736354" w:rsidP="004831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الغربية** لتبلغ بالمتوسط؛ </w:t>
      </w:r>
      <w:r w:rsidR="00864DD8" w:rsidRPr="0045783E">
        <w:rPr>
          <w:rFonts w:ascii="Simplified Arabic" w:hAnsi="Simplified Arabic" w:cs="Simplified Arabic"/>
          <w:sz w:val="26"/>
          <w:szCs w:val="26"/>
          <w:rtl/>
        </w:rPr>
        <w:t>مشمش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 xml:space="preserve"> بلدي</w:t>
      </w:r>
      <w:r w:rsidR="00864DD8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24</w:t>
      </w:r>
      <w:r w:rsidR="00864DD8" w:rsidRPr="0045783E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، وخوخ أ</w:t>
      </w:r>
      <w:r w:rsidR="00864DD8" w:rsidRPr="0045783E">
        <w:rPr>
          <w:rFonts w:ascii="Simplified Arabic" w:hAnsi="Simplified Arabic" w:cs="Simplified Arabic"/>
          <w:sz w:val="26"/>
          <w:szCs w:val="26"/>
          <w:rtl/>
        </w:rPr>
        <w:t>بو فروة 15 شيقل/1كغم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، وعنب أبيض</w:t>
      </w:r>
      <w:r w:rsidR="0038460D" w:rsidRPr="0045783E">
        <w:rPr>
          <w:rFonts w:ascii="Simplified Arabic" w:hAnsi="Simplified Arabic" w:cs="Simplified Arabic"/>
          <w:sz w:val="26"/>
          <w:szCs w:val="26"/>
          <w:rtl/>
        </w:rPr>
        <w:t xml:space="preserve"> 20 شيقل/1كغم،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وبرقوق أحمر 20 شيقل/1كغم، وبطاطا 3 شيقل/1كغم، ودجاج طازج 15 شيقل/1كغم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E9AF209" w14:textId="77777777" w:rsidR="00736354" w:rsidRPr="0045783E" w:rsidRDefault="00736354" w:rsidP="004544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0F43B79" w14:textId="6034712F" w:rsidR="00E120EB" w:rsidRPr="0045783E" w:rsidRDefault="00E120EB" w:rsidP="004831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45783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="00AD02BC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24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5F66EE"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37.53%، وأسعار الفواكه الطازجة بنسبة 12.43%، وأسعار الخضروات الطازجة بنسبة 5.25%، وأسعار الغاز بنسبة 4.45%، وأسعار الأسماك الحية طازجة أو مبردة أو مجمدة بنسبة 2.16%، 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5F66EE"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</w:t>
      </w:r>
      <w:r w:rsidR="001F2C8C" w:rsidRPr="0045783E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5F66EE" w:rsidRPr="0045783E">
        <w:rPr>
          <w:rFonts w:ascii="Simplified Arabic" w:hAnsi="Simplified Arabic" w:cs="Simplified Arabic"/>
          <w:sz w:val="26"/>
          <w:szCs w:val="26"/>
          <w:rtl/>
        </w:rPr>
        <w:t xml:space="preserve"> 8.19%، </w:t>
      </w:r>
      <w:r w:rsidR="001F2C8C" w:rsidRPr="0045783E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بمقدار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 xml:space="preserve"> 2.26% و</w:t>
      </w:r>
      <w:r w:rsidR="001F2C8C" w:rsidRPr="0045783E">
        <w:rPr>
          <w:rFonts w:ascii="Simplified Arabic" w:hAnsi="Simplified Arabic" w:cs="Simplified Arabic"/>
          <w:sz w:val="26"/>
          <w:szCs w:val="26"/>
          <w:rtl/>
        </w:rPr>
        <w:t xml:space="preserve">"البنزين" بمقدار 2.09%، 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</w:t>
      </w:r>
      <w:r w:rsidR="005F66EE" w:rsidRPr="0045783E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 xml:space="preserve"> 0.77</w:t>
      </w:r>
      <w:r w:rsidR="0032128D" w:rsidRPr="0045783E">
        <w:rPr>
          <w:rFonts w:ascii="Simplified Arabic" w:hAnsi="Simplified Arabic" w:cs="Simplified Arabic"/>
          <w:sz w:val="26"/>
          <w:szCs w:val="26"/>
          <w:rtl/>
        </w:rPr>
        <w:t>%</w:t>
      </w:r>
      <w:r w:rsidR="00AD02BC"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9A962D" w14:textId="77777777" w:rsidR="00E120EB" w:rsidRPr="0045783E" w:rsidRDefault="00E120EB" w:rsidP="00E120E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9803B0E" w14:textId="191E63BD" w:rsidR="00E120EB" w:rsidRPr="0045783E" w:rsidRDefault="00E120EB" w:rsidP="004831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45783E">
        <w:rPr>
          <w:rFonts w:ascii="Simplified Arabic" w:hAnsi="Simplified Arabic" w:cs="Simplified Arabic"/>
          <w:sz w:val="26"/>
          <w:szCs w:val="26"/>
        </w:rPr>
        <w:t>J1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C61779" w:rsidRPr="0045783E">
        <w:rPr>
          <w:rFonts w:ascii="Simplified Arabic" w:hAnsi="Simplified Arabic" w:cs="Simplified Arabic"/>
          <w:sz w:val="26"/>
          <w:szCs w:val="26"/>
          <w:rtl/>
        </w:rPr>
        <w:t xml:space="preserve">بطاطا 4 شيقل/1كغم،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و</w:t>
      </w:r>
      <w:r w:rsidR="00C61779" w:rsidRPr="0045783E">
        <w:rPr>
          <w:rFonts w:ascii="Simplified Arabic" w:hAnsi="Simplified Arabic" w:cs="Simplified Arabic"/>
          <w:sz w:val="26"/>
          <w:szCs w:val="26"/>
          <w:rtl/>
        </w:rPr>
        <w:t>مشمش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 xml:space="preserve"> بلدي</w:t>
      </w:r>
      <w:r w:rsidR="00C61779" w:rsidRPr="0045783E">
        <w:rPr>
          <w:rFonts w:ascii="Simplified Arabic" w:hAnsi="Simplified Arabic" w:cs="Simplified Arabic"/>
          <w:sz w:val="26"/>
          <w:szCs w:val="26"/>
          <w:rtl/>
        </w:rPr>
        <w:t xml:space="preserve"> 25 شيقل/1كغم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، وخوخ أ</w:t>
      </w:r>
      <w:r w:rsidR="00C61779" w:rsidRPr="0045783E">
        <w:rPr>
          <w:rFonts w:ascii="Simplified Arabic" w:hAnsi="Simplified Arabic" w:cs="Simplified Arabic"/>
          <w:sz w:val="26"/>
          <w:szCs w:val="26"/>
          <w:rtl/>
        </w:rPr>
        <w:t>بو فروة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460D" w:rsidRPr="0045783E">
        <w:rPr>
          <w:rFonts w:ascii="Simplified Arabic" w:hAnsi="Simplified Arabic" w:cs="Simplified Arabic"/>
          <w:sz w:val="26"/>
          <w:szCs w:val="26"/>
          <w:rtl/>
        </w:rPr>
        <w:t xml:space="preserve">16 شيقل/1كغم،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وبرقوق أحمر</w:t>
      </w:r>
      <w:r w:rsidR="00C61779" w:rsidRPr="0045783E">
        <w:rPr>
          <w:rFonts w:ascii="Simplified Arabic" w:hAnsi="Simplified Arabic" w:cs="Simplified Arabic"/>
          <w:sz w:val="26"/>
          <w:szCs w:val="26"/>
          <w:rtl/>
        </w:rPr>
        <w:t xml:space="preserve"> 16 شيقل/1كغم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، وعنب أبيض 26 شيقل/1كغم، وبندورة عناقيد حبة كبيرة 7 شيقل/1كغم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766417B" w14:textId="77777777" w:rsidR="00E120EB" w:rsidRPr="0045783E" w:rsidRDefault="00E120EB" w:rsidP="00E120E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4FB4462" w14:textId="6065D2C5" w:rsidR="006C6A73" w:rsidRPr="0045783E" w:rsidRDefault="00C6285D" w:rsidP="008B593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بينما </w:t>
      </w:r>
      <w:r w:rsidR="006C6A73" w:rsidRPr="0045783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6C6A73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6C6A73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6C6A73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0.61</w:t>
      </w:r>
      <w:r w:rsidR="006C6A73" w:rsidRPr="0045783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6C6A73" w:rsidRPr="0045783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6C6A73" w:rsidRPr="0045783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6C6A73" w:rsidRPr="0045783E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6C6A73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بمقدار </w:t>
      </w:r>
      <w:r w:rsidR="008B5932" w:rsidRPr="0045783E">
        <w:rPr>
          <w:rFonts w:ascii="Simplified Arabic" w:hAnsi="Simplified Arabic" w:cs="Simplified Arabic"/>
          <w:sz w:val="26"/>
          <w:szCs w:val="26"/>
          <w:rtl/>
        </w:rPr>
        <w:t>28.29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الطازجة بمقدار 21.56%، </w:t>
      </w:r>
      <w:r w:rsidR="008B5932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13.76%،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9.44%، وأسعار الأسماك الحية طازجة أو مبردة أو مجمدة بمقدار 5.75%، وأسعار الزيوت النباتية بمقدار 3.87%، </w:t>
      </w:r>
      <w:r w:rsidR="00376A6B" w:rsidRPr="0045783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376A6B"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بنسبة 4.04%، </w:t>
      </w:r>
      <w:r w:rsidR="008B5932"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بنسبة 3.02%، 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2.64%، وأسعار الفواكه الطازجة بنسبة 2.45%، </w:t>
      </w:r>
      <w:r w:rsidR="008B5932" w:rsidRPr="0045783E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"البنزين" بنسبة 0.47%.</w:t>
      </w:r>
    </w:p>
    <w:p w14:paraId="14F8DB4C" w14:textId="700D43C2" w:rsidR="006C6A73" w:rsidRPr="0045783E" w:rsidRDefault="006C6A73" w:rsidP="006C6A7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5532E0E" w14:textId="46B74A69" w:rsidR="00223A86" w:rsidRPr="0045783E" w:rsidRDefault="006C6A73" w:rsidP="004831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</w:t>
      </w:r>
      <w:r w:rsidR="00483116" w:rsidRPr="0045783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1AB" w:rsidRPr="0045783E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45783E">
        <w:rPr>
          <w:rFonts w:ascii="Simplified Arabic" w:hAnsi="Simplified Arabic" w:cs="Simplified Arabic"/>
          <w:sz w:val="26"/>
          <w:szCs w:val="26"/>
          <w:rtl/>
        </w:rPr>
        <w:t xml:space="preserve"> في قطاع غزة لتبلغ بالمتوسط؛ </w:t>
      </w:r>
      <w:r w:rsidR="004261AB" w:rsidRPr="0045783E">
        <w:rPr>
          <w:rFonts w:ascii="Simplified Arabic" w:hAnsi="Simplified Arabic" w:cs="Simplified Arabic"/>
          <w:sz w:val="26"/>
          <w:szCs w:val="26"/>
          <w:rtl/>
        </w:rPr>
        <w:t xml:space="preserve">البصل 2 شيقل/1كغم، وبندورة بيوت بلاستيكية 1 شيقل/1كغم، وخيار بيوت بلاستيكية 2 شيقل/1كغم، وبطاطا 1.5 شيقل/1كغم، </w:t>
      </w:r>
      <w:r w:rsidR="003901B9" w:rsidRPr="0045783E">
        <w:rPr>
          <w:rFonts w:ascii="Simplified Arabic" w:hAnsi="Simplified Arabic" w:cs="Simplified Arabic"/>
          <w:sz w:val="26"/>
          <w:szCs w:val="26"/>
          <w:rtl/>
        </w:rPr>
        <w:t>و</w:t>
      </w:r>
      <w:r w:rsidR="008729A1" w:rsidRPr="0045783E">
        <w:rPr>
          <w:rFonts w:ascii="Simplified Arabic" w:hAnsi="Simplified Arabic" w:cs="Simplified Arabic"/>
          <w:sz w:val="26"/>
          <w:szCs w:val="26"/>
          <w:rtl/>
        </w:rPr>
        <w:t xml:space="preserve">البيض </w:t>
      </w:r>
      <w:r w:rsidR="004261AB" w:rsidRPr="0045783E">
        <w:rPr>
          <w:rFonts w:ascii="Simplified Arabic" w:hAnsi="Simplified Arabic" w:cs="Simplified Arabic"/>
          <w:sz w:val="26"/>
          <w:szCs w:val="26"/>
          <w:rtl/>
        </w:rPr>
        <w:t>10</w:t>
      </w:r>
      <w:r w:rsidR="008729A1" w:rsidRPr="0045783E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4261AB" w:rsidRPr="0045783E">
        <w:rPr>
          <w:rFonts w:ascii="Simplified Arabic" w:hAnsi="Simplified Arabic" w:cs="Simplified Arabic"/>
          <w:sz w:val="26"/>
          <w:szCs w:val="26"/>
          <w:rtl/>
        </w:rPr>
        <w:t>/2كغم.</w:t>
      </w:r>
    </w:p>
    <w:p w14:paraId="0D9EBE95" w14:textId="6562FAB7" w:rsidR="00835087" w:rsidRPr="0045783E" w:rsidRDefault="006C6A73" w:rsidP="0045783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45783E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14:paraId="579C62B6" w14:textId="77777777" w:rsidR="0045783E" w:rsidRDefault="0045783E" w:rsidP="00E50743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06D384D7" w14:textId="77777777" w:rsidR="0045783E" w:rsidRDefault="0045783E" w:rsidP="00E50743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4B2F574E" w14:textId="77777777" w:rsidR="0045783E" w:rsidRDefault="0045783E" w:rsidP="00E50743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14:paraId="2BF7E2A0" w14:textId="43CDD9F5" w:rsidR="00E50743" w:rsidRPr="0045783E" w:rsidRDefault="00E50743" w:rsidP="00E50743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45783E">
        <w:rPr>
          <w:rFonts w:ascii="Simplified Arabic" w:hAnsi="Simplified Arabic" w:cs="Simplified Arabic"/>
          <w:b/>
          <w:bCs/>
          <w:sz w:val="22"/>
          <w:szCs w:val="22"/>
          <w:rtl/>
        </w:rPr>
        <w:t>تنويه لمستخدمي البيانات:</w:t>
      </w:r>
    </w:p>
    <w:p w14:paraId="5FBDD72F" w14:textId="77777777" w:rsidR="00C31936" w:rsidRPr="0045783E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ascii="Simplified Arabic" w:hAnsi="Simplified Arabic" w:cs="Simplified Arabic"/>
        </w:rPr>
      </w:pPr>
      <w:r w:rsidRPr="0045783E">
        <w:rPr>
          <w:rFonts w:ascii="Simplified Arabic" w:hAnsi="Simplified Arabic" w:cs="Simplified Arabic"/>
          <w:rtl/>
        </w:rPr>
        <w:t xml:space="preserve">على أثر انتشار </w:t>
      </w:r>
      <w:r w:rsidR="00562956" w:rsidRPr="0045783E">
        <w:rPr>
          <w:rFonts w:ascii="Simplified Arabic" w:hAnsi="Simplified Arabic" w:cs="Simplified Arabic"/>
          <w:rtl/>
        </w:rPr>
        <w:t>فيروس</w:t>
      </w:r>
      <w:r w:rsidRPr="0045783E">
        <w:rPr>
          <w:rFonts w:ascii="Simplified Arabic" w:hAnsi="Simplified Arabic" w:cs="Simplified Arabic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45783E">
        <w:rPr>
          <w:rFonts w:ascii="Simplified Arabic" w:hAnsi="Simplified Arabic" w:cs="Simplified Arabic"/>
          <w:rtl/>
        </w:rPr>
        <w:t>إلى</w:t>
      </w:r>
      <w:r w:rsidRPr="0045783E">
        <w:rPr>
          <w:rFonts w:ascii="Simplified Arabic" w:hAnsi="Simplified Arabic" w:cs="Simplified Arabic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45783E" w:rsidRDefault="0011383B" w:rsidP="002E4913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2"/>
          <w:szCs w:val="22"/>
          <w:rtl/>
        </w:rPr>
      </w:pPr>
      <w:bookmarkStart w:id="1" w:name="OLE_LINK5"/>
      <w:bookmarkStart w:id="2" w:name="OLE_LINK6"/>
    </w:p>
    <w:p w14:paraId="66AC5BA4" w14:textId="26656660" w:rsidR="002E4913" w:rsidRPr="0045783E" w:rsidRDefault="002E4913" w:rsidP="002E4913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45783E">
        <w:rPr>
          <w:rFonts w:ascii="Simplified Arabic" w:hAnsi="Simplified Arabic" w:cs="Simplified Arabic"/>
          <w:b/>
          <w:bCs/>
          <w:sz w:val="22"/>
          <w:szCs w:val="22"/>
          <w:rtl/>
        </w:rPr>
        <w:t>ملاحظات:</w:t>
      </w:r>
    </w:p>
    <w:p w14:paraId="7D449AD6" w14:textId="77777777" w:rsidR="002E4913" w:rsidRPr="0045783E" w:rsidRDefault="002E4913" w:rsidP="002E4913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45783E">
        <w:rPr>
          <w:rFonts w:ascii="Simplified Arabic" w:hAnsi="Simplified Arabic" w:cs="Simplified Arabic"/>
          <w:sz w:val="22"/>
          <w:szCs w:val="22"/>
          <w:rtl/>
        </w:rPr>
        <w:t>*البيانات تمثل ذلك الجزء من محافظة القدس والذي ضمه الاحتلال الإسرائيلي إليه عنوة بعيد احتلاله للضفة الغربية عام 1967.</w:t>
      </w:r>
    </w:p>
    <w:p w14:paraId="4BF4F209" w14:textId="77777777" w:rsidR="00620959" w:rsidRPr="0045783E" w:rsidRDefault="002E4913" w:rsidP="00FA1117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2"/>
          <w:szCs w:val="22"/>
          <w:rtl/>
        </w:rPr>
      </w:pPr>
      <w:bookmarkStart w:id="3" w:name="OLE_LINK7"/>
      <w:bookmarkStart w:id="4" w:name="OLE_LINK8"/>
      <w:r w:rsidRPr="0045783E">
        <w:rPr>
          <w:rFonts w:ascii="Simplified Arabic" w:hAnsi="Simplified Arabic" w:cs="Simplified Arabic"/>
          <w:sz w:val="22"/>
          <w:szCs w:val="22"/>
          <w:rtl/>
        </w:rPr>
        <w:t xml:space="preserve">**البيانات لا </w:t>
      </w:r>
      <w:bookmarkEnd w:id="1"/>
      <w:bookmarkEnd w:id="2"/>
      <w:bookmarkEnd w:id="3"/>
      <w:bookmarkEnd w:id="4"/>
      <w:r w:rsidRPr="0045783E">
        <w:rPr>
          <w:rFonts w:ascii="Simplified Arabic" w:hAnsi="Simplified Arabic" w:cs="Simplified Arabic"/>
          <w:sz w:val="22"/>
          <w:szCs w:val="22"/>
          <w:rtl/>
        </w:rPr>
        <w:t>تشمل ذلك الجزء من محافظة القدس والذي ضمه الاحتلال الإسرائيلي إليه عنوة بعيد احتلاله للضفة الغربية عام 1967.</w:t>
      </w:r>
    </w:p>
    <w:p w14:paraId="0EF62B80" w14:textId="77777777" w:rsidR="00DB0200" w:rsidRPr="0045783E" w:rsidRDefault="00DB0200" w:rsidP="00FA1117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14:paraId="17095951" w14:textId="77777777" w:rsidR="00955432" w:rsidRPr="0012173A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1840"/>
      </w:tblGrid>
      <w:tr w:rsidR="0012173A" w:rsidRPr="0012173A" w14:paraId="24F4FFF0" w14:textId="77777777" w:rsidTr="00E91EFC">
        <w:tc>
          <w:tcPr>
            <w:tcW w:w="3053" w:type="dxa"/>
          </w:tcPr>
          <w:p w14:paraId="5CB43198" w14:textId="77777777" w:rsidR="0070716A" w:rsidRPr="0012173A" w:rsidRDefault="0070716A" w:rsidP="0070716A">
            <w:pPr>
              <w:jc w:val="both"/>
              <w:rPr>
                <w:rFonts w:cs="Simplified Arabic"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07DF84C4" w14:textId="77777777" w:rsidR="0070716A" w:rsidRPr="0012173A" w:rsidRDefault="0070716A" w:rsidP="0070716A">
            <w:pPr>
              <w:pStyle w:val="ListParagraph"/>
              <w:tabs>
                <w:tab w:val="left" w:pos="-1"/>
                <w:tab w:val="left" w:pos="282"/>
              </w:tabs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</w:tbl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E91EFC" w:rsidSect="0045783E">
      <w:footerReference w:type="even" r:id="rId8"/>
      <w:footerReference w:type="default" r:id="rId9"/>
      <w:pgSz w:w="11907" w:h="16840" w:code="9"/>
      <w:pgMar w:top="1134" w:right="851" w:bottom="567" w:left="851" w:header="720" w:footer="18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E5ED" w14:textId="77777777" w:rsidR="00A74E96" w:rsidRDefault="00A74E96">
      <w:r>
        <w:separator/>
      </w:r>
    </w:p>
  </w:endnote>
  <w:endnote w:type="continuationSeparator" w:id="0">
    <w:p w14:paraId="0EEC1213" w14:textId="77777777" w:rsidR="00A74E96" w:rsidRDefault="00A7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46AA4B2D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80160A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66E25" w14:textId="77777777" w:rsidR="00A74E96" w:rsidRDefault="00A74E96">
      <w:r>
        <w:separator/>
      </w:r>
    </w:p>
  </w:footnote>
  <w:footnote w:type="continuationSeparator" w:id="0">
    <w:p w14:paraId="3160E6D6" w14:textId="77777777" w:rsidR="00A74E96" w:rsidRDefault="00A7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6154"/>
    <w:rsid w:val="001E70B9"/>
    <w:rsid w:val="001E73AF"/>
    <w:rsid w:val="001E75F8"/>
    <w:rsid w:val="001E7CB9"/>
    <w:rsid w:val="001F11EE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59B8"/>
    <w:rsid w:val="00276A44"/>
    <w:rsid w:val="002779B2"/>
    <w:rsid w:val="002813D3"/>
    <w:rsid w:val="00281F48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C74"/>
    <w:rsid w:val="002C27E8"/>
    <w:rsid w:val="002C3194"/>
    <w:rsid w:val="002C4813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5783E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160A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4996"/>
    <w:rsid w:val="00856BB9"/>
    <w:rsid w:val="008570E3"/>
    <w:rsid w:val="00857869"/>
    <w:rsid w:val="008604D3"/>
    <w:rsid w:val="00860861"/>
    <w:rsid w:val="00860BB2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8E2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5932"/>
    <w:rsid w:val="008B69B0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6F8"/>
    <w:rsid w:val="00955432"/>
    <w:rsid w:val="00956F29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4E96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390A"/>
    <w:rsid w:val="00BC3B0B"/>
    <w:rsid w:val="00BC5548"/>
    <w:rsid w:val="00BC79FB"/>
    <w:rsid w:val="00BD1964"/>
    <w:rsid w:val="00BD2522"/>
    <w:rsid w:val="00BD2626"/>
    <w:rsid w:val="00BD2DDD"/>
    <w:rsid w:val="00BD3482"/>
    <w:rsid w:val="00BD63F9"/>
    <w:rsid w:val="00BD6CC9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EDF"/>
    <w:rsid w:val="00C621C6"/>
    <w:rsid w:val="00C6285D"/>
    <w:rsid w:val="00C62885"/>
    <w:rsid w:val="00C629A8"/>
    <w:rsid w:val="00C62D1D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3F16"/>
    <w:rsid w:val="00DA3F57"/>
    <w:rsid w:val="00DA607C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87B73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1117"/>
    <w:rsid w:val="00FA1469"/>
    <w:rsid w:val="00FA2583"/>
    <w:rsid w:val="00FA2FAA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35F1"/>
    <w:rsid w:val="00FE4182"/>
    <w:rsid w:val="00FE4371"/>
    <w:rsid w:val="00FE48DC"/>
    <w:rsid w:val="00FE6FD8"/>
    <w:rsid w:val="00FF0B7A"/>
    <w:rsid w:val="00FF116C"/>
    <w:rsid w:val="00FF1772"/>
    <w:rsid w:val="00FF415F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7A41-5F53-4949-9D6E-0EDE5437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3962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94</cp:revision>
  <cp:lastPrinted>2021-05-09T06:48:00Z</cp:lastPrinted>
  <dcterms:created xsi:type="dcterms:W3CDTF">2021-05-06T19:32:00Z</dcterms:created>
  <dcterms:modified xsi:type="dcterms:W3CDTF">2021-06-14T05:24:00Z</dcterms:modified>
</cp:coreProperties>
</file>