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3A" w:rsidRDefault="00591C3A" w:rsidP="00591C3A">
      <w:pPr>
        <w:ind w:left="-46" w:right="-180" w:firstLine="46"/>
        <w:jc w:val="center"/>
        <w:rPr>
          <w:rFonts w:cs="Simplified Arabic" w:hint="cs"/>
          <w:b/>
          <w:bCs/>
          <w:sz w:val="32"/>
          <w:szCs w:val="32"/>
          <w:rtl/>
        </w:rPr>
      </w:pPr>
      <w:bookmarkStart w:id="0" w:name="OLE_LINK3"/>
      <w:bookmarkStart w:id="1" w:name="OLE_LINK4"/>
    </w:p>
    <w:p w:rsidR="00BB6C08" w:rsidRPr="00591C3A" w:rsidRDefault="00591C3A" w:rsidP="00591C3A">
      <w:pPr>
        <w:ind w:left="-46" w:right="-180" w:firstLine="46"/>
        <w:jc w:val="center"/>
        <w:rPr>
          <w:rFonts w:cs="Simplified Arabic"/>
          <w:b/>
          <w:bCs/>
          <w:color w:val="000000"/>
          <w:sz w:val="32"/>
          <w:szCs w:val="32"/>
          <w:rtl/>
        </w:rPr>
      </w:pPr>
      <w:r w:rsidRPr="00591C3A">
        <w:rPr>
          <w:rFonts w:cs="Simplified Arabic" w:hint="cs"/>
          <w:b/>
          <w:bCs/>
          <w:sz w:val="32"/>
          <w:szCs w:val="32"/>
          <w:rtl/>
        </w:rPr>
        <w:t xml:space="preserve">الإحصاء الفلسطيني يعلن </w:t>
      </w:r>
      <w:r w:rsidR="00DF359E" w:rsidRPr="00591C3A">
        <w:rPr>
          <w:rFonts w:cs="Simplified Arabic" w:hint="cs"/>
          <w:b/>
          <w:bCs/>
          <w:sz w:val="32"/>
          <w:szCs w:val="32"/>
          <w:rtl/>
        </w:rPr>
        <w:t xml:space="preserve">مستويات المعيشة في </w:t>
      </w:r>
      <w:r w:rsidR="004F32C0" w:rsidRPr="00591C3A">
        <w:rPr>
          <w:rFonts w:cs="Simplified Arabic" w:hint="cs"/>
          <w:b/>
          <w:bCs/>
          <w:sz w:val="32"/>
          <w:szCs w:val="32"/>
          <w:rtl/>
        </w:rPr>
        <w:t>فلسطين</w:t>
      </w:r>
      <w:r w:rsidR="00DF359E" w:rsidRPr="00591C3A">
        <w:rPr>
          <w:rFonts w:cs="Simplified Arabic" w:hint="cs"/>
          <w:b/>
          <w:bCs/>
          <w:sz w:val="32"/>
          <w:szCs w:val="32"/>
          <w:rtl/>
        </w:rPr>
        <w:t xml:space="preserve">، </w:t>
      </w:r>
      <w:r w:rsidR="005705D6" w:rsidRPr="00591C3A">
        <w:rPr>
          <w:rFonts w:cs="Simplified Arabic" w:hint="cs"/>
          <w:b/>
          <w:bCs/>
          <w:sz w:val="32"/>
          <w:szCs w:val="32"/>
          <w:rtl/>
        </w:rPr>
        <w:t>2017</w:t>
      </w:r>
    </w:p>
    <w:p w:rsidR="00D10C22" w:rsidRPr="00396359" w:rsidRDefault="00D10C22" w:rsidP="00D10C22">
      <w:pPr>
        <w:ind w:left="-46" w:right="-180" w:firstLine="46"/>
        <w:jc w:val="center"/>
        <w:rPr>
          <w:rFonts w:cs="Simplified Arabic"/>
          <w:b/>
          <w:bCs/>
          <w:color w:val="000000"/>
          <w:sz w:val="16"/>
          <w:szCs w:val="16"/>
          <w:rtl/>
        </w:rPr>
      </w:pPr>
    </w:p>
    <w:p w:rsidR="00D10C22" w:rsidRPr="008B071E" w:rsidRDefault="00D10C22" w:rsidP="00D10C22">
      <w:pPr>
        <w:jc w:val="both"/>
        <w:rPr>
          <w:rFonts w:cs="Simplified Arabic"/>
          <w:sz w:val="10"/>
          <w:szCs w:val="10"/>
          <w:rtl/>
        </w:rPr>
      </w:pPr>
      <w:bookmarkStart w:id="2" w:name="OLE_LINK5"/>
      <w:bookmarkStart w:id="3" w:name="OLE_LINK6"/>
    </w:p>
    <w:p w:rsidR="00591C3A" w:rsidRDefault="00591C3A" w:rsidP="001802F5">
      <w:pPr>
        <w:tabs>
          <w:tab w:val="num" w:pos="1215"/>
        </w:tabs>
        <w:jc w:val="both"/>
        <w:rPr>
          <w:rFonts w:cs="Simplified Arabic" w:hint="cs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متوسط إ</w:t>
      </w:r>
      <w:r w:rsidRPr="000341DD">
        <w:rPr>
          <w:rFonts w:cs="Simplified Arabic" w:hint="cs"/>
          <w:b/>
          <w:bCs/>
          <w:sz w:val="28"/>
          <w:szCs w:val="28"/>
          <w:rtl/>
        </w:rPr>
        <w:t>نفاق الفرد الفلسطيني الشهري</w:t>
      </w:r>
      <w:r>
        <w:rPr>
          <w:rFonts w:cs="Simplified Arabic" w:hint="cs"/>
          <w:b/>
          <w:bCs/>
          <w:sz w:val="28"/>
          <w:szCs w:val="28"/>
          <w:rtl/>
        </w:rPr>
        <w:t xml:space="preserve"> حوالي</w:t>
      </w:r>
      <w:r w:rsidRPr="000341DD">
        <w:rPr>
          <w:rFonts w:cs="Simplified Arabic" w:hint="cs"/>
          <w:b/>
          <w:bCs/>
          <w:sz w:val="28"/>
          <w:szCs w:val="28"/>
          <w:rtl/>
        </w:rPr>
        <w:t xml:space="preserve"> 170 ديناراً أردنياً</w:t>
      </w:r>
    </w:p>
    <w:p w:rsidR="00DF359E" w:rsidRPr="00591C3A" w:rsidRDefault="007105A5" w:rsidP="001802F5">
      <w:pPr>
        <w:tabs>
          <w:tab w:val="num" w:pos="1215"/>
        </w:tabs>
        <w:jc w:val="both"/>
        <w:rPr>
          <w:rFonts w:cs="Simplified Arabic"/>
          <w:sz w:val="26"/>
          <w:szCs w:val="26"/>
          <w:rtl/>
        </w:rPr>
      </w:pPr>
      <w:r w:rsidRPr="00591C3A">
        <w:rPr>
          <w:rFonts w:cs="Simplified Arabic" w:hint="cs"/>
          <w:sz w:val="26"/>
          <w:szCs w:val="26"/>
          <w:rtl/>
        </w:rPr>
        <w:t xml:space="preserve">بلغ </w:t>
      </w:r>
      <w:r w:rsidR="00DF359E" w:rsidRPr="00591C3A">
        <w:rPr>
          <w:rFonts w:cs="Simplified Arabic" w:hint="cs"/>
          <w:sz w:val="26"/>
          <w:szCs w:val="26"/>
          <w:rtl/>
        </w:rPr>
        <w:t xml:space="preserve">متوسط إنفاق الفرد الشهري في </w:t>
      </w:r>
      <w:r w:rsidR="004F32C0" w:rsidRPr="00591C3A">
        <w:rPr>
          <w:rFonts w:cs="Simplified Arabic" w:hint="cs"/>
          <w:sz w:val="26"/>
          <w:szCs w:val="26"/>
          <w:rtl/>
        </w:rPr>
        <w:t>فلسطين</w:t>
      </w:r>
      <w:r w:rsidR="00DF359E" w:rsidRPr="00591C3A">
        <w:rPr>
          <w:rFonts w:cs="Simplified Arabic" w:hint="cs"/>
          <w:sz w:val="26"/>
          <w:szCs w:val="26"/>
          <w:rtl/>
        </w:rPr>
        <w:t xml:space="preserve"> </w:t>
      </w:r>
      <w:r w:rsidR="00A40DDD" w:rsidRPr="00591C3A">
        <w:rPr>
          <w:rFonts w:cs="Simplified Arabic" w:hint="cs"/>
          <w:sz w:val="26"/>
          <w:szCs w:val="26"/>
          <w:rtl/>
        </w:rPr>
        <w:t>169.5</w:t>
      </w:r>
      <w:r w:rsidR="00DF359E" w:rsidRPr="00591C3A">
        <w:rPr>
          <w:rFonts w:cs="Simplified Arabic" w:hint="cs"/>
          <w:sz w:val="26"/>
          <w:szCs w:val="26"/>
          <w:rtl/>
        </w:rPr>
        <w:t xml:space="preserve"> ديناراً أردنياً، بواقع </w:t>
      </w:r>
      <w:r w:rsidR="004F32C0" w:rsidRPr="00591C3A">
        <w:rPr>
          <w:rFonts w:cs="Simplified Arabic" w:hint="cs"/>
          <w:sz w:val="26"/>
          <w:szCs w:val="26"/>
          <w:rtl/>
        </w:rPr>
        <w:t>220</w:t>
      </w:r>
      <w:r w:rsidR="001802F5" w:rsidRPr="00591C3A">
        <w:rPr>
          <w:rFonts w:cs="Simplified Arabic" w:hint="cs"/>
          <w:sz w:val="26"/>
          <w:szCs w:val="26"/>
          <w:rtl/>
        </w:rPr>
        <w:t>.1</w:t>
      </w:r>
      <w:r w:rsidR="00DF359E" w:rsidRPr="00591C3A">
        <w:rPr>
          <w:rFonts w:cs="Simplified Arabic" w:hint="cs"/>
          <w:sz w:val="26"/>
          <w:szCs w:val="26"/>
          <w:rtl/>
        </w:rPr>
        <w:t xml:space="preserve"> ديناراً أردنياً في الضفة الغربية مقابل </w:t>
      </w:r>
      <w:r w:rsidR="001802F5" w:rsidRPr="00591C3A">
        <w:rPr>
          <w:rFonts w:cs="Simplified Arabic" w:hint="cs"/>
          <w:sz w:val="26"/>
          <w:szCs w:val="26"/>
          <w:rtl/>
        </w:rPr>
        <w:t>91.2</w:t>
      </w:r>
      <w:r w:rsidR="00DF359E" w:rsidRPr="00591C3A">
        <w:rPr>
          <w:rFonts w:cs="Simplified Arabic" w:hint="cs"/>
          <w:sz w:val="26"/>
          <w:szCs w:val="26"/>
          <w:rtl/>
        </w:rPr>
        <w:t xml:space="preserve"> ديناراً أردنياً في قطاع غزة. </w:t>
      </w:r>
    </w:p>
    <w:p w:rsidR="00DF359E" w:rsidRPr="00396359" w:rsidRDefault="00DF359E" w:rsidP="00DF359E">
      <w:pPr>
        <w:tabs>
          <w:tab w:val="left" w:pos="1215"/>
        </w:tabs>
        <w:jc w:val="both"/>
        <w:rPr>
          <w:rFonts w:cs="Simplified Arabic"/>
          <w:sz w:val="16"/>
          <w:szCs w:val="16"/>
        </w:rPr>
      </w:pPr>
      <w:r w:rsidRPr="00757DA8">
        <w:rPr>
          <w:rFonts w:cs="Simplified Arabic" w:hint="cs"/>
          <w:rtl/>
        </w:rPr>
        <w:t xml:space="preserve"> </w:t>
      </w:r>
      <w:r>
        <w:rPr>
          <w:rFonts w:cs="Simplified Arabic"/>
          <w:rtl/>
        </w:rPr>
        <w:tab/>
      </w:r>
    </w:p>
    <w:p w:rsidR="0031744E" w:rsidRPr="00591C3A" w:rsidRDefault="00D66AFF" w:rsidP="003D559B">
      <w:pPr>
        <w:jc w:val="lowKashida"/>
        <w:rPr>
          <w:rFonts w:cs="Simplified Arabic"/>
          <w:b/>
          <w:bCs/>
          <w:sz w:val="26"/>
          <w:szCs w:val="26"/>
          <w:rtl/>
        </w:rPr>
      </w:pPr>
      <w:r w:rsidRPr="00591C3A">
        <w:rPr>
          <w:rFonts w:cs="Simplified Arabic" w:hint="cs"/>
          <w:b/>
          <w:bCs/>
          <w:sz w:val="26"/>
          <w:szCs w:val="26"/>
          <w:rtl/>
        </w:rPr>
        <w:t>حوالي 31</w:t>
      </w:r>
      <w:r w:rsidR="0031744E" w:rsidRPr="00591C3A">
        <w:rPr>
          <w:rFonts w:cs="Simplified Arabic" w:hint="cs"/>
          <w:b/>
          <w:bCs/>
          <w:sz w:val="26"/>
          <w:szCs w:val="26"/>
          <w:rtl/>
        </w:rPr>
        <w:t xml:space="preserve">% </w:t>
      </w:r>
      <w:r w:rsidR="008F27E7" w:rsidRPr="00591C3A">
        <w:rPr>
          <w:rFonts w:cs="Simplified Arabic" w:hint="cs"/>
          <w:b/>
          <w:bCs/>
          <w:sz w:val="26"/>
          <w:szCs w:val="26"/>
          <w:rtl/>
        </w:rPr>
        <w:t>حصة الطعام من الإ</w:t>
      </w:r>
      <w:r w:rsidR="003D559B" w:rsidRPr="00591C3A">
        <w:rPr>
          <w:rFonts w:cs="Simplified Arabic" w:hint="cs"/>
          <w:b/>
          <w:bCs/>
          <w:sz w:val="26"/>
          <w:szCs w:val="26"/>
          <w:rtl/>
        </w:rPr>
        <w:t>نفاق الكلي</w:t>
      </w:r>
    </w:p>
    <w:p w:rsidR="007105A5" w:rsidRPr="00591C3A" w:rsidRDefault="00DF359E" w:rsidP="007105A5">
      <w:pPr>
        <w:tabs>
          <w:tab w:val="num" w:pos="1215"/>
        </w:tabs>
        <w:jc w:val="both"/>
        <w:rPr>
          <w:rFonts w:cs="Simplified Arabic"/>
          <w:sz w:val="26"/>
          <w:szCs w:val="26"/>
          <w:rtl/>
        </w:rPr>
      </w:pPr>
      <w:r w:rsidRPr="00591C3A">
        <w:rPr>
          <w:rFonts w:cs="Simplified Arabic" w:hint="cs"/>
          <w:sz w:val="26"/>
          <w:szCs w:val="26"/>
          <w:rtl/>
        </w:rPr>
        <w:t xml:space="preserve">شكل الإنفاق على مجموعات الطعام من متوسط الإنفاق الكلي للفرد في </w:t>
      </w:r>
      <w:r w:rsidR="004F32C0" w:rsidRPr="00591C3A">
        <w:rPr>
          <w:rFonts w:cs="Simplified Arabic" w:hint="cs"/>
          <w:sz w:val="26"/>
          <w:szCs w:val="26"/>
          <w:rtl/>
        </w:rPr>
        <w:t>فلسطين</w:t>
      </w:r>
      <w:r w:rsidRPr="00591C3A">
        <w:rPr>
          <w:rFonts w:cs="Simplified Arabic" w:hint="cs"/>
          <w:sz w:val="26"/>
          <w:szCs w:val="26"/>
          <w:rtl/>
        </w:rPr>
        <w:t xml:space="preserve"> </w:t>
      </w:r>
      <w:r w:rsidR="004F32C0" w:rsidRPr="00591C3A">
        <w:rPr>
          <w:rFonts w:cs="Simplified Arabic" w:hint="cs"/>
          <w:sz w:val="26"/>
          <w:szCs w:val="26"/>
          <w:rtl/>
        </w:rPr>
        <w:t>30.</w:t>
      </w:r>
      <w:r w:rsidR="005705D6" w:rsidRPr="00591C3A">
        <w:rPr>
          <w:rFonts w:cs="Simplified Arabic" w:hint="cs"/>
          <w:sz w:val="26"/>
          <w:szCs w:val="26"/>
          <w:rtl/>
        </w:rPr>
        <w:t>5</w:t>
      </w:r>
      <w:r w:rsidRPr="00591C3A">
        <w:rPr>
          <w:rFonts w:cs="Simplified Arabic" w:hint="cs"/>
          <w:sz w:val="26"/>
          <w:szCs w:val="26"/>
          <w:rtl/>
        </w:rPr>
        <w:t xml:space="preserve">% من مجمل الإنفاق الشهري، بواقع </w:t>
      </w:r>
      <w:r w:rsidR="005705D6" w:rsidRPr="00591C3A">
        <w:rPr>
          <w:rFonts w:cs="Simplified Arabic" w:hint="cs"/>
          <w:sz w:val="26"/>
          <w:szCs w:val="26"/>
          <w:rtl/>
        </w:rPr>
        <w:t>29.1</w:t>
      </w:r>
      <w:r w:rsidRPr="00591C3A">
        <w:rPr>
          <w:rFonts w:cs="Simplified Arabic" w:hint="cs"/>
          <w:sz w:val="26"/>
          <w:szCs w:val="26"/>
          <w:rtl/>
        </w:rPr>
        <w:t xml:space="preserve">% في الضفة الغربية </w:t>
      </w:r>
      <w:r w:rsidR="005705D6" w:rsidRPr="00591C3A">
        <w:rPr>
          <w:rFonts w:cs="Simplified Arabic" w:hint="cs"/>
          <w:sz w:val="26"/>
          <w:szCs w:val="26"/>
          <w:rtl/>
        </w:rPr>
        <w:t>35.7</w:t>
      </w:r>
      <w:r w:rsidRPr="00591C3A">
        <w:rPr>
          <w:rFonts w:cs="Simplified Arabic" w:hint="cs"/>
          <w:sz w:val="26"/>
          <w:szCs w:val="26"/>
          <w:rtl/>
        </w:rPr>
        <w:t>% في قطاع غزة، تليها</w:t>
      </w:r>
      <w:r w:rsidRPr="00591C3A">
        <w:rPr>
          <w:rFonts w:cs="Simplified Arabic"/>
          <w:sz w:val="26"/>
          <w:szCs w:val="26"/>
          <w:rtl/>
        </w:rPr>
        <w:t xml:space="preserve"> </w:t>
      </w:r>
      <w:r w:rsidRPr="00591C3A">
        <w:rPr>
          <w:rFonts w:cs="Simplified Arabic" w:hint="cs"/>
          <w:sz w:val="26"/>
          <w:szCs w:val="26"/>
          <w:rtl/>
        </w:rPr>
        <w:t>نسبة الإنفاق على</w:t>
      </w:r>
      <w:r w:rsidRPr="00591C3A">
        <w:rPr>
          <w:rFonts w:cs="Simplified Arabic"/>
          <w:sz w:val="26"/>
          <w:szCs w:val="26"/>
          <w:rtl/>
        </w:rPr>
        <w:t xml:space="preserve"> وسائل النقل والاتصالات</w:t>
      </w:r>
      <w:r w:rsidR="007105A5" w:rsidRPr="00591C3A">
        <w:rPr>
          <w:rFonts w:cs="Simplified Arabic" w:hint="cs"/>
          <w:sz w:val="26"/>
          <w:szCs w:val="26"/>
          <w:rtl/>
        </w:rPr>
        <w:t xml:space="preserve"> بواقع </w:t>
      </w:r>
      <w:r w:rsidR="005705D6" w:rsidRPr="00591C3A">
        <w:rPr>
          <w:rFonts w:cs="Simplified Arabic" w:hint="cs"/>
          <w:sz w:val="26"/>
          <w:szCs w:val="26"/>
          <w:rtl/>
        </w:rPr>
        <w:t>18.5</w:t>
      </w:r>
      <w:r w:rsidRPr="00591C3A">
        <w:rPr>
          <w:rFonts w:cs="Simplified Arabic" w:hint="cs"/>
          <w:sz w:val="26"/>
          <w:szCs w:val="26"/>
          <w:rtl/>
        </w:rPr>
        <w:t xml:space="preserve">%، </w:t>
      </w:r>
      <w:r w:rsidR="001F0803" w:rsidRPr="00591C3A">
        <w:rPr>
          <w:rFonts w:cs="Simplified Arabic" w:hint="cs"/>
          <w:sz w:val="26"/>
          <w:szCs w:val="26"/>
          <w:rtl/>
        </w:rPr>
        <w:t xml:space="preserve">و8.7% على المسكن, </w:t>
      </w:r>
      <w:r w:rsidRPr="00591C3A">
        <w:rPr>
          <w:rFonts w:cs="Simplified Arabic" w:hint="cs"/>
          <w:sz w:val="26"/>
          <w:szCs w:val="26"/>
          <w:rtl/>
        </w:rPr>
        <w:t xml:space="preserve">وكانت أدنى نسبة من الإنفاق على مجموعتي النشاطات الترفيهية </w:t>
      </w:r>
      <w:r w:rsidR="00DB2C37" w:rsidRPr="00591C3A">
        <w:rPr>
          <w:rFonts w:cs="Simplified Arabic" w:hint="cs"/>
          <w:sz w:val="26"/>
          <w:szCs w:val="26"/>
          <w:rtl/>
        </w:rPr>
        <w:t xml:space="preserve">والثقافية </w:t>
      </w:r>
      <w:r w:rsidRPr="00591C3A">
        <w:rPr>
          <w:rFonts w:cs="Simplified Arabic" w:hint="cs"/>
          <w:sz w:val="26"/>
          <w:szCs w:val="26"/>
          <w:rtl/>
        </w:rPr>
        <w:t xml:space="preserve">والعناية الشخصية بنسبة </w:t>
      </w:r>
      <w:r w:rsidR="005D3B09" w:rsidRPr="00591C3A">
        <w:rPr>
          <w:rFonts w:cs="Simplified Arabic" w:hint="cs"/>
          <w:sz w:val="26"/>
          <w:szCs w:val="26"/>
          <w:rtl/>
        </w:rPr>
        <w:t>1.5</w:t>
      </w:r>
      <w:r w:rsidRPr="00591C3A">
        <w:rPr>
          <w:rFonts w:cs="Simplified Arabic" w:hint="cs"/>
          <w:sz w:val="26"/>
          <w:szCs w:val="26"/>
          <w:rtl/>
        </w:rPr>
        <w:t>% و2.</w:t>
      </w:r>
      <w:r w:rsidR="005705D6" w:rsidRPr="00591C3A">
        <w:rPr>
          <w:rFonts w:cs="Simplified Arabic" w:hint="cs"/>
          <w:sz w:val="26"/>
          <w:szCs w:val="26"/>
          <w:rtl/>
        </w:rPr>
        <w:t>1</w:t>
      </w:r>
      <w:r w:rsidRPr="00591C3A">
        <w:rPr>
          <w:rFonts w:cs="Simplified Arabic" w:hint="cs"/>
          <w:sz w:val="26"/>
          <w:szCs w:val="26"/>
          <w:rtl/>
        </w:rPr>
        <w:t xml:space="preserve">% على التوالي في </w:t>
      </w:r>
      <w:r w:rsidR="007105A5" w:rsidRPr="00591C3A">
        <w:rPr>
          <w:rFonts w:cs="Simplified Arabic" w:hint="cs"/>
          <w:sz w:val="26"/>
          <w:szCs w:val="26"/>
          <w:rtl/>
        </w:rPr>
        <w:t>فلسطين</w:t>
      </w:r>
      <w:r w:rsidRPr="00591C3A">
        <w:rPr>
          <w:rFonts w:cs="Simplified Arabic" w:hint="cs"/>
          <w:sz w:val="26"/>
          <w:szCs w:val="26"/>
          <w:rtl/>
        </w:rPr>
        <w:t>.</w:t>
      </w:r>
    </w:p>
    <w:p w:rsidR="003D559B" w:rsidRPr="00591C3A" w:rsidRDefault="003D559B" w:rsidP="007105A5">
      <w:pPr>
        <w:tabs>
          <w:tab w:val="num" w:pos="1215"/>
        </w:tabs>
        <w:jc w:val="both"/>
        <w:rPr>
          <w:rFonts w:cs="Simplified Arabic"/>
          <w:sz w:val="26"/>
          <w:szCs w:val="26"/>
          <w:rtl/>
        </w:rPr>
      </w:pPr>
    </w:p>
    <w:p w:rsidR="0058614B" w:rsidRDefault="00B57AEF" w:rsidP="00591C3A">
      <w:pPr>
        <w:tabs>
          <w:tab w:val="num" w:pos="1215"/>
        </w:tabs>
        <w:jc w:val="center"/>
        <w:rPr>
          <w:rFonts w:cs="Simplified Arabic"/>
          <w:rtl/>
        </w:rPr>
      </w:pPr>
      <w:r>
        <w:rPr>
          <w:rFonts w:cs="Simplified Arabic"/>
          <w:noProof/>
          <w:rtl/>
          <w:lang w:eastAsia="en-US"/>
        </w:rPr>
        <w:drawing>
          <wp:inline distT="0" distB="0" distL="0" distR="0">
            <wp:extent cx="3067050" cy="3143250"/>
            <wp:effectExtent l="0" t="0" r="0" b="0"/>
            <wp:docPr id="3" name="Picture 1" descr="C:\Users\tfida\Pictures\arabic_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fida\Pictures\arabic_ff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438" cy="3143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FD7" w:rsidRPr="003D559B" w:rsidRDefault="00036FD7" w:rsidP="00DF359E">
      <w:pPr>
        <w:tabs>
          <w:tab w:val="num" w:pos="1215"/>
        </w:tabs>
        <w:jc w:val="both"/>
        <w:rPr>
          <w:rFonts w:cs="Simplified Arabic"/>
          <w:b/>
          <w:bCs/>
          <w:sz w:val="10"/>
          <w:szCs w:val="10"/>
          <w:rtl/>
        </w:rPr>
      </w:pPr>
    </w:p>
    <w:p w:rsidR="00591C3A" w:rsidRPr="00591C3A" w:rsidRDefault="0031744E" w:rsidP="00591C3A">
      <w:pPr>
        <w:tabs>
          <w:tab w:val="num" w:pos="1215"/>
        </w:tabs>
        <w:jc w:val="both"/>
        <w:rPr>
          <w:rFonts w:cs="Simplified Arabic" w:hint="cs"/>
          <w:sz w:val="26"/>
          <w:szCs w:val="26"/>
          <w:rtl/>
        </w:rPr>
      </w:pPr>
      <w:r w:rsidRPr="00591C3A">
        <w:rPr>
          <w:rFonts w:cs="Simplified Arabic" w:hint="cs"/>
          <w:b/>
          <w:bCs/>
          <w:sz w:val="26"/>
          <w:szCs w:val="26"/>
          <w:rtl/>
        </w:rPr>
        <w:t>ما بين عامي 2011 و2017:</w:t>
      </w:r>
      <w:r w:rsidR="00591C3A" w:rsidRPr="00591C3A">
        <w:rPr>
          <w:rFonts w:cs="Simplified Arabic" w:hint="cs"/>
          <w:b/>
          <w:bCs/>
          <w:sz w:val="26"/>
          <w:szCs w:val="26"/>
          <w:rtl/>
        </w:rPr>
        <w:t xml:space="preserve"> يرتفع إنفاق الفرد في الضفة الغربية بينما ينخفض  في قطاع غزة</w:t>
      </w:r>
    </w:p>
    <w:p w:rsidR="00DF359E" w:rsidRPr="00591C3A" w:rsidRDefault="004977DD" w:rsidP="00B57AEF">
      <w:pPr>
        <w:tabs>
          <w:tab w:val="num" w:pos="1215"/>
        </w:tabs>
        <w:jc w:val="both"/>
        <w:rPr>
          <w:rFonts w:cs="Simplified Arabic"/>
          <w:sz w:val="26"/>
          <w:szCs w:val="26"/>
          <w:rtl/>
        </w:rPr>
      </w:pPr>
      <w:r w:rsidRPr="00591C3A">
        <w:rPr>
          <w:rFonts w:cs="Simplified Arabic" w:hint="cs"/>
          <w:sz w:val="26"/>
          <w:szCs w:val="26"/>
          <w:rtl/>
        </w:rPr>
        <w:t>طرأ ارتفاع في</w:t>
      </w:r>
      <w:r w:rsidR="00DF359E" w:rsidRPr="00591C3A">
        <w:rPr>
          <w:rFonts w:cs="Simplified Arabic" w:hint="cs"/>
          <w:sz w:val="26"/>
          <w:szCs w:val="26"/>
          <w:rtl/>
        </w:rPr>
        <w:t xml:space="preserve"> الإنفاق النقدي الكلي للفرد في عام </w:t>
      </w:r>
      <w:r w:rsidR="005705D6" w:rsidRPr="00591C3A">
        <w:rPr>
          <w:rFonts w:cs="Simplified Arabic" w:hint="cs"/>
          <w:sz w:val="26"/>
          <w:szCs w:val="26"/>
          <w:rtl/>
        </w:rPr>
        <w:t>2017</w:t>
      </w:r>
      <w:r w:rsidR="00DF359E" w:rsidRPr="00591C3A">
        <w:rPr>
          <w:rFonts w:cs="Simplified Arabic" w:hint="cs"/>
          <w:sz w:val="26"/>
          <w:szCs w:val="26"/>
          <w:rtl/>
        </w:rPr>
        <w:t xml:space="preserve"> مقارنة مع عام </w:t>
      </w:r>
      <w:r w:rsidR="005705D6" w:rsidRPr="00591C3A">
        <w:rPr>
          <w:rFonts w:cs="Simplified Arabic" w:hint="cs"/>
          <w:sz w:val="26"/>
          <w:szCs w:val="26"/>
          <w:rtl/>
        </w:rPr>
        <w:t>2011</w:t>
      </w:r>
      <w:r w:rsidR="001F0803" w:rsidRPr="00591C3A">
        <w:rPr>
          <w:rFonts w:cs="Simplified Arabic" w:hint="cs"/>
          <w:sz w:val="26"/>
          <w:szCs w:val="26"/>
          <w:rtl/>
        </w:rPr>
        <w:t xml:space="preserve"> في الضفة الغربية، فقد </w:t>
      </w:r>
      <w:r w:rsidR="00DF359E" w:rsidRPr="00591C3A">
        <w:rPr>
          <w:rFonts w:cs="Simplified Arabic" w:hint="cs"/>
          <w:sz w:val="26"/>
          <w:szCs w:val="26"/>
          <w:rtl/>
        </w:rPr>
        <w:t>ارتفع متوسط</w:t>
      </w:r>
      <w:r w:rsidR="00224B0F" w:rsidRPr="00591C3A">
        <w:rPr>
          <w:rFonts w:cs="Simplified Arabic" w:hint="cs"/>
          <w:sz w:val="26"/>
          <w:szCs w:val="26"/>
          <w:rtl/>
        </w:rPr>
        <w:t xml:space="preserve"> </w:t>
      </w:r>
      <w:r w:rsidR="00DF359E" w:rsidRPr="00591C3A">
        <w:rPr>
          <w:rFonts w:cs="Simplified Arabic" w:hint="cs"/>
          <w:sz w:val="26"/>
          <w:szCs w:val="26"/>
          <w:rtl/>
        </w:rPr>
        <w:t xml:space="preserve">إنفاق الفرد من </w:t>
      </w:r>
      <w:r w:rsidR="005705D6" w:rsidRPr="00591C3A">
        <w:rPr>
          <w:rFonts w:cs="Simplified Arabic" w:hint="cs"/>
          <w:sz w:val="26"/>
          <w:szCs w:val="26"/>
          <w:rtl/>
        </w:rPr>
        <w:t>188</w:t>
      </w:r>
      <w:r w:rsidR="00DF359E" w:rsidRPr="00591C3A">
        <w:rPr>
          <w:rFonts w:cs="Simplified Arabic" w:hint="cs"/>
          <w:sz w:val="26"/>
          <w:szCs w:val="26"/>
          <w:rtl/>
        </w:rPr>
        <w:t xml:space="preserve"> ديناراً أردنياً عام </w:t>
      </w:r>
      <w:r w:rsidR="005705D6" w:rsidRPr="00591C3A">
        <w:rPr>
          <w:rFonts w:cs="Simplified Arabic" w:hint="cs"/>
          <w:sz w:val="26"/>
          <w:szCs w:val="26"/>
          <w:rtl/>
        </w:rPr>
        <w:t>2011</w:t>
      </w:r>
      <w:r w:rsidR="00DF359E" w:rsidRPr="00591C3A">
        <w:rPr>
          <w:rFonts w:cs="Simplified Arabic" w:hint="cs"/>
          <w:sz w:val="26"/>
          <w:szCs w:val="26"/>
          <w:rtl/>
        </w:rPr>
        <w:t xml:space="preserve"> إلى </w:t>
      </w:r>
      <w:r w:rsidR="005705D6" w:rsidRPr="00591C3A">
        <w:rPr>
          <w:rFonts w:cs="Simplified Arabic" w:hint="cs"/>
          <w:sz w:val="26"/>
          <w:szCs w:val="26"/>
          <w:rtl/>
        </w:rPr>
        <w:t>220</w:t>
      </w:r>
      <w:r w:rsidR="00DF359E" w:rsidRPr="00591C3A">
        <w:rPr>
          <w:rFonts w:cs="Simplified Arabic" w:hint="cs"/>
          <w:sz w:val="26"/>
          <w:szCs w:val="26"/>
          <w:rtl/>
        </w:rPr>
        <w:t xml:space="preserve"> ديناراً أردنياً عام </w:t>
      </w:r>
      <w:r w:rsidR="005705D6" w:rsidRPr="00591C3A">
        <w:rPr>
          <w:rFonts w:cs="Simplified Arabic" w:hint="cs"/>
          <w:sz w:val="26"/>
          <w:szCs w:val="26"/>
          <w:rtl/>
        </w:rPr>
        <w:t>2017</w:t>
      </w:r>
      <w:r w:rsidR="00DF359E" w:rsidRPr="00591C3A">
        <w:rPr>
          <w:rFonts w:cs="Simplified Arabic" w:hint="cs"/>
          <w:sz w:val="26"/>
          <w:szCs w:val="26"/>
          <w:rtl/>
        </w:rPr>
        <w:t>،</w:t>
      </w:r>
      <w:r w:rsidR="00B57AEF" w:rsidRPr="00591C3A">
        <w:rPr>
          <w:rFonts w:cs="Simplified Arabic" w:hint="cs"/>
          <w:sz w:val="26"/>
          <w:szCs w:val="26"/>
          <w:rtl/>
        </w:rPr>
        <w:t xml:space="preserve"> </w:t>
      </w:r>
      <w:r w:rsidR="00DF359E" w:rsidRPr="00591C3A">
        <w:rPr>
          <w:rFonts w:cs="Simplified Arabic" w:hint="cs"/>
          <w:sz w:val="26"/>
          <w:szCs w:val="26"/>
          <w:rtl/>
        </w:rPr>
        <w:t xml:space="preserve">أي بارتفاع مقداره </w:t>
      </w:r>
      <w:r w:rsidR="005705D6" w:rsidRPr="00591C3A">
        <w:rPr>
          <w:rFonts w:cs="Simplified Arabic" w:hint="cs"/>
          <w:sz w:val="26"/>
          <w:szCs w:val="26"/>
          <w:rtl/>
        </w:rPr>
        <w:t>17.0</w:t>
      </w:r>
      <w:r w:rsidR="00DF359E" w:rsidRPr="00591C3A">
        <w:rPr>
          <w:rFonts w:cs="Simplified Arabic" w:hint="cs"/>
          <w:sz w:val="26"/>
          <w:szCs w:val="26"/>
          <w:rtl/>
        </w:rPr>
        <w:t xml:space="preserve">%، أما في قطاع غزة فقد </w:t>
      </w:r>
      <w:r w:rsidR="007105A5" w:rsidRPr="00591C3A">
        <w:rPr>
          <w:rFonts w:cs="Simplified Arabic" w:hint="cs"/>
          <w:color w:val="000000" w:themeColor="text1"/>
          <w:sz w:val="26"/>
          <w:szCs w:val="26"/>
          <w:rtl/>
        </w:rPr>
        <w:t>انخفض</w:t>
      </w:r>
      <w:r w:rsidR="00DF359E" w:rsidRPr="00591C3A">
        <w:rPr>
          <w:rFonts w:cs="Simplified Arabic" w:hint="cs"/>
          <w:sz w:val="26"/>
          <w:szCs w:val="26"/>
          <w:rtl/>
        </w:rPr>
        <w:t xml:space="preserve"> الإنفاق النقدي الكلي للفرد في عام </w:t>
      </w:r>
      <w:r w:rsidR="005705D6" w:rsidRPr="00591C3A">
        <w:rPr>
          <w:rFonts w:cs="Simplified Arabic" w:hint="cs"/>
          <w:sz w:val="26"/>
          <w:szCs w:val="26"/>
          <w:rtl/>
        </w:rPr>
        <w:t>2017</w:t>
      </w:r>
      <w:r w:rsidR="00DF359E" w:rsidRPr="00591C3A">
        <w:rPr>
          <w:rFonts w:cs="Simplified Arabic" w:hint="cs"/>
          <w:sz w:val="26"/>
          <w:szCs w:val="26"/>
          <w:rtl/>
        </w:rPr>
        <w:t xml:space="preserve"> مقارنة مع عام </w:t>
      </w:r>
      <w:r w:rsidR="005705D6" w:rsidRPr="00591C3A">
        <w:rPr>
          <w:rFonts w:cs="Simplified Arabic" w:hint="cs"/>
          <w:sz w:val="26"/>
          <w:szCs w:val="26"/>
          <w:rtl/>
        </w:rPr>
        <w:t>2011</w:t>
      </w:r>
      <w:r w:rsidR="00DF359E" w:rsidRPr="00591C3A">
        <w:rPr>
          <w:rFonts w:cs="Simplified Arabic" w:hint="cs"/>
          <w:sz w:val="26"/>
          <w:szCs w:val="26"/>
          <w:rtl/>
        </w:rPr>
        <w:t xml:space="preserve">، حيث </w:t>
      </w:r>
      <w:r w:rsidR="005705D6" w:rsidRPr="00591C3A">
        <w:rPr>
          <w:rFonts w:cs="Simplified Arabic" w:hint="cs"/>
          <w:color w:val="000000" w:themeColor="text1"/>
          <w:sz w:val="26"/>
          <w:szCs w:val="26"/>
          <w:rtl/>
        </w:rPr>
        <w:t>انخفض</w:t>
      </w:r>
      <w:r w:rsidR="00DF359E" w:rsidRPr="00591C3A">
        <w:rPr>
          <w:rFonts w:cs="Simplified Arabic" w:hint="cs"/>
          <w:sz w:val="26"/>
          <w:szCs w:val="26"/>
          <w:rtl/>
        </w:rPr>
        <w:t xml:space="preserve"> من </w:t>
      </w:r>
      <w:r w:rsidR="00846B26" w:rsidRPr="00591C3A">
        <w:rPr>
          <w:rFonts w:cs="Simplified Arabic" w:hint="cs"/>
          <w:sz w:val="26"/>
          <w:szCs w:val="26"/>
          <w:rtl/>
        </w:rPr>
        <w:t>110</w:t>
      </w:r>
      <w:r w:rsidR="00DF359E" w:rsidRPr="00591C3A">
        <w:rPr>
          <w:rFonts w:cs="Simplified Arabic" w:hint="cs"/>
          <w:sz w:val="26"/>
          <w:szCs w:val="26"/>
          <w:rtl/>
        </w:rPr>
        <w:t xml:space="preserve"> دينا</w:t>
      </w:r>
      <w:r w:rsidR="005705D6" w:rsidRPr="00591C3A">
        <w:rPr>
          <w:rFonts w:cs="Simplified Arabic" w:hint="cs"/>
          <w:sz w:val="26"/>
          <w:szCs w:val="26"/>
          <w:rtl/>
        </w:rPr>
        <w:t xml:space="preserve">راً أردنياً الى </w:t>
      </w:r>
      <w:r w:rsidR="00846B26" w:rsidRPr="00591C3A">
        <w:rPr>
          <w:rFonts w:cs="Simplified Arabic" w:hint="cs"/>
          <w:sz w:val="26"/>
          <w:szCs w:val="26"/>
          <w:rtl/>
        </w:rPr>
        <w:t>91</w:t>
      </w:r>
      <w:r w:rsidR="00DF359E" w:rsidRPr="00591C3A">
        <w:rPr>
          <w:rFonts w:cs="Simplified Arabic" w:hint="cs"/>
          <w:sz w:val="26"/>
          <w:szCs w:val="26"/>
          <w:rtl/>
        </w:rPr>
        <w:t xml:space="preserve"> ديناراً أردنياً أي </w:t>
      </w:r>
      <w:r w:rsidR="004D2B2C" w:rsidRPr="00591C3A">
        <w:rPr>
          <w:rFonts w:cs="Simplified Arabic" w:hint="cs"/>
          <w:sz w:val="26"/>
          <w:szCs w:val="26"/>
          <w:rtl/>
        </w:rPr>
        <w:t xml:space="preserve">بانخفاض </w:t>
      </w:r>
      <w:r w:rsidR="00DF359E" w:rsidRPr="00591C3A">
        <w:rPr>
          <w:rFonts w:cs="Simplified Arabic" w:hint="cs"/>
          <w:sz w:val="26"/>
          <w:szCs w:val="26"/>
          <w:rtl/>
        </w:rPr>
        <w:t>نسب</w:t>
      </w:r>
      <w:r w:rsidR="004D2B2C" w:rsidRPr="00591C3A">
        <w:rPr>
          <w:rFonts w:cs="Simplified Arabic" w:hint="cs"/>
          <w:sz w:val="26"/>
          <w:szCs w:val="26"/>
          <w:rtl/>
        </w:rPr>
        <w:t>ته</w:t>
      </w:r>
      <w:r w:rsidR="00DF359E" w:rsidRPr="00591C3A">
        <w:rPr>
          <w:rFonts w:cs="Simplified Arabic" w:hint="cs"/>
          <w:sz w:val="26"/>
          <w:szCs w:val="26"/>
          <w:rtl/>
        </w:rPr>
        <w:t xml:space="preserve"> </w:t>
      </w:r>
      <w:r w:rsidR="00846B26" w:rsidRPr="00591C3A">
        <w:rPr>
          <w:rFonts w:cs="Simplified Arabic" w:hint="cs"/>
          <w:sz w:val="26"/>
          <w:szCs w:val="26"/>
          <w:rtl/>
        </w:rPr>
        <w:t>حوالي 17</w:t>
      </w:r>
      <w:r w:rsidR="00DF359E" w:rsidRPr="00591C3A">
        <w:rPr>
          <w:rFonts w:cs="Simplified Arabic" w:hint="cs"/>
          <w:sz w:val="26"/>
          <w:szCs w:val="26"/>
          <w:rtl/>
        </w:rPr>
        <w:t>%.</w:t>
      </w:r>
    </w:p>
    <w:p w:rsidR="0031744E" w:rsidRPr="00591C3A" w:rsidRDefault="0031744E" w:rsidP="0031744E">
      <w:pPr>
        <w:tabs>
          <w:tab w:val="num" w:pos="1215"/>
        </w:tabs>
        <w:jc w:val="both"/>
        <w:rPr>
          <w:rFonts w:cs="Simplified Arabic"/>
          <w:sz w:val="26"/>
          <w:szCs w:val="26"/>
          <w:rtl/>
        </w:rPr>
      </w:pPr>
    </w:p>
    <w:p w:rsidR="0031744E" w:rsidRPr="00591C3A" w:rsidRDefault="0031744E" w:rsidP="0040089C">
      <w:pPr>
        <w:tabs>
          <w:tab w:val="num" w:pos="1215"/>
        </w:tabs>
        <w:jc w:val="both"/>
        <w:rPr>
          <w:rFonts w:cs="Simplified Arabic"/>
          <w:sz w:val="26"/>
          <w:szCs w:val="26"/>
          <w:rtl/>
        </w:rPr>
      </w:pPr>
      <w:r w:rsidRPr="00591C3A">
        <w:rPr>
          <w:rFonts w:cs="Simplified Arabic" w:hint="cs"/>
          <w:sz w:val="26"/>
          <w:szCs w:val="26"/>
          <w:rtl/>
        </w:rPr>
        <w:t>وتبقى و</w:t>
      </w:r>
      <w:r w:rsidR="004105F2" w:rsidRPr="00591C3A">
        <w:rPr>
          <w:rFonts w:cs="Simplified Arabic" w:hint="cs"/>
          <w:sz w:val="26"/>
          <w:szCs w:val="26"/>
          <w:rtl/>
        </w:rPr>
        <w:t xml:space="preserve">تيرة التغير في إنفاق الفرد </w:t>
      </w:r>
      <w:r w:rsidR="0040089C" w:rsidRPr="00591C3A">
        <w:rPr>
          <w:rFonts w:cs="Simplified Arabic" w:hint="cs"/>
          <w:sz w:val="26"/>
          <w:szCs w:val="26"/>
          <w:rtl/>
        </w:rPr>
        <w:t>كما هي</w:t>
      </w:r>
      <w:r w:rsidRPr="00591C3A">
        <w:rPr>
          <w:rFonts w:cs="Simplified Arabic" w:hint="cs"/>
          <w:sz w:val="26"/>
          <w:szCs w:val="26"/>
          <w:rtl/>
        </w:rPr>
        <w:t xml:space="preserve"> اذا ما أخذت بالاسعار الثابتة (بعد تحييد أثر التضخم)، حيث ي</w:t>
      </w:r>
      <w:r w:rsidR="00FC0A74" w:rsidRPr="00591C3A">
        <w:rPr>
          <w:rFonts w:cs="Simplified Arabic" w:hint="cs"/>
          <w:sz w:val="26"/>
          <w:szCs w:val="26"/>
          <w:rtl/>
        </w:rPr>
        <w:t xml:space="preserve">ستمر الارتفاع في </w:t>
      </w:r>
      <w:r w:rsidR="00735452" w:rsidRPr="00591C3A">
        <w:rPr>
          <w:rFonts w:cs="Simplified Arabic" w:hint="cs"/>
          <w:sz w:val="26"/>
          <w:szCs w:val="26"/>
          <w:rtl/>
        </w:rPr>
        <w:t>إ</w:t>
      </w:r>
      <w:r w:rsidRPr="00591C3A">
        <w:rPr>
          <w:rFonts w:cs="Simplified Arabic" w:hint="cs"/>
          <w:sz w:val="26"/>
          <w:szCs w:val="26"/>
          <w:rtl/>
        </w:rPr>
        <w:t xml:space="preserve">نفاق الفرد في الضفة الغربية في العام 2017 عن العام 2011 ولكن </w:t>
      </w:r>
      <w:r w:rsidR="007751B1" w:rsidRPr="00591C3A">
        <w:rPr>
          <w:rFonts w:cs="Simplified Arabic" w:hint="cs"/>
          <w:sz w:val="26"/>
          <w:szCs w:val="26"/>
          <w:rtl/>
        </w:rPr>
        <w:t>بحدة أقل</w:t>
      </w:r>
      <w:r w:rsidRPr="00591C3A">
        <w:rPr>
          <w:rFonts w:cs="Simplified Arabic" w:hint="cs"/>
          <w:sz w:val="26"/>
          <w:szCs w:val="26"/>
          <w:rtl/>
        </w:rPr>
        <w:t xml:space="preserve"> </w:t>
      </w:r>
      <w:r w:rsidR="00FC0A74" w:rsidRPr="00591C3A">
        <w:rPr>
          <w:rFonts w:cs="Simplified Arabic" w:hint="cs"/>
          <w:sz w:val="26"/>
          <w:szCs w:val="26"/>
          <w:rtl/>
        </w:rPr>
        <w:t>مما يعني تحسن في المستوى المعيش</w:t>
      </w:r>
      <w:r w:rsidR="006461B2" w:rsidRPr="00591C3A">
        <w:rPr>
          <w:rFonts w:cs="Simplified Arabic" w:hint="cs"/>
          <w:sz w:val="26"/>
          <w:szCs w:val="26"/>
          <w:rtl/>
        </w:rPr>
        <w:t>ي</w:t>
      </w:r>
      <w:r w:rsidR="00FC0A74" w:rsidRPr="00591C3A">
        <w:rPr>
          <w:rFonts w:cs="Simplified Arabic" w:hint="cs"/>
          <w:sz w:val="26"/>
          <w:szCs w:val="26"/>
          <w:rtl/>
        </w:rPr>
        <w:t xml:space="preserve"> في الضفة الغربية.  وفي قطاع غزة وبعد </w:t>
      </w:r>
      <w:r w:rsidR="00735452" w:rsidRPr="00591C3A">
        <w:rPr>
          <w:rFonts w:cs="Simplified Arabic" w:hint="cs"/>
          <w:sz w:val="26"/>
          <w:szCs w:val="26"/>
          <w:rtl/>
        </w:rPr>
        <w:t>تحييد اثر التضخم ليس فقط ينخفض إ</w:t>
      </w:r>
      <w:r w:rsidR="00FC0A74" w:rsidRPr="00591C3A">
        <w:rPr>
          <w:rFonts w:cs="Simplified Arabic" w:hint="cs"/>
          <w:sz w:val="26"/>
          <w:szCs w:val="26"/>
          <w:rtl/>
        </w:rPr>
        <w:t>نفاق الفرد وانما تزيد نسبة الانخفاض ما بين عام 2017 و2011 بالاسعار الثابتة مما يعني تد</w:t>
      </w:r>
      <w:r w:rsidR="004105F2" w:rsidRPr="00591C3A">
        <w:rPr>
          <w:rFonts w:cs="Simplified Arabic" w:hint="cs"/>
          <w:sz w:val="26"/>
          <w:szCs w:val="26"/>
          <w:rtl/>
        </w:rPr>
        <w:t>ه</w:t>
      </w:r>
      <w:r w:rsidR="00FC0A74" w:rsidRPr="00591C3A">
        <w:rPr>
          <w:rFonts w:cs="Simplified Arabic" w:hint="cs"/>
          <w:sz w:val="26"/>
          <w:szCs w:val="26"/>
          <w:rtl/>
        </w:rPr>
        <w:t>ور في مستويات المعيشة في قطاع غزة.</w:t>
      </w:r>
    </w:p>
    <w:p w:rsidR="00912DF9" w:rsidRPr="00591C3A" w:rsidRDefault="00912DF9" w:rsidP="00FC0A74">
      <w:pPr>
        <w:tabs>
          <w:tab w:val="num" w:pos="1215"/>
        </w:tabs>
        <w:jc w:val="both"/>
        <w:rPr>
          <w:rFonts w:cs="Simplified Arabic"/>
          <w:sz w:val="26"/>
          <w:szCs w:val="26"/>
          <w:rtl/>
        </w:rPr>
      </w:pPr>
    </w:p>
    <w:p w:rsidR="00FC1D2F" w:rsidRPr="00591C3A" w:rsidRDefault="00735452" w:rsidP="00FC0A74">
      <w:pPr>
        <w:tabs>
          <w:tab w:val="num" w:pos="1215"/>
        </w:tabs>
        <w:jc w:val="both"/>
        <w:rPr>
          <w:rFonts w:cs="Simplified Arabic" w:hint="cs"/>
          <w:sz w:val="26"/>
          <w:szCs w:val="26"/>
          <w:rtl/>
        </w:rPr>
      </w:pPr>
      <w:r w:rsidRPr="00591C3A">
        <w:rPr>
          <w:rFonts w:cs="Simplified Arabic" w:hint="cs"/>
          <w:b/>
          <w:bCs/>
          <w:sz w:val="26"/>
          <w:szCs w:val="26"/>
          <w:rtl/>
        </w:rPr>
        <w:t xml:space="preserve">تغير في </w:t>
      </w:r>
      <w:r w:rsidR="00591C3A" w:rsidRPr="00591C3A">
        <w:rPr>
          <w:rFonts w:cs="Simplified Arabic" w:hint="cs"/>
          <w:b/>
          <w:bCs/>
          <w:sz w:val="26"/>
          <w:szCs w:val="26"/>
          <w:rtl/>
        </w:rPr>
        <w:t>أنماط</w:t>
      </w:r>
      <w:r w:rsidRPr="00591C3A">
        <w:rPr>
          <w:rFonts w:cs="Simplified Arabic" w:hint="cs"/>
          <w:b/>
          <w:bCs/>
          <w:sz w:val="26"/>
          <w:szCs w:val="26"/>
          <w:rtl/>
        </w:rPr>
        <w:t xml:space="preserve"> الإ</w:t>
      </w:r>
      <w:r w:rsidR="00FC1D2F" w:rsidRPr="00591C3A">
        <w:rPr>
          <w:rFonts w:cs="Simplified Arabic" w:hint="cs"/>
          <w:b/>
          <w:bCs/>
          <w:sz w:val="26"/>
          <w:szCs w:val="26"/>
          <w:rtl/>
        </w:rPr>
        <w:t>نفاق في عام 2017</w:t>
      </w:r>
      <w:r w:rsidR="00912DF9" w:rsidRPr="00591C3A">
        <w:rPr>
          <w:rFonts w:cs="Simplified Arabic" w:hint="cs"/>
          <w:sz w:val="26"/>
          <w:szCs w:val="26"/>
          <w:rtl/>
        </w:rPr>
        <w:t xml:space="preserve">: </w:t>
      </w:r>
      <w:r w:rsidR="00591C3A" w:rsidRPr="00591C3A">
        <w:rPr>
          <w:rFonts w:cs="Simplified Arabic" w:hint="cs"/>
          <w:sz w:val="26"/>
          <w:szCs w:val="26"/>
          <w:rtl/>
        </w:rPr>
        <w:t xml:space="preserve"> </w:t>
      </w:r>
      <w:r w:rsidR="00591C3A" w:rsidRPr="00591C3A">
        <w:rPr>
          <w:rFonts w:cs="Simplified Arabic" w:hint="cs"/>
          <w:b/>
          <w:bCs/>
          <w:sz w:val="26"/>
          <w:szCs w:val="26"/>
          <w:rtl/>
        </w:rPr>
        <w:t>انخفاض حصة الطعام والملابس والأحذية والتجهيزات المنزلية والعناية الشخصية</w:t>
      </w:r>
    </w:p>
    <w:p w:rsidR="00FC1D2F" w:rsidRPr="00591C3A" w:rsidRDefault="00735452" w:rsidP="00371274">
      <w:pPr>
        <w:tabs>
          <w:tab w:val="num" w:pos="1215"/>
        </w:tabs>
        <w:jc w:val="both"/>
        <w:rPr>
          <w:rFonts w:cs="Simplified Arabic"/>
          <w:sz w:val="26"/>
          <w:szCs w:val="26"/>
          <w:rtl/>
        </w:rPr>
      </w:pPr>
      <w:r w:rsidRPr="00591C3A">
        <w:rPr>
          <w:rFonts w:cs="Simplified Arabic" w:hint="cs"/>
          <w:sz w:val="26"/>
          <w:szCs w:val="26"/>
          <w:rtl/>
        </w:rPr>
        <w:t>تظهر البيانات تغيرا في نمط إ</w:t>
      </w:r>
      <w:r w:rsidR="00912DF9" w:rsidRPr="00591C3A">
        <w:rPr>
          <w:rFonts w:cs="Simplified Arabic" w:hint="cs"/>
          <w:sz w:val="26"/>
          <w:szCs w:val="26"/>
          <w:rtl/>
        </w:rPr>
        <w:t>نفاق الاسرة/الفرد الفلسطيني ما بين عامي 2017 و2011 في فلسطين على المجموعات الرئيسية للإنف</w:t>
      </w:r>
      <w:r w:rsidRPr="00591C3A">
        <w:rPr>
          <w:rFonts w:cs="Simplified Arabic" w:hint="cs"/>
          <w:sz w:val="26"/>
          <w:szCs w:val="26"/>
          <w:rtl/>
        </w:rPr>
        <w:t>اق، فقد انخفضت حصة الطعام من الإ</w:t>
      </w:r>
      <w:r w:rsidR="00912DF9" w:rsidRPr="00591C3A">
        <w:rPr>
          <w:rFonts w:cs="Simplified Arabic" w:hint="cs"/>
          <w:sz w:val="26"/>
          <w:szCs w:val="26"/>
          <w:rtl/>
        </w:rPr>
        <w:t xml:space="preserve">نفاق الكلي لتصبح </w:t>
      </w:r>
      <w:r w:rsidR="00075C63" w:rsidRPr="00591C3A">
        <w:rPr>
          <w:rFonts w:cs="Simplified Arabic" w:hint="cs"/>
          <w:sz w:val="26"/>
          <w:szCs w:val="26"/>
          <w:rtl/>
        </w:rPr>
        <w:t>30.5</w:t>
      </w:r>
      <w:r w:rsidR="00912DF9" w:rsidRPr="00591C3A">
        <w:rPr>
          <w:rFonts w:cs="Simplified Arabic" w:hint="cs"/>
          <w:sz w:val="26"/>
          <w:szCs w:val="26"/>
          <w:rtl/>
        </w:rPr>
        <w:t>% بينما كانت</w:t>
      </w:r>
      <w:r w:rsidR="00371274" w:rsidRPr="00591C3A">
        <w:rPr>
          <w:rFonts w:cs="Simplified Arabic" w:hint="cs"/>
          <w:sz w:val="26"/>
          <w:szCs w:val="26"/>
          <w:rtl/>
        </w:rPr>
        <w:t xml:space="preserve"> 35.9%</w:t>
      </w:r>
      <w:r w:rsidR="00912DF9" w:rsidRPr="00591C3A">
        <w:rPr>
          <w:rFonts w:cs="Simplified Arabic" w:hint="cs"/>
          <w:sz w:val="26"/>
          <w:szCs w:val="26"/>
          <w:rtl/>
        </w:rPr>
        <w:t xml:space="preserve"> في عام 2011.  كما يظهر انخفا</w:t>
      </w:r>
      <w:r w:rsidRPr="00591C3A">
        <w:rPr>
          <w:rFonts w:cs="Simplified Arabic" w:hint="cs"/>
          <w:sz w:val="26"/>
          <w:szCs w:val="26"/>
          <w:rtl/>
        </w:rPr>
        <w:t>ض في حصة الملابس والاحذية من الإ</w:t>
      </w:r>
      <w:r w:rsidR="00912DF9" w:rsidRPr="00591C3A">
        <w:rPr>
          <w:rFonts w:cs="Simplified Arabic" w:hint="cs"/>
          <w:sz w:val="26"/>
          <w:szCs w:val="26"/>
          <w:rtl/>
        </w:rPr>
        <w:t xml:space="preserve">نفاق الشهري من 6.6% عام 2011 الى 5.2% عام 2017. كما انخفضت حصة </w:t>
      </w:r>
      <w:r w:rsidR="00A94DA0" w:rsidRPr="00591C3A">
        <w:rPr>
          <w:rFonts w:cs="Simplified Arabic" w:hint="cs"/>
          <w:sz w:val="26"/>
          <w:szCs w:val="26"/>
          <w:rtl/>
        </w:rPr>
        <w:t>التجهيزات المنزلية والتي تشمل</w:t>
      </w:r>
      <w:r w:rsidR="00B2627E" w:rsidRPr="00591C3A">
        <w:rPr>
          <w:rFonts w:cs="Simplified Arabic" w:hint="cs"/>
          <w:sz w:val="26"/>
          <w:szCs w:val="26"/>
          <w:rtl/>
        </w:rPr>
        <w:t xml:space="preserve"> (</w:t>
      </w:r>
      <w:r w:rsidR="00A94DA0" w:rsidRPr="00591C3A">
        <w:rPr>
          <w:rFonts w:cs="Simplified Arabic" w:hint="cs"/>
          <w:sz w:val="26"/>
          <w:szCs w:val="26"/>
          <w:rtl/>
        </w:rPr>
        <w:t>الأ</w:t>
      </w:r>
      <w:r w:rsidR="00912DF9" w:rsidRPr="00591C3A">
        <w:rPr>
          <w:rFonts w:cs="Simplified Arabic" w:hint="cs"/>
          <w:sz w:val="26"/>
          <w:szCs w:val="26"/>
          <w:rtl/>
        </w:rPr>
        <w:t>ثاث والأواني</w:t>
      </w:r>
      <w:r w:rsidR="00A94DA0" w:rsidRPr="00591C3A">
        <w:rPr>
          <w:rFonts w:cs="Simplified Arabic" w:hint="cs"/>
          <w:sz w:val="26"/>
          <w:szCs w:val="26"/>
          <w:rtl/>
        </w:rPr>
        <w:t xml:space="preserve"> المنزلية </w:t>
      </w:r>
      <w:r w:rsidR="00D66AFF" w:rsidRPr="00591C3A">
        <w:rPr>
          <w:rFonts w:cs="Simplified Arabic" w:hint="cs"/>
          <w:sz w:val="26"/>
          <w:szCs w:val="26"/>
          <w:rtl/>
        </w:rPr>
        <w:t xml:space="preserve"> </w:t>
      </w:r>
      <w:r w:rsidR="00A94DA0" w:rsidRPr="00591C3A">
        <w:rPr>
          <w:rFonts w:cs="Simplified Arabic" w:hint="cs"/>
          <w:sz w:val="26"/>
          <w:szCs w:val="26"/>
          <w:rtl/>
        </w:rPr>
        <w:t>ولوازم وأعمال</w:t>
      </w:r>
      <w:r w:rsidR="008B361F" w:rsidRPr="00591C3A">
        <w:rPr>
          <w:rFonts w:cs="Simplified Arabic" w:hint="cs"/>
          <w:sz w:val="26"/>
          <w:szCs w:val="26"/>
          <w:rtl/>
        </w:rPr>
        <w:t xml:space="preserve"> </w:t>
      </w:r>
      <w:r w:rsidR="00912DF9" w:rsidRPr="00591C3A">
        <w:rPr>
          <w:rFonts w:cs="Simplified Arabic" w:hint="cs"/>
          <w:sz w:val="26"/>
          <w:szCs w:val="26"/>
          <w:rtl/>
        </w:rPr>
        <w:t>منزلية</w:t>
      </w:r>
      <w:r w:rsidR="00B2627E" w:rsidRPr="00591C3A">
        <w:rPr>
          <w:rFonts w:cs="Simplified Arabic" w:hint="cs"/>
          <w:sz w:val="26"/>
          <w:szCs w:val="26"/>
          <w:rtl/>
        </w:rPr>
        <w:t>)</w:t>
      </w:r>
      <w:r w:rsidR="00912DF9" w:rsidRPr="00591C3A">
        <w:rPr>
          <w:rFonts w:cs="Simplified Arabic" w:hint="cs"/>
          <w:color w:val="FF0000"/>
          <w:sz w:val="26"/>
          <w:szCs w:val="26"/>
          <w:rtl/>
        </w:rPr>
        <w:t xml:space="preserve"> </w:t>
      </w:r>
      <w:r w:rsidR="00912DF9" w:rsidRPr="00591C3A">
        <w:rPr>
          <w:rFonts w:cs="Simplified Arabic" w:hint="cs"/>
          <w:sz w:val="26"/>
          <w:szCs w:val="26"/>
          <w:rtl/>
        </w:rPr>
        <w:t xml:space="preserve">من 5.8% الى 4.6% وكذلك الامر لحصة العناية الشخصية، حيث انخفضت من 2.8% الى 2.1%. </w:t>
      </w:r>
    </w:p>
    <w:p w:rsidR="008B071E" w:rsidRPr="00591C3A" w:rsidRDefault="008B071E" w:rsidP="00FC0A74">
      <w:pPr>
        <w:tabs>
          <w:tab w:val="num" w:pos="1215"/>
        </w:tabs>
        <w:jc w:val="both"/>
        <w:rPr>
          <w:rFonts w:cs="Simplified Arabic"/>
          <w:sz w:val="26"/>
          <w:szCs w:val="26"/>
          <w:rtl/>
        </w:rPr>
      </w:pPr>
    </w:p>
    <w:p w:rsidR="00591C3A" w:rsidRPr="00591C3A" w:rsidRDefault="00591C3A" w:rsidP="008268BE">
      <w:pPr>
        <w:tabs>
          <w:tab w:val="num" w:pos="1215"/>
        </w:tabs>
        <w:jc w:val="both"/>
        <w:rPr>
          <w:rFonts w:cs="Simplified Arabic" w:hint="cs"/>
          <w:sz w:val="26"/>
          <w:szCs w:val="26"/>
          <w:rtl/>
        </w:rPr>
      </w:pPr>
      <w:r w:rsidRPr="00591C3A">
        <w:rPr>
          <w:rFonts w:cs="Simplified Arabic" w:hint="cs"/>
          <w:b/>
          <w:bCs/>
          <w:sz w:val="26"/>
          <w:szCs w:val="26"/>
          <w:rtl/>
        </w:rPr>
        <w:t>ارتفاع حصة وسائل النقل والاتصالات والتحويلات النقدية والتعليم والتدخين</w:t>
      </w:r>
    </w:p>
    <w:p w:rsidR="00DC7EC8" w:rsidRPr="00591C3A" w:rsidRDefault="005643B3" w:rsidP="008268BE">
      <w:pPr>
        <w:tabs>
          <w:tab w:val="num" w:pos="1215"/>
        </w:tabs>
        <w:jc w:val="both"/>
        <w:rPr>
          <w:rFonts w:cs="Simplified Arabic"/>
          <w:sz w:val="26"/>
          <w:szCs w:val="26"/>
          <w:rtl/>
        </w:rPr>
      </w:pPr>
      <w:r w:rsidRPr="00591C3A">
        <w:rPr>
          <w:rFonts w:cs="Simplified Arabic" w:hint="cs"/>
          <w:sz w:val="26"/>
          <w:szCs w:val="26"/>
          <w:rtl/>
        </w:rPr>
        <w:t>وتظهر البيانات</w:t>
      </w:r>
      <w:r w:rsidR="006461B2" w:rsidRPr="00591C3A">
        <w:rPr>
          <w:rFonts w:cs="Simplified Arabic" w:hint="cs"/>
          <w:sz w:val="26"/>
          <w:szCs w:val="26"/>
          <w:rtl/>
        </w:rPr>
        <w:t xml:space="preserve"> ان حصة </w:t>
      </w:r>
      <w:r w:rsidR="00ED18BA" w:rsidRPr="00591C3A">
        <w:rPr>
          <w:rFonts w:cs="Simplified Arabic" w:hint="cs"/>
          <w:sz w:val="26"/>
          <w:szCs w:val="26"/>
          <w:rtl/>
        </w:rPr>
        <w:t xml:space="preserve">وسائل </w:t>
      </w:r>
      <w:r w:rsidR="006461B2" w:rsidRPr="00591C3A">
        <w:rPr>
          <w:rFonts w:cs="Simplified Arabic" w:hint="cs"/>
          <w:sz w:val="26"/>
          <w:szCs w:val="26"/>
          <w:rtl/>
        </w:rPr>
        <w:t>النقل والاتصالات قد ارتفعت بحيث بلغت 18.5% في عام 2017 بينما كانت 14.7%</w:t>
      </w:r>
      <w:r w:rsidR="00735452" w:rsidRPr="00591C3A">
        <w:rPr>
          <w:rFonts w:cs="Simplified Arabic" w:hint="cs"/>
          <w:sz w:val="26"/>
          <w:szCs w:val="26"/>
          <w:rtl/>
        </w:rPr>
        <w:t>، كما ارتفعت حصة الإ</w:t>
      </w:r>
      <w:r w:rsidR="00E90BCC" w:rsidRPr="00591C3A">
        <w:rPr>
          <w:rFonts w:cs="Simplified Arabic" w:hint="cs"/>
          <w:sz w:val="26"/>
          <w:szCs w:val="26"/>
          <w:rtl/>
        </w:rPr>
        <w:t xml:space="preserve">نفاق على </w:t>
      </w:r>
      <w:r w:rsidR="000708C0" w:rsidRPr="00591C3A">
        <w:rPr>
          <w:rFonts w:cs="Simplified Arabic" w:hint="cs"/>
          <w:sz w:val="26"/>
          <w:szCs w:val="26"/>
          <w:rtl/>
        </w:rPr>
        <w:t>التحويلات النقدية</w:t>
      </w:r>
      <w:r w:rsidR="00603D25" w:rsidRPr="00591C3A">
        <w:rPr>
          <w:rFonts w:cs="Simplified Arabic" w:hint="cs"/>
          <w:sz w:val="26"/>
          <w:szCs w:val="26"/>
          <w:rtl/>
        </w:rPr>
        <w:t xml:space="preserve"> المدفوعة</w:t>
      </w:r>
      <w:r w:rsidR="00E90BCC" w:rsidRPr="00591C3A">
        <w:rPr>
          <w:rFonts w:cs="Simplified Arabic" w:hint="cs"/>
          <w:sz w:val="26"/>
          <w:szCs w:val="26"/>
          <w:rtl/>
        </w:rPr>
        <w:t xml:space="preserve"> من </w:t>
      </w:r>
      <w:r w:rsidR="000708C0" w:rsidRPr="00591C3A">
        <w:rPr>
          <w:rFonts w:cs="Simplified Arabic" w:hint="cs"/>
          <w:sz w:val="26"/>
          <w:szCs w:val="26"/>
          <w:rtl/>
        </w:rPr>
        <w:t>3.5</w:t>
      </w:r>
      <w:r w:rsidR="00E90BCC" w:rsidRPr="00591C3A">
        <w:rPr>
          <w:rFonts w:cs="Simplified Arabic" w:hint="cs"/>
          <w:sz w:val="26"/>
          <w:szCs w:val="26"/>
          <w:rtl/>
        </w:rPr>
        <w:t xml:space="preserve">% الى </w:t>
      </w:r>
      <w:r w:rsidR="000708C0" w:rsidRPr="00591C3A">
        <w:rPr>
          <w:rFonts w:cs="Simplified Arabic" w:hint="cs"/>
          <w:sz w:val="26"/>
          <w:szCs w:val="26"/>
          <w:rtl/>
        </w:rPr>
        <w:t>7.6</w:t>
      </w:r>
      <w:r w:rsidR="00735452" w:rsidRPr="00591C3A">
        <w:rPr>
          <w:rFonts w:cs="Simplified Arabic" w:hint="cs"/>
          <w:sz w:val="26"/>
          <w:szCs w:val="26"/>
          <w:rtl/>
        </w:rPr>
        <w:t>%.  وترتفع حصة الإ</w:t>
      </w:r>
      <w:r w:rsidR="00E90BCC" w:rsidRPr="00591C3A">
        <w:rPr>
          <w:rFonts w:cs="Simplified Arabic" w:hint="cs"/>
          <w:sz w:val="26"/>
          <w:szCs w:val="26"/>
          <w:rtl/>
        </w:rPr>
        <w:t>نفاق على التدخين</w:t>
      </w:r>
      <w:r w:rsidR="00DC615C" w:rsidRPr="00591C3A">
        <w:rPr>
          <w:rFonts w:cs="Simplified Arabic" w:hint="cs"/>
          <w:sz w:val="26"/>
          <w:szCs w:val="26"/>
          <w:rtl/>
        </w:rPr>
        <w:t xml:space="preserve"> (التبغ والسجائر)</w:t>
      </w:r>
      <w:r w:rsidR="00E90BCC" w:rsidRPr="00591C3A">
        <w:rPr>
          <w:rFonts w:cs="Simplified Arabic" w:hint="cs"/>
          <w:sz w:val="26"/>
          <w:szCs w:val="26"/>
          <w:rtl/>
        </w:rPr>
        <w:t xml:space="preserve"> من 4.6% الى </w:t>
      </w:r>
      <w:r w:rsidR="00735452" w:rsidRPr="00591C3A">
        <w:rPr>
          <w:rFonts w:cs="Simplified Arabic" w:hint="cs"/>
          <w:sz w:val="26"/>
          <w:szCs w:val="26"/>
          <w:rtl/>
        </w:rPr>
        <w:t>5.4% من متوسط الإ</w:t>
      </w:r>
      <w:r w:rsidR="00E90BCC" w:rsidRPr="00591C3A">
        <w:rPr>
          <w:rFonts w:cs="Simplified Arabic" w:hint="cs"/>
          <w:sz w:val="26"/>
          <w:szCs w:val="26"/>
          <w:rtl/>
        </w:rPr>
        <w:t xml:space="preserve">نفاق الشهري. </w:t>
      </w:r>
      <w:r w:rsidR="00735452" w:rsidRPr="00591C3A">
        <w:rPr>
          <w:rFonts w:cs="Simplified Arabic" w:hint="cs"/>
          <w:sz w:val="26"/>
          <w:szCs w:val="26"/>
          <w:rtl/>
        </w:rPr>
        <w:t>وترتفع حصة الإ</w:t>
      </w:r>
      <w:r w:rsidR="002433FE" w:rsidRPr="00591C3A">
        <w:rPr>
          <w:rFonts w:cs="Simplified Arabic" w:hint="cs"/>
          <w:sz w:val="26"/>
          <w:szCs w:val="26"/>
          <w:rtl/>
        </w:rPr>
        <w:t>نفاق على التعليم من 3.0% الى 4.1%.</w:t>
      </w:r>
    </w:p>
    <w:p w:rsidR="005643B3" w:rsidRPr="00591C3A" w:rsidRDefault="005643B3" w:rsidP="00E90BCC">
      <w:pPr>
        <w:tabs>
          <w:tab w:val="num" w:pos="1215"/>
        </w:tabs>
        <w:jc w:val="both"/>
        <w:rPr>
          <w:rFonts w:cs="Simplified Arabic"/>
          <w:sz w:val="26"/>
          <w:szCs w:val="26"/>
          <w:rtl/>
        </w:rPr>
      </w:pPr>
    </w:p>
    <w:p w:rsidR="00591C3A" w:rsidRPr="00591C3A" w:rsidRDefault="00591C3A" w:rsidP="00EC48EF">
      <w:pPr>
        <w:tabs>
          <w:tab w:val="num" w:pos="1215"/>
        </w:tabs>
        <w:jc w:val="both"/>
        <w:rPr>
          <w:rFonts w:cs="Simplified Arabic" w:hint="cs"/>
          <w:sz w:val="26"/>
          <w:szCs w:val="26"/>
          <w:rtl/>
        </w:rPr>
      </w:pPr>
      <w:r w:rsidRPr="00591C3A">
        <w:rPr>
          <w:rFonts w:cs="Simplified Arabic" w:hint="cs"/>
          <w:b/>
          <w:bCs/>
          <w:sz w:val="26"/>
          <w:szCs w:val="26"/>
          <w:rtl/>
        </w:rPr>
        <w:t>التغير في انماط الإنفاق يسير بنفس الاتجاه في كل من الضفة الغربية وقطاع غزة ما عدا في ثلاث مجموعات</w:t>
      </w:r>
    </w:p>
    <w:p w:rsidR="00EC48EF" w:rsidRDefault="00735452" w:rsidP="00EC48EF">
      <w:pPr>
        <w:tabs>
          <w:tab w:val="num" w:pos="1215"/>
        </w:tabs>
        <w:jc w:val="both"/>
        <w:rPr>
          <w:rFonts w:cs="Simplified Arabic" w:hint="cs"/>
          <w:sz w:val="26"/>
          <w:szCs w:val="26"/>
          <w:rtl/>
        </w:rPr>
      </w:pPr>
      <w:r w:rsidRPr="00591C3A">
        <w:rPr>
          <w:rFonts w:cs="Simplified Arabic" w:hint="cs"/>
          <w:sz w:val="26"/>
          <w:szCs w:val="26"/>
          <w:rtl/>
        </w:rPr>
        <w:t>التغير في نمط الإ</w:t>
      </w:r>
      <w:r w:rsidR="00091412" w:rsidRPr="00591C3A">
        <w:rPr>
          <w:rFonts w:cs="Simplified Arabic" w:hint="cs"/>
          <w:sz w:val="26"/>
          <w:szCs w:val="26"/>
          <w:rtl/>
        </w:rPr>
        <w:t xml:space="preserve">نفاق على المجموعات الرئيسية في فلسطين </w:t>
      </w:r>
      <w:r w:rsidR="00E90BCC" w:rsidRPr="00591C3A">
        <w:rPr>
          <w:rFonts w:cs="Simplified Arabic" w:hint="cs"/>
          <w:sz w:val="26"/>
          <w:szCs w:val="26"/>
          <w:rtl/>
        </w:rPr>
        <w:t xml:space="preserve"> بالارتفاع او بالانخفاض</w:t>
      </w:r>
      <w:r w:rsidR="006E11C2" w:rsidRPr="00591C3A">
        <w:rPr>
          <w:rFonts w:cs="Simplified Arabic" w:hint="cs"/>
          <w:sz w:val="26"/>
          <w:szCs w:val="26"/>
          <w:rtl/>
        </w:rPr>
        <w:t xml:space="preserve"> للمجموعات الرئيسية</w:t>
      </w:r>
      <w:r w:rsidR="00091412" w:rsidRPr="00591C3A">
        <w:rPr>
          <w:rFonts w:cs="Simplified Arabic" w:hint="cs"/>
          <w:sz w:val="26"/>
          <w:szCs w:val="26"/>
          <w:rtl/>
        </w:rPr>
        <w:t xml:space="preserve"> يسير بنفس الاتجاه في </w:t>
      </w:r>
      <w:r w:rsidR="00E90BCC" w:rsidRPr="00591C3A">
        <w:rPr>
          <w:rFonts w:cs="Simplified Arabic" w:hint="cs"/>
          <w:sz w:val="26"/>
          <w:szCs w:val="26"/>
          <w:rtl/>
        </w:rPr>
        <w:t xml:space="preserve">كل من الضفة الغربية وقطاع غزة </w:t>
      </w:r>
      <w:r w:rsidR="006E11C2" w:rsidRPr="00591C3A">
        <w:rPr>
          <w:rFonts w:cs="Simplified Arabic" w:hint="cs"/>
          <w:sz w:val="26"/>
          <w:szCs w:val="26"/>
          <w:rtl/>
        </w:rPr>
        <w:t xml:space="preserve">ولكن مع تفاوت بالنسب، ما عدا في </w:t>
      </w:r>
      <w:r w:rsidR="00FC775D" w:rsidRPr="00591C3A">
        <w:rPr>
          <w:rFonts w:cs="Simplified Arabic" w:hint="cs"/>
          <w:sz w:val="26"/>
          <w:szCs w:val="26"/>
          <w:rtl/>
        </w:rPr>
        <w:t>ثلاث مجموعات:</w:t>
      </w:r>
      <w:r w:rsidR="006E11C2" w:rsidRPr="00591C3A">
        <w:rPr>
          <w:rFonts w:cs="Simplified Arabic" w:hint="cs"/>
          <w:sz w:val="26"/>
          <w:szCs w:val="26"/>
          <w:rtl/>
        </w:rPr>
        <w:t xml:space="preserve"> المسكن والرعاية الطبية</w:t>
      </w:r>
      <w:r w:rsidR="00573945" w:rsidRPr="00591C3A">
        <w:rPr>
          <w:rFonts w:cs="Simplified Arabic" w:hint="cs"/>
          <w:sz w:val="26"/>
          <w:szCs w:val="26"/>
          <w:rtl/>
        </w:rPr>
        <w:t xml:space="preserve"> والنفقات </w:t>
      </w:r>
      <w:r w:rsidR="00FC775D" w:rsidRPr="00591C3A">
        <w:rPr>
          <w:rFonts w:cs="Simplified Arabic" w:hint="cs"/>
          <w:sz w:val="26"/>
          <w:szCs w:val="26"/>
          <w:rtl/>
        </w:rPr>
        <w:t>غير ا</w:t>
      </w:r>
      <w:r w:rsidR="00573945" w:rsidRPr="00591C3A">
        <w:rPr>
          <w:rFonts w:cs="Simplified Arabic" w:hint="cs"/>
          <w:sz w:val="26"/>
          <w:szCs w:val="26"/>
          <w:rtl/>
        </w:rPr>
        <w:t>لا</w:t>
      </w:r>
      <w:r w:rsidR="00FC775D" w:rsidRPr="00591C3A">
        <w:rPr>
          <w:rFonts w:cs="Simplified Arabic" w:hint="cs"/>
          <w:sz w:val="26"/>
          <w:szCs w:val="26"/>
          <w:rtl/>
        </w:rPr>
        <w:t>ستهلاكية</w:t>
      </w:r>
      <w:r w:rsidR="006E11C2" w:rsidRPr="00591C3A">
        <w:rPr>
          <w:rFonts w:cs="Simplified Arabic" w:hint="cs"/>
          <w:sz w:val="26"/>
          <w:szCs w:val="26"/>
          <w:rtl/>
        </w:rPr>
        <w:t xml:space="preserve">.  فقد اظهرت البيانات تناقضا في </w:t>
      </w:r>
      <w:r w:rsidR="007751B1" w:rsidRPr="00591C3A">
        <w:rPr>
          <w:rFonts w:cs="Simplified Arabic" w:hint="cs"/>
          <w:sz w:val="26"/>
          <w:szCs w:val="26"/>
          <w:rtl/>
        </w:rPr>
        <w:t xml:space="preserve">نمط </w:t>
      </w:r>
      <w:r w:rsidR="006E11C2" w:rsidRPr="00591C3A">
        <w:rPr>
          <w:rFonts w:cs="Simplified Arabic" w:hint="cs"/>
          <w:sz w:val="26"/>
          <w:szCs w:val="26"/>
          <w:rtl/>
        </w:rPr>
        <w:t>التغير في حصة ال</w:t>
      </w:r>
      <w:r w:rsidR="004105F2" w:rsidRPr="00591C3A">
        <w:rPr>
          <w:rFonts w:cs="Simplified Arabic" w:hint="cs"/>
          <w:sz w:val="26"/>
          <w:szCs w:val="26"/>
          <w:rtl/>
        </w:rPr>
        <w:t>إنفاق</w:t>
      </w:r>
      <w:r w:rsidR="006E11C2" w:rsidRPr="00591C3A">
        <w:rPr>
          <w:rFonts w:cs="Simplified Arabic" w:hint="cs"/>
          <w:sz w:val="26"/>
          <w:szCs w:val="26"/>
          <w:rtl/>
        </w:rPr>
        <w:t xml:space="preserve"> على هذه المجموعات ما بين الضفة الغربية وقطاع غزة، حيث انخفضت حصة ال</w:t>
      </w:r>
      <w:r w:rsidR="004105F2" w:rsidRPr="00591C3A">
        <w:rPr>
          <w:rFonts w:cs="Simplified Arabic" w:hint="cs"/>
          <w:sz w:val="26"/>
          <w:szCs w:val="26"/>
          <w:rtl/>
        </w:rPr>
        <w:t>إنفاق</w:t>
      </w:r>
      <w:r w:rsidR="006E11C2" w:rsidRPr="00591C3A">
        <w:rPr>
          <w:rFonts w:cs="Simplified Arabic" w:hint="cs"/>
          <w:sz w:val="26"/>
          <w:szCs w:val="26"/>
          <w:rtl/>
        </w:rPr>
        <w:t xml:space="preserve"> على المسكن في الضفة الغربية من 8.7% عام 2011 الى 8.4% عام 2017.  اما في قطاع غزة فقد ارتفعت حصة ال</w:t>
      </w:r>
      <w:r w:rsidR="004105F2" w:rsidRPr="00591C3A">
        <w:rPr>
          <w:rFonts w:cs="Simplified Arabic" w:hint="cs"/>
          <w:sz w:val="26"/>
          <w:szCs w:val="26"/>
          <w:rtl/>
        </w:rPr>
        <w:t>إنفاق</w:t>
      </w:r>
      <w:r w:rsidR="006E11C2" w:rsidRPr="00591C3A">
        <w:rPr>
          <w:rFonts w:cs="Simplified Arabic" w:hint="cs"/>
          <w:sz w:val="26"/>
          <w:szCs w:val="26"/>
          <w:rtl/>
        </w:rPr>
        <w:t xml:space="preserve"> على المسكن من ال</w:t>
      </w:r>
      <w:r w:rsidR="004105F2" w:rsidRPr="00591C3A">
        <w:rPr>
          <w:rFonts w:cs="Simplified Arabic" w:hint="cs"/>
          <w:sz w:val="26"/>
          <w:szCs w:val="26"/>
          <w:rtl/>
        </w:rPr>
        <w:t>إنفاق</w:t>
      </w:r>
      <w:r w:rsidR="006E11C2" w:rsidRPr="00591C3A">
        <w:rPr>
          <w:rFonts w:cs="Simplified Arabic" w:hint="cs"/>
          <w:sz w:val="26"/>
          <w:szCs w:val="26"/>
          <w:rtl/>
        </w:rPr>
        <w:t xml:space="preserve"> الكلي من 8.9% عام 2011 الى 9.8% عام 2017.</w:t>
      </w:r>
      <w:r w:rsidR="00B9232E" w:rsidRPr="00591C3A">
        <w:rPr>
          <w:rFonts w:cs="Simplified Arabic" w:hint="cs"/>
          <w:sz w:val="26"/>
          <w:szCs w:val="26"/>
          <w:rtl/>
        </w:rPr>
        <w:t xml:space="preserve">  كما اختلفت نسب ال</w:t>
      </w:r>
      <w:r w:rsidR="004105F2" w:rsidRPr="00591C3A">
        <w:rPr>
          <w:rFonts w:cs="Simplified Arabic" w:hint="cs"/>
          <w:sz w:val="26"/>
          <w:szCs w:val="26"/>
          <w:rtl/>
        </w:rPr>
        <w:t>إنفاق</w:t>
      </w:r>
      <w:r w:rsidR="00B9232E" w:rsidRPr="00591C3A">
        <w:rPr>
          <w:rFonts w:cs="Simplified Arabic" w:hint="cs"/>
          <w:sz w:val="26"/>
          <w:szCs w:val="26"/>
          <w:rtl/>
        </w:rPr>
        <w:t xml:space="preserve"> على </w:t>
      </w:r>
      <w:r w:rsidR="006E11C2" w:rsidRPr="00591C3A">
        <w:rPr>
          <w:rFonts w:cs="Simplified Arabic" w:hint="cs"/>
          <w:sz w:val="26"/>
          <w:szCs w:val="26"/>
          <w:rtl/>
        </w:rPr>
        <w:t>مجموعة الرعاية الطبية، فقد انخفضت نسبة ال</w:t>
      </w:r>
      <w:r w:rsidR="004105F2" w:rsidRPr="00591C3A">
        <w:rPr>
          <w:rFonts w:cs="Simplified Arabic" w:hint="cs"/>
          <w:sz w:val="26"/>
          <w:szCs w:val="26"/>
          <w:rtl/>
        </w:rPr>
        <w:t>إنفاق</w:t>
      </w:r>
      <w:r w:rsidR="006E11C2" w:rsidRPr="00591C3A">
        <w:rPr>
          <w:rFonts w:cs="Simplified Arabic" w:hint="cs"/>
          <w:sz w:val="26"/>
          <w:szCs w:val="26"/>
          <w:rtl/>
        </w:rPr>
        <w:t xml:space="preserve"> عليها من 3.8% الى 3.4%</w:t>
      </w:r>
      <w:r w:rsidR="00B9232E" w:rsidRPr="00591C3A">
        <w:rPr>
          <w:rFonts w:cs="Simplified Arabic" w:hint="cs"/>
          <w:sz w:val="26"/>
          <w:szCs w:val="26"/>
          <w:rtl/>
        </w:rPr>
        <w:t xml:space="preserve"> في الضفة الغربية</w:t>
      </w:r>
      <w:r w:rsidR="006E11C2" w:rsidRPr="00591C3A">
        <w:rPr>
          <w:rFonts w:cs="Simplified Arabic" w:hint="cs"/>
          <w:sz w:val="26"/>
          <w:szCs w:val="26"/>
          <w:rtl/>
        </w:rPr>
        <w:t>، بينما في قطاع غزة ارتفعت من 3.3% الى 4.0%.</w:t>
      </w:r>
      <w:r w:rsidR="00C3599B" w:rsidRPr="00591C3A">
        <w:rPr>
          <w:rFonts w:cs="Simplified Arabic" w:hint="cs"/>
          <w:sz w:val="26"/>
          <w:szCs w:val="26"/>
          <w:rtl/>
        </w:rPr>
        <w:t xml:space="preserve">  </w:t>
      </w:r>
      <w:r w:rsidR="00BE1EB0" w:rsidRPr="00591C3A">
        <w:rPr>
          <w:rFonts w:cs="Simplified Arabic" w:hint="cs"/>
          <w:sz w:val="26"/>
          <w:szCs w:val="26"/>
          <w:rtl/>
        </w:rPr>
        <w:t xml:space="preserve">أما مجموعة النفقات </w:t>
      </w:r>
      <w:r w:rsidR="00B9232E" w:rsidRPr="00591C3A">
        <w:rPr>
          <w:rFonts w:cs="Simplified Arabic" w:hint="cs"/>
          <w:sz w:val="26"/>
          <w:szCs w:val="26"/>
          <w:rtl/>
        </w:rPr>
        <w:t>غير ا</w:t>
      </w:r>
      <w:r w:rsidR="00BE1EB0" w:rsidRPr="00591C3A">
        <w:rPr>
          <w:rFonts w:cs="Simplified Arabic" w:hint="cs"/>
          <w:sz w:val="26"/>
          <w:szCs w:val="26"/>
          <w:rtl/>
        </w:rPr>
        <w:t>لا</w:t>
      </w:r>
      <w:r w:rsidR="00B9232E" w:rsidRPr="00591C3A">
        <w:rPr>
          <w:rFonts w:cs="Simplified Arabic" w:hint="cs"/>
          <w:sz w:val="26"/>
          <w:szCs w:val="26"/>
          <w:rtl/>
        </w:rPr>
        <w:t xml:space="preserve">ستهلاكية والتي تشمل: الهدايا والعيديات والفوائد على القروض </w:t>
      </w:r>
      <w:r w:rsidR="005C1A1B" w:rsidRPr="00591C3A">
        <w:rPr>
          <w:rFonts w:cs="Simplified Arabic" w:hint="cs"/>
          <w:sz w:val="26"/>
          <w:szCs w:val="26"/>
          <w:rtl/>
        </w:rPr>
        <w:t>والتأمينات</w:t>
      </w:r>
      <w:r w:rsidR="00B9232E" w:rsidRPr="00591C3A">
        <w:rPr>
          <w:rFonts w:cs="Simplified Arabic" w:hint="cs"/>
          <w:sz w:val="26"/>
          <w:szCs w:val="26"/>
          <w:rtl/>
        </w:rPr>
        <w:t xml:space="preserve"> الاجتماعية، فقد ارتفعت حصة ال</w:t>
      </w:r>
      <w:r w:rsidR="004105F2" w:rsidRPr="00591C3A">
        <w:rPr>
          <w:rFonts w:cs="Simplified Arabic" w:hint="cs"/>
          <w:sz w:val="26"/>
          <w:szCs w:val="26"/>
          <w:rtl/>
        </w:rPr>
        <w:t>إنفاق</w:t>
      </w:r>
      <w:r w:rsidR="00B9232E" w:rsidRPr="00591C3A">
        <w:rPr>
          <w:rFonts w:cs="Simplified Arabic" w:hint="cs"/>
          <w:sz w:val="26"/>
          <w:szCs w:val="26"/>
          <w:rtl/>
        </w:rPr>
        <w:t xml:space="preserve"> على هذه المجموعة في الضفة الغربية من 3.8% عام 2011</w:t>
      </w:r>
      <w:r w:rsidR="00C3599B" w:rsidRPr="00591C3A">
        <w:rPr>
          <w:rFonts w:cs="Simplified Arabic" w:hint="cs"/>
          <w:sz w:val="26"/>
          <w:szCs w:val="26"/>
          <w:rtl/>
        </w:rPr>
        <w:t xml:space="preserve"> </w:t>
      </w:r>
      <w:r w:rsidR="00B9232E" w:rsidRPr="00591C3A">
        <w:rPr>
          <w:rFonts w:cs="Simplified Arabic" w:hint="cs"/>
          <w:sz w:val="26"/>
          <w:szCs w:val="26"/>
          <w:rtl/>
        </w:rPr>
        <w:t>الى 5.9% عام 2017، اما في قطاع غزة فقد انخف</w:t>
      </w:r>
      <w:r w:rsidR="00D43074" w:rsidRPr="00591C3A">
        <w:rPr>
          <w:rFonts w:cs="Simplified Arabic" w:hint="cs"/>
          <w:sz w:val="26"/>
          <w:szCs w:val="26"/>
          <w:rtl/>
        </w:rPr>
        <w:t>ض</w:t>
      </w:r>
      <w:r w:rsidR="00B9232E" w:rsidRPr="00591C3A">
        <w:rPr>
          <w:rFonts w:cs="Simplified Arabic" w:hint="cs"/>
          <w:sz w:val="26"/>
          <w:szCs w:val="26"/>
          <w:rtl/>
        </w:rPr>
        <w:t>ت نسبة ال</w:t>
      </w:r>
      <w:r w:rsidR="004105F2" w:rsidRPr="00591C3A">
        <w:rPr>
          <w:rFonts w:cs="Simplified Arabic" w:hint="cs"/>
          <w:sz w:val="26"/>
          <w:szCs w:val="26"/>
          <w:rtl/>
        </w:rPr>
        <w:t>إنفاق</w:t>
      </w:r>
      <w:r w:rsidR="00B9232E" w:rsidRPr="00591C3A">
        <w:rPr>
          <w:rFonts w:cs="Simplified Arabic" w:hint="cs"/>
          <w:sz w:val="26"/>
          <w:szCs w:val="26"/>
          <w:rtl/>
        </w:rPr>
        <w:t xml:space="preserve"> على هذه المجموع</w:t>
      </w:r>
      <w:r w:rsidR="004105F2" w:rsidRPr="00591C3A">
        <w:rPr>
          <w:rFonts w:cs="Simplified Arabic" w:hint="cs"/>
          <w:sz w:val="26"/>
          <w:szCs w:val="26"/>
          <w:rtl/>
        </w:rPr>
        <w:t>ة</w:t>
      </w:r>
      <w:r w:rsidR="00B9232E" w:rsidRPr="00591C3A">
        <w:rPr>
          <w:rFonts w:cs="Simplified Arabic" w:hint="cs"/>
          <w:sz w:val="26"/>
          <w:szCs w:val="26"/>
          <w:rtl/>
        </w:rPr>
        <w:t xml:space="preserve"> من 8.9% عام 2011 الى 7.6% عام 2017.</w:t>
      </w:r>
    </w:p>
    <w:p w:rsidR="00591C3A" w:rsidRDefault="00591C3A" w:rsidP="00EC48EF">
      <w:pPr>
        <w:tabs>
          <w:tab w:val="num" w:pos="1215"/>
        </w:tabs>
        <w:jc w:val="both"/>
        <w:rPr>
          <w:rFonts w:cs="Simplified Arabic" w:hint="cs"/>
          <w:sz w:val="26"/>
          <w:szCs w:val="26"/>
          <w:rtl/>
        </w:rPr>
      </w:pPr>
    </w:p>
    <w:p w:rsidR="00591C3A" w:rsidRDefault="00591C3A" w:rsidP="00EC48EF">
      <w:pPr>
        <w:tabs>
          <w:tab w:val="num" w:pos="1215"/>
        </w:tabs>
        <w:jc w:val="both"/>
        <w:rPr>
          <w:rFonts w:cs="Simplified Arabic" w:hint="cs"/>
          <w:sz w:val="26"/>
          <w:szCs w:val="26"/>
          <w:rtl/>
        </w:rPr>
      </w:pPr>
    </w:p>
    <w:p w:rsidR="00591C3A" w:rsidRDefault="00591C3A" w:rsidP="00EC48EF">
      <w:pPr>
        <w:tabs>
          <w:tab w:val="num" w:pos="1215"/>
        </w:tabs>
        <w:jc w:val="both"/>
        <w:rPr>
          <w:rFonts w:cs="Simplified Arabic" w:hint="cs"/>
          <w:sz w:val="26"/>
          <w:szCs w:val="26"/>
          <w:rtl/>
        </w:rPr>
      </w:pPr>
    </w:p>
    <w:p w:rsidR="00591C3A" w:rsidRDefault="00591C3A" w:rsidP="00EC48EF">
      <w:pPr>
        <w:tabs>
          <w:tab w:val="num" w:pos="1215"/>
        </w:tabs>
        <w:jc w:val="both"/>
        <w:rPr>
          <w:rFonts w:cs="Simplified Arabic" w:hint="cs"/>
          <w:sz w:val="26"/>
          <w:szCs w:val="26"/>
          <w:rtl/>
        </w:rPr>
      </w:pPr>
    </w:p>
    <w:p w:rsidR="00591C3A" w:rsidRDefault="00591C3A" w:rsidP="00EC48EF">
      <w:pPr>
        <w:tabs>
          <w:tab w:val="num" w:pos="1215"/>
        </w:tabs>
        <w:jc w:val="both"/>
        <w:rPr>
          <w:rFonts w:cs="Simplified Arabic" w:hint="cs"/>
          <w:sz w:val="26"/>
          <w:szCs w:val="26"/>
          <w:rtl/>
        </w:rPr>
      </w:pPr>
    </w:p>
    <w:p w:rsidR="00591C3A" w:rsidRDefault="00591C3A" w:rsidP="00EC48EF">
      <w:pPr>
        <w:tabs>
          <w:tab w:val="num" w:pos="1215"/>
        </w:tabs>
        <w:jc w:val="both"/>
        <w:rPr>
          <w:rFonts w:cs="Simplified Arabic" w:hint="cs"/>
          <w:sz w:val="26"/>
          <w:szCs w:val="26"/>
          <w:rtl/>
        </w:rPr>
      </w:pPr>
    </w:p>
    <w:p w:rsidR="00591C3A" w:rsidRDefault="00591C3A" w:rsidP="00EC48EF">
      <w:pPr>
        <w:tabs>
          <w:tab w:val="num" w:pos="1215"/>
        </w:tabs>
        <w:jc w:val="both"/>
        <w:rPr>
          <w:rFonts w:cs="Simplified Arabic" w:hint="cs"/>
          <w:sz w:val="26"/>
          <w:szCs w:val="26"/>
          <w:rtl/>
        </w:rPr>
      </w:pPr>
    </w:p>
    <w:p w:rsidR="00591C3A" w:rsidRDefault="00591C3A" w:rsidP="00EC48EF">
      <w:pPr>
        <w:tabs>
          <w:tab w:val="num" w:pos="1215"/>
        </w:tabs>
        <w:jc w:val="both"/>
        <w:rPr>
          <w:rFonts w:cs="Simplified Arabic" w:hint="cs"/>
          <w:sz w:val="26"/>
          <w:szCs w:val="26"/>
          <w:rtl/>
        </w:rPr>
      </w:pPr>
    </w:p>
    <w:p w:rsidR="00591C3A" w:rsidRDefault="00591C3A" w:rsidP="00EC48EF">
      <w:pPr>
        <w:tabs>
          <w:tab w:val="num" w:pos="1215"/>
        </w:tabs>
        <w:jc w:val="both"/>
        <w:rPr>
          <w:rFonts w:cs="Simplified Arabic" w:hint="cs"/>
          <w:sz w:val="26"/>
          <w:szCs w:val="26"/>
          <w:rtl/>
        </w:rPr>
      </w:pPr>
    </w:p>
    <w:p w:rsidR="00591C3A" w:rsidRDefault="00591C3A" w:rsidP="00EC48EF">
      <w:pPr>
        <w:tabs>
          <w:tab w:val="num" w:pos="1215"/>
        </w:tabs>
        <w:jc w:val="both"/>
        <w:rPr>
          <w:rFonts w:cs="Simplified Arabic" w:hint="cs"/>
          <w:sz w:val="26"/>
          <w:szCs w:val="26"/>
          <w:rtl/>
        </w:rPr>
      </w:pPr>
    </w:p>
    <w:p w:rsidR="00591C3A" w:rsidRDefault="00591C3A" w:rsidP="00D71EEB">
      <w:pPr>
        <w:tabs>
          <w:tab w:val="num" w:pos="1215"/>
        </w:tabs>
        <w:jc w:val="center"/>
        <w:rPr>
          <w:rFonts w:cs="Simplified Arabic" w:hint="cs"/>
          <w:b/>
          <w:bCs/>
          <w:sz w:val="20"/>
          <w:szCs w:val="20"/>
          <w:rtl/>
        </w:rPr>
      </w:pPr>
    </w:p>
    <w:p w:rsidR="00EC48EF" w:rsidRPr="004C115A" w:rsidRDefault="004C115A" w:rsidP="00D71EEB">
      <w:pPr>
        <w:tabs>
          <w:tab w:val="num" w:pos="1215"/>
        </w:tabs>
        <w:jc w:val="center"/>
        <w:rPr>
          <w:rFonts w:cs="Simplified Arabic"/>
          <w:b/>
          <w:bCs/>
          <w:sz w:val="20"/>
          <w:szCs w:val="20"/>
          <w:rtl/>
        </w:rPr>
      </w:pPr>
      <w:r w:rsidRPr="004C115A">
        <w:rPr>
          <w:rFonts w:cs="Simplified Arabic" w:hint="cs"/>
          <w:b/>
          <w:bCs/>
          <w:sz w:val="20"/>
          <w:szCs w:val="20"/>
          <w:rtl/>
        </w:rPr>
        <w:lastRenderedPageBreak/>
        <w:t xml:space="preserve">نسبة إنفاق الفرد في فلسطين على مجموعات سلع وخدمات مختارة، </w:t>
      </w:r>
      <w:r w:rsidR="00D71EEB">
        <w:rPr>
          <w:rFonts w:cs="Simplified Arabic" w:hint="cs"/>
          <w:b/>
          <w:bCs/>
          <w:sz w:val="20"/>
          <w:szCs w:val="20"/>
          <w:rtl/>
        </w:rPr>
        <w:t>2011، 2017</w:t>
      </w:r>
    </w:p>
    <w:tbl>
      <w:tblPr>
        <w:tblStyle w:val="TableGrid"/>
        <w:bidiVisual/>
        <w:tblW w:w="0" w:type="auto"/>
        <w:tblInd w:w="2650" w:type="dxa"/>
        <w:tblLook w:val="04A0"/>
      </w:tblPr>
      <w:tblGrid>
        <w:gridCol w:w="4926"/>
      </w:tblGrid>
      <w:tr w:rsidR="00EC48EF" w:rsidTr="00591C3A">
        <w:tc>
          <w:tcPr>
            <w:tcW w:w="4926" w:type="dxa"/>
          </w:tcPr>
          <w:p w:rsidR="00EC48EF" w:rsidRDefault="00EC48EF" w:rsidP="00591C3A">
            <w:pPr>
              <w:tabs>
                <w:tab w:val="num" w:pos="1215"/>
              </w:tabs>
              <w:jc w:val="center"/>
              <w:rPr>
                <w:rFonts w:cs="Simplified Arabic"/>
                <w:rtl/>
              </w:rPr>
            </w:pPr>
            <w:r w:rsidRPr="00F93B1C">
              <w:rPr>
                <w:rFonts w:cs="Simplified Arabic"/>
                <w:noProof/>
                <w:rtl/>
                <w:lang w:eastAsia="en-US"/>
              </w:rPr>
              <w:drawing>
                <wp:inline distT="0" distB="0" distL="0" distR="0">
                  <wp:extent cx="2969895" cy="3251445"/>
                  <wp:effectExtent l="19050" t="0" r="1905" b="0"/>
                  <wp:docPr id="8" name="Chart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DC7EC8" w:rsidRPr="00DC7EC8" w:rsidRDefault="00DC7EC8" w:rsidP="00C3599B">
      <w:pPr>
        <w:tabs>
          <w:tab w:val="num" w:pos="1215"/>
        </w:tabs>
        <w:jc w:val="both"/>
        <w:rPr>
          <w:rFonts w:cs="Simplified Arabic"/>
          <w:sz w:val="8"/>
          <w:szCs w:val="8"/>
          <w:rtl/>
        </w:rPr>
      </w:pPr>
    </w:p>
    <w:p w:rsidR="00DF359E" w:rsidRPr="008C0EC1" w:rsidRDefault="00DF359E" w:rsidP="00724170">
      <w:pPr>
        <w:jc w:val="both"/>
        <w:rPr>
          <w:rFonts w:cs="Simplified Arabic"/>
          <w:b/>
          <w:bCs/>
          <w:rtl/>
        </w:rPr>
      </w:pPr>
      <w:r w:rsidRPr="008C0EC1">
        <w:rPr>
          <w:rFonts w:cs="Simplified Arabic" w:hint="cs"/>
          <w:b/>
          <w:bCs/>
          <w:rtl/>
        </w:rPr>
        <w:t xml:space="preserve">متوسط </w:t>
      </w:r>
      <w:r w:rsidR="004105F2">
        <w:rPr>
          <w:rFonts w:cs="Simplified Arabic" w:hint="cs"/>
          <w:b/>
          <w:bCs/>
          <w:rtl/>
        </w:rPr>
        <w:t>إنفاق</w:t>
      </w:r>
      <w:r w:rsidRPr="008C0EC1">
        <w:rPr>
          <w:rFonts w:cs="Simplified Arabic" w:hint="cs"/>
          <w:b/>
          <w:bCs/>
          <w:rtl/>
        </w:rPr>
        <w:t xml:space="preserve"> الأسرة الشهري </w:t>
      </w:r>
      <w:r w:rsidR="005C2612">
        <w:rPr>
          <w:rFonts w:cs="Simplified Arabic" w:hint="cs"/>
          <w:b/>
          <w:bCs/>
          <w:rtl/>
        </w:rPr>
        <w:t xml:space="preserve">حوالي </w:t>
      </w:r>
      <w:r w:rsidR="00BB2B89">
        <w:rPr>
          <w:rFonts w:cs="Simplified Arabic" w:hint="cs"/>
          <w:b/>
          <w:bCs/>
          <w:rtl/>
        </w:rPr>
        <w:t>935</w:t>
      </w:r>
      <w:r w:rsidR="00FF2070">
        <w:rPr>
          <w:rFonts w:cs="Simplified Arabic" w:hint="cs"/>
          <w:b/>
          <w:bCs/>
          <w:rtl/>
        </w:rPr>
        <w:t xml:space="preserve"> ديناراً أردنياً</w:t>
      </w:r>
    </w:p>
    <w:p w:rsidR="004C3A5A" w:rsidRDefault="00DF359E" w:rsidP="0014538F">
      <w:pPr>
        <w:jc w:val="both"/>
        <w:rPr>
          <w:rFonts w:cs="Simplified Arabic" w:hint="cs"/>
          <w:rtl/>
        </w:rPr>
      </w:pPr>
      <w:r w:rsidRPr="00DA589D">
        <w:rPr>
          <w:rFonts w:cs="Simplified Arabic" w:hint="cs"/>
          <w:rtl/>
        </w:rPr>
        <w:t xml:space="preserve">بناء على نتائج مسح </w:t>
      </w:r>
      <w:r w:rsidR="004105F2">
        <w:rPr>
          <w:rFonts w:cs="Simplified Arabic" w:hint="cs"/>
          <w:rtl/>
        </w:rPr>
        <w:t>إنفاق</w:t>
      </w:r>
      <w:r w:rsidRPr="00DA589D">
        <w:rPr>
          <w:rFonts w:cs="Simplified Arabic" w:hint="cs"/>
          <w:rtl/>
        </w:rPr>
        <w:t xml:space="preserve"> واستهلاك الأسرة الفلسطينية </w:t>
      </w:r>
      <w:r w:rsidR="00BB2B89">
        <w:rPr>
          <w:rFonts w:cs="Simplified Arabic"/>
        </w:rPr>
        <w:t>2017</w:t>
      </w:r>
      <w:r w:rsidRPr="00DA589D">
        <w:rPr>
          <w:rFonts w:cs="Simplified Arabic" w:hint="cs"/>
          <w:rtl/>
        </w:rPr>
        <w:t xml:space="preserve">، </w:t>
      </w:r>
      <w:r w:rsidR="00724170">
        <w:rPr>
          <w:rFonts w:cs="Simplified Arabic" w:hint="cs"/>
          <w:rtl/>
        </w:rPr>
        <w:t>بلغ</w:t>
      </w:r>
      <w:r w:rsidRPr="00DA589D">
        <w:rPr>
          <w:rFonts w:cs="Simplified Arabic" w:hint="cs"/>
          <w:rtl/>
        </w:rPr>
        <w:t xml:space="preserve"> متوسط </w:t>
      </w:r>
      <w:r w:rsidR="004105F2">
        <w:rPr>
          <w:rFonts w:cs="Simplified Arabic" w:hint="cs"/>
          <w:rtl/>
        </w:rPr>
        <w:t>إنفاق</w:t>
      </w:r>
      <w:r w:rsidRPr="00DA589D">
        <w:rPr>
          <w:rFonts w:cs="Simplified Arabic" w:hint="cs"/>
          <w:rtl/>
        </w:rPr>
        <w:t xml:space="preserve"> الأسرة الشهري النقدي على مختلف السلع والخدمات </w:t>
      </w:r>
      <w:r w:rsidR="00533DCA">
        <w:rPr>
          <w:rFonts w:cs="Simplified Arabic" w:hint="cs"/>
          <w:rtl/>
        </w:rPr>
        <w:t>934.9</w:t>
      </w:r>
      <w:r w:rsidR="00BB2B89">
        <w:rPr>
          <w:rFonts w:cs="Simplified Arabic" w:hint="cs"/>
          <w:rtl/>
        </w:rPr>
        <w:t xml:space="preserve"> </w:t>
      </w:r>
      <w:r w:rsidRPr="00DA589D">
        <w:rPr>
          <w:rFonts w:cs="Simplified Arabic" w:hint="cs"/>
          <w:rtl/>
        </w:rPr>
        <w:t xml:space="preserve">ديناراً أردنياً في </w:t>
      </w:r>
      <w:r w:rsidR="00BB2B89">
        <w:rPr>
          <w:rFonts w:cs="Simplified Arabic" w:hint="cs"/>
          <w:rtl/>
        </w:rPr>
        <w:t>فلسطين</w:t>
      </w:r>
      <w:r w:rsidR="00F616A3">
        <w:rPr>
          <w:rFonts w:cs="Simplified Arabic" w:hint="cs"/>
          <w:rtl/>
        </w:rPr>
        <w:t xml:space="preserve"> (لأسرة مكونة من 5.5 من الأفراد)</w:t>
      </w:r>
      <w:r w:rsidRPr="00DA589D">
        <w:rPr>
          <w:rFonts w:cs="Simplified Arabic" w:hint="cs"/>
          <w:rtl/>
        </w:rPr>
        <w:t>،</w:t>
      </w:r>
      <w:r w:rsidRPr="00DA589D">
        <w:rPr>
          <w:rFonts w:cs="Simplified Arabic"/>
        </w:rPr>
        <w:t xml:space="preserve"> </w:t>
      </w:r>
      <w:r w:rsidRPr="00DA589D">
        <w:rPr>
          <w:rFonts w:cs="Simplified Arabic" w:hint="cs"/>
          <w:rtl/>
        </w:rPr>
        <w:t xml:space="preserve">بواقع </w:t>
      </w:r>
      <w:r w:rsidR="00BB2B89">
        <w:rPr>
          <w:rFonts w:cs="Simplified Arabic"/>
        </w:rPr>
        <w:t>1143</w:t>
      </w:r>
      <w:r w:rsidR="005D3B09">
        <w:rPr>
          <w:rFonts w:cs="Simplified Arabic"/>
        </w:rPr>
        <w:t>.</w:t>
      </w:r>
      <w:r w:rsidR="00D66AFF">
        <w:rPr>
          <w:rFonts w:cs="Simplified Arabic"/>
        </w:rPr>
        <w:t>6</w:t>
      </w:r>
      <w:r w:rsidRPr="00DA589D">
        <w:rPr>
          <w:rFonts w:cs="Simplified Arabic" w:hint="cs"/>
          <w:rtl/>
        </w:rPr>
        <w:t xml:space="preserve"> ديناراً أردنياً في الضفة الغربية</w:t>
      </w:r>
      <w:r w:rsidR="00F616A3">
        <w:rPr>
          <w:rFonts w:cs="Simplified Arabic" w:hint="cs"/>
          <w:rtl/>
        </w:rPr>
        <w:t xml:space="preserve"> (لأسرة مكونة من 5.2 من الأفراد)</w:t>
      </w:r>
      <w:r w:rsidRPr="00DA589D">
        <w:rPr>
          <w:rFonts w:cs="Simplified Arabic" w:hint="cs"/>
          <w:rtl/>
        </w:rPr>
        <w:t xml:space="preserve"> مقابل </w:t>
      </w:r>
      <w:r w:rsidR="00BB2B89">
        <w:rPr>
          <w:rFonts w:cs="Simplified Arabic"/>
        </w:rPr>
        <w:t>556.0</w:t>
      </w:r>
      <w:r w:rsidR="004C3A5A">
        <w:rPr>
          <w:rFonts w:cs="Simplified Arabic" w:hint="cs"/>
          <w:rtl/>
        </w:rPr>
        <w:t xml:space="preserve"> ديناراً أردنياً في قطاع غزة</w:t>
      </w:r>
      <w:r w:rsidR="00F616A3">
        <w:rPr>
          <w:rFonts w:cs="Simplified Arabic" w:hint="cs"/>
          <w:rtl/>
        </w:rPr>
        <w:t xml:space="preserve"> (لأسرة مكونة من 6.1 من الأفراد)</w:t>
      </w:r>
      <w:r w:rsidR="004C3A5A">
        <w:rPr>
          <w:rFonts w:cs="Simplified Arabic" w:hint="cs"/>
          <w:rtl/>
        </w:rPr>
        <w:t xml:space="preserve">.  وتظهر البيانات انخفاضا في متوسط حجم الاسرة في عام 2017، فقد </w:t>
      </w:r>
      <w:r w:rsidR="0014538F">
        <w:rPr>
          <w:rFonts w:cs="Simplified Arabic" w:hint="cs"/>
          <w:rtl/>
        </w:rPr>
        <w:t>بلغ</w:t>
      </w:r>
      <w:r w:rsidR="004C3A5A">
        <w:rPr>
          <w:rFonts w:cs="Simplified Arabic" w:hint="cs"/>
          <w:rtl/>
        </w:rPr>
        <w:t xml:space="preserve"> متوسط حجم الاسرة في فلسطين 5.5 للعام 2017 بينما كان 6.0 في العام 2011.  وهذا الانخفاض ظهر في كل من الضفة الغربية وقطاع غزة، ففي الضفة الغربية </w:t>
      </w:r>
      <w:r w:rsidR="0014538F">
        <w:rPr>
          <w:rFonts w:cs="Simplified Arabic" w:hint="cs"/>
          <w:rtl/>
        </w:rPr>
        <w:t>بلغ</w:t>
      </w:r>
      <w:r w:rsidR="004C3A5A">
        <w:rPr>
          <w:rFonts w:cs="Simplified Arabic" w:hint="cs"/>
          <w:rtl/>
        </w:rPr>
        <w:t xml:space="preserve"> متوسط حجم الاسرة 5.2 في العام 2017 بينما كان 5.6 في العام 2011.  وفي قطاع غزة بلغ متوسط حجم الاسرة 6.1 في العام 2017 بينما كان 6.6 في العام 2011.</w:t>
      </w:r>
    </w:p>
    <w:p w:rsidR="00591C3A" w:rsidRDefault="00591C3A" w:rsidP="0014538F">
      <w:pPr>
        <w:jc w:val="both"/>
        <w:rPr>
          <w:rFonts w:cs="Simplified Arabic" w:hint="cs"/>
          <w:rtl/>
        </w:rPr>
      </w:pPr>
    </w:p>
    <w:p w:rsidR="00591C3A" w:rsidRDefault="00591C3A" w:rsidP="0014538F">
      <w:pPr>
        <w:jc w:val="both"/>
        <w:rPr>
          <w:rFonts w:cs="Simplified Arabic"/>
          <w:rtl/>
        </w:rPr>
      </w:pPr>
      <w:r>
        <w:rPr>
          <w:rFonts w:cs="Simplified Arabic" w:hint="cs"/>
          <w:b/>
          <w:bCs/>
          <w:rtl/>
        </w:rPr>
        <w:t xml:space="preserve">حوالي 29% </w:t>
      </w:r>
      <w:r w:rsidRPr="00687AEB">
        <w:rPr>
          <w:rFonts w:cs="Simplified Arabic" w:hint="cs"/>
          <w:b/>
          <w:bCs/>
          <w:rtl/>
        </w:rPr>
        <w:t>من الفلسطينيي</w:t>
      </w:r>
      <w:r w:rsidRPr="00687AEB">
        <w:rPr>
          <w:rFonts w:cs="Simplified Arabic" w:hint="eastAsia"/>
          <w:b/>
          <w:bCs/>
          <w:rtl/>
        </w:rPr>
        <w:t>ن</w:t>
      </w:r>
      <w:r w:rsidRPr="00687AEB">
        <w:rPr>
          <w:rFonts w:cs="Simplified Arabic" w:hint="cs"/>
          <w:b/>
          <w:bCs/>
          <w:rtl/>
        </w:rPr>
        <w:t xml:space="preserve"> فقراء في عام 2017</w:t>
      </w:r>
    </w:p>
    <w:p w:rsidR="00687AEB" w:rsidRPr="00523E19" w:rsidRDefault="00687AEB" w:rsidP="004C3A5A">
      <w:pPr>
        <w:jc w:val="both"/>
        <w:rPr>
          <w:rFonts w:cs="Simplified Arabic"/>
          <w:sz w:val="16"/>
          <w:szCs w:val="16"/>
          <w:rtl/>
        </w:rPr>
      </w:pPr>
    </w:p>
    <w:tbl>
      <w:tblPr>
        <w:tblStyle w:val="TableGrid"/>
        <w:bidiVisual/>
        <w:tblW w:w="5104" w:type="dxa"/>
        <w:tblInd w:w="-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2552"/>
      </w:tblGrid>
      <w:tr w:rsidR="00523E19" w:rsidTr="00523E19">
        <w:tc>
          <w:tcPr>
            <w:tcW w:w="2552" w:type="dxa"/>
          </w:tcPr>
          <w:p w:rsidR="00523E19" w:rsidRPr="00523E19" w:rsidRDefault="00523E19" w:rsidP="00523E19">
            <w:pPr>
              <w:jc w:val="both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rtl/>
              </w:rPr>
              <w:t>29.2</w:t>
            </w:r>
            <w:r w:rsidRPr="00DF359E">
              <w:rPr>
                <w:rFonts w:cs="Simplified Arabic" w:hint="cs"/>
                <w:rtl/>
              </w:rPr>
              <w:t xml:space="preserve">% من الأفراد في </w:t>
            </w:r>
            <w:r>
              <w:rPr>
                <w:rFonts w:cs="Simplified Arabic" w:hint="cs"/>
                <w:rtl/>
              </w:rPr>
              <w:t>فلسطين عانوا الفقر خلال عام 2017 وفقا</w:t>
            </w:r>
            <w:r w:rsidR="00524FBB">
              <w:rPr>
                <w:rFonts w:cs="Simplified Arabic" w:hint="cs"/>
                <w:rtl/>
              </w:rPr>
              <w:t xml:space="preserve"> لأنماط</w:t>
            </w:r>
            <w:r w:rsidR="008872FB">
              <w:rPr>
                <w:rFonts w:cs="Simplified Arabic" w:hint="cs"/>
                <w:rtl/>
              </w:rPr>
              <w:t xml:space="preserve"> ا</w:t>
            </w:r>
            <w:r>
              <w:rPr>
                <w:rFonts w:cs="Simplified Arabic" w:hint="cs"/>
                <w:rtl/>
              </w:rPr>
              <w:t>لاستهلاك الشهري</w:t>
            </w:r>
            <w:r w:rsidRPr="00DF359E">
              <w:rPr>
                <w:rFonts w:cs="Simplified Arabic" w:hint="cs"/>
                <w:rtl/>
              </w:rPr>
              <w:t>،</w:t>
            </w:r>
            <w:r>
              <w:rPr>
                <w:rFonts w:cs="Simplified Arabic" w:hint="cs"/>
                <w:rtl/>
              </w:rPr>
              <w:t xml:space="preserve"> بما معناه ان استهلاك اسرهم الشهري كان دون خط الفقر الذي بلغ للأسرة الفلسطينية المكونة من 5 افراد (2 بالغين و3 اطفال) 2470 شيكل، و16.8% من الفلسطينيين عانوا الفقر المدقع، وقد بلغ خط الفقر المدقع 1974 شيكل لنفس الاسرة</w:t>
            </w:r>
            <w:r>
              <w:rPr>
                <w:rFonts w:cs="Simplified Arabic"/>
              </w:rPr>
              <w:t xml:space="preserve"> .</w:t>
            </w:r>
          </w:p>
        </w:tc>
        <w:tc>
          <w:tcPr>
            <w:tcW w:w="2552" w:type="dxa"/>
          </w:tcPr>
          <w:p w:rsidR="00523E19" w:rsidRDefault="00523E19" w:rsidP="004C3A5A">
            <w:pPr>
              <w:jc w:val="both"/>
              <w:rPr>
                <w:rFonts w:cs="Simplified Arabic"/>
                <w:b/>
                <w:bCs/>
                <w:rtl/>
              </w:rPr>
            </w:pPr>
            <w:r>
              <w:rPr>
                <w:b/>
                <w:bCs/>
                <w:noProof/>
                <w:sz w:val="16"/>
                <w:szCs w:val="16"/>
                <w:lang w:eastAsia="en-US"/>
              </w:rPr>
              <w:drawing>
                <wp:inline distT="0" distB="0" distL="0" distR="0">
                  <wp:extent cx="1609725" cy="2505075"/>
                  <wp:effectExtent l="0" t="0" r="0" b="0"/>
                  <wp:docPr id="2" name="Picture 2" descr="C:\Users\tfida\Downloads\Poverty_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fida\Downloads\Poverty_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505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6DEA" w:rsidRDefault="001E6DEA" w:rsidP="00C75115">
      <w:pPr>
        <w:jc w:val="both"/>
        <w:rPr>
          <w:rFonts w:cs="Simplified Arabic"/>
          <w:rtl/>
        </w:rPr>
      </w:pPr>
    </w:p>
    <w:p w:rsidR="00F933AD" w:rsidRPr="00F933AD" w:rsidRDefault="00F933AD" w:rsidP="001E6DEA">
      <w:pPr>
        <w:jc w:val="both"/>
        <w:rPr>
          <w:rFonts w:cs="Simplified Arabic"/>
          <w:sz w:val="16"/>
          <w:szCs w:val="16"/>
          <w:rtl/>
        </w:rPr>
      </w:pPr>
    </w:p>
    <w:p w:rsidR="00591C3A" w:rsidRDefault="00591C3A" w:rsidP="001E6DEA">
      <w:pPr>
        <w:jc w:val="both"/>
        <w:rPr>
          <w:rFonts w:cs="Simplified Arabic" w:hint="cs"/>
          <w:rtl/>
        </w:rPr>
      </w:pPr>
      <w:r>
        <w:rPr>
          <w:rFonts w:cs="Simplified Arabic" w:hint="cs"/>
          <w:b/>
          <w:bCs/>
          <w:rtl/>
        </w:rPr>
        <w:lastRenderedPageBreak/>
        <w:t>أكثر من نصف السكان في قطاع غزة فقراء في عام 2017</w:t>
      </w:r>
    </w:p>
    <w:p w:rsidR="001E6DEA" w:rsidRDefault="001E6DEA" w:rsidP="001E6DEA">
      <w:pPr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بلغت نسبت الفقراء في الضقة الغربية 13.9%، بينما وصلت نسبة الفقراء الى ما يزيد عن نصف الس</w:t>
      </w:r>
      <w:r w:rsidR="005C0FD3">
        <w:rPr>
          <w:rFonts w:cs="Simplified Arabic" w:hint="cs"/>
          <w:rtl/>
        </w:rPr>
        <w:t>كان في قطاع غزة، فقد بلغت 53.0%، أي تفوق نسبة الفقر في الضفة الغربية ب</w:t>
      </w:r>
      <w:r w:rsidR="00591A36">
        <w:rPr>
          <w:rFonts w:cs="Simplified Arabic" w:hint="cs"/>
          <w:rtl/>
        </w:rPr>
        <w:t xml:space="preserve">حوالي </w:t>
      </w:r>
      <w:r w:rsidR="005C0FD3">
        <w:rPr>
          <w:rFonts w:cs="Simplified Arabic" w:hint="cs"/>
          <w:rtl/>
        </w:rPr>
        <w:t>أربعة أضعاف.  أما بناءً على خط الفقر المدقع فقد بلغت نسبة الفقراء في الضفة الغربية 5.8</w:t>
      </w:r>
      <w:r w:rsidR="00B54967">
        <w:rPr>
          <w:rFonts w:cs="Simplified Arabic" w:hint="cs"/>
          <w:rtl/>
        </w:rPr>
        <w:t>%</w:t>
      </w:r>
      <w:r w:rsidR="005C0FD3">
        <w:rPr>
          <w:rFonts w:cs="Simplified Arabic" w:hint="cs"/>
          <w:rtl/>
        </w:rPr>
        <w:t xml:space="preserve"> بينما وصلت في قطاع غزة الى 33.8%، أي تفوق نسبة الفقر في الضفة الغربية بحوالي ستة أضعاف.</w:t>
      </w:r>
    </w:p>
    <w:p w:rsidR="00052627" w:rsidRDefault="00052627" w:rsidP="001E6DEA">
      <w:pPr>
        <w:jc w:val="both"/>
        <w:rPr>
          <w:rFonts w:cs="Simplified Arabic"/>
          <w:rtl/>
        </w:rPr>
      </w:pPr>
    </w:p>
    <w:p w:rsidR="00F933AD" w:rsidRDefault="00591C3A" w:rsidP="001C2FB6">
      <w:pPr>
        <w:jc w:val="both"/>
        <w:rPr>
          <w:rFonts w:ascii="Simplified Arabic" w:hAnsi="Simplified Arabic" w:cs="Simplified Arabic"/>
          <w:rtl/>
        </w:rPr>
      </w:pPr>
      <w:r w:rsidRPr="00EE5D37">
        <w:rPr>
          <w:rFonts w:cs="Simplified Arabic" w:hint="cs"/>
          <w:b/>
          <w:bCs/>
          <w:rtl/>
        </w:rPr>
        <w:t>ارتفاع نسب الفقر في عام 2017</w:t>
      </w:r>
    </w:p>
    <w:p w:rsidR="00EE5D37" w:rsidRDefault="00EE5D37" w:rsidP="000F6943">
      <w:pPr>
        <w:jc w:val="both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</w:rPr>
        <w:t xml:space="preserve">أظهرت النتائج أن نسب الفقر ارتفعت في العام 2017 مقارنة </w:t>
      </w:r>
      <w:r w:rsidR="000F6943">
        <w:rPr>
          <w:rFonts w:ascii="Simplified Arabic" w:hAnsi="Simplified Arabic" w:cs="Simplified Arabic" w:hint="cs"/>
          <w:rtl/>
        </w:rPr>
        <w:t xml:space="preserve">مع </w:t>
      </w:r>
      <w:r>
        <w:rPr>
          <w:rFonts w:ascii="Simplified Arabic" w:hAnsi="Simplified Arabic" w:cs="Simplified Arabic" w:hint="cs"/>
          <w:rtl/>
        </w:rPr>
        <w:t>عام 2011، فقد كانت نسب</w:t>
      </w:r>
      <w:r w:rsidR="0086312E">
        <w:rPr>
          <w:rFonts w:ascii="Simplified Arabic" w:hAnsi="Simplified Arabic" w:cs="Simplified Arabic" w:hint="cs"/>
          <w:rtl/>
        </w:rPr>
        <w:t>ة</w:t>
      </w:r>
      <w:r>
        <w:rPr>
          <w:rFonts w:ascii="Simplified Arabic" w:hAnsi="Simplified Arabic" w:cs="Simplified Arabic" w:hint="cs"/>
          <w:rtl/>
        </w:rPr>
        <w:t xml:space="preserve"> الفقراء في عام 2011 حوالي 25.</w:t>
      </w:r>
      <w:r w:rsidR="00316360">
        <w:rPr>
          <w:rFonts w:ascii="Simplified Arabic" w:hAnsi="Simplified Arabic" w:cs="Simplified Arabic" w:hint="cs"/>
          <w:rtl/>
        </w:rPr>
        <w:t>8</w:t>
      </w:r>
      <w:r>
        <w:rPr>
          <w:rFonts w:ascii="Simplified Arabic" w:hAnsi="Simplified Arabic" w:cs="Simplified Arabic" w:hint="cs"/>
          <w:rtl/>
        </w:rPr>
        <w:t>% بينما ارتفعت لتصل الى 29.2% في عام 2017، أي بارتفاع نسبته 13.</w:t>
      </w:r>
      <w:r w:rsidR="00305FED">
        <w:rPr>
          <w:rFonts w:ascii="Simplified Arabic" w:hAnsi="Simplified Arabic" w:cs="Simplified Arabic" w:hint="cs"/>
          <w:rtl/>
        </w:rPr>
        <w:t>2</w:t>
      </w:r>
      <w:r>
        <w:rPr>
          <w:rFonts w:ascii="Simplified Arabic" w:hAnsi="Simplified Arabic" w:cs="Simplified Arabic" w:hint="cs"/>
          <w:rtl/>
        </w:rPr>
        <w:t>%.  كما ارتفع نسب الفقر المدقع من 12.</w:t>
      </w:r>
      <w:r w:rsidR="00CF6239">
        <w:rPr>
          <w:rFonts w:ascii="Simplified Arabic" w:hAnsi="Simplified Arabic" w:cs="Simplified Arabic" w:hint="cs"/>
          <w:rtl/>
        </w:rPr>
        <w:t>9</w:t>
      </w:r>
      <w:r w:rsidR="00791E59">
        <w:rPr>
          <w:rFonts w:ascii="Simplified Arabic" w:hAnsi="Simplified Arabic" w:cs="Simplified Arabic" w:hint="cs"/>
          <w:rtl/>
        </w:rPr>
        <w:t xml:space="preserve">% عام 2011 الى 16.8% </w:t>
      </w:r>
      <w:r>
        <w:rPr>
          <w:rFonts w:ascii="Simplified Arabic" w:hAnsi="Simplified Arabic" w:cs="Simplified Arabic" w:hint="cs"/>
          <w:rtl/>
        </w:rPr>
        <w:t>عام 2017 أي بارتفاع نسبته 3</w:t>
      </w:r>
      <w:r w:rsidR="001C2FB6">
        <w:rPr>
          <w:rFonts w:ascii="Simplified Arabic" w:hAnsi="Simplified Arabic" w:cs="Simplified Arabic" w:hint="cs"/>
          <w:rtl/>
        </w:rPr>
        <w:t>0.2</w:t>
      </w:r>
      <w:r>
        <w:rPr>
          <w:rFonts w:ascii="Simplified Arabic" w:hAnsi="Simplified Arabic" w:cs="Simplified Arabic" w:hint="cs"/>
          <w:rtl/>
        </w:rPr>
        <w:t>%.</w:t>
      </w:r>
    </w:p>
    <w:p w:rsidR="00591C3A" w:rsidRDefault="00EE5D37" w:rsidP="007751B1">
      <w:pPr>
        <w:jc w:val="both"/>
        <w:rPr>
          <w:rFonts w:ascii="Simplified Arabic" w:hAnsi="Simplified Arabic" w:cs="Simplified Arabic" w:hint="cs"/>
          <w:rtl/>
        </w:rPr>
      </w:pPr>
      <w:r>
        <w:rPr>
          <w:rFonts w:ascii="Simplified Arabic" w:hAnsi="Simplified Arabic" w:cs="Simplified Arabic" w:hint="cs"/>
          <w:rtl/>
        </w:rPr>
        <w:t xml:space="preserve">ويعزى هذا الارتفاع، إلى ارتفاع مؤشرات الفقر بشكل ملحوظ في قطاع غزة بالرغم من انخفاضها في الضفة الغربية. الجدير بالذكر، أن </w:t>
      </w:r>
      <w:r w:rsidRPr="005C737C">
        <w:rPr>
          <w:rFonts w:ascii="Simplified Arabic" w:hAnsi="Simplified Arabic" w:cs="Simplified Arabic"/>
          <w:rtl/>
        </w:rPr>
        <w:t xml:space="preserve">الوضع </w:t>
      </w:r>
      <w:r>
        <w:rPr>
          <w:rFonts w:ascii="Simplified Arabic" w:hAnsi="Simplified Arabic" w:cs="Simplified Arabic" w:hint="cs"/>
          <w:rtl/>
        </w:rPr>
        <w:t xml:space="preserve">في </w:t>
      </w:r>
      <w:r w:rsidRPr="005C737C">
        <w:rPr>
          <w:rFonts w:ascii="Simplified Arabic" w:hAnsi="Simplified Arabic" w:cs="Simplified Arabic"/>
          <w:rtl/>
        </w:rPr>
        <w:t xml:space="preserve">قطاع غزة </w:t>
      </w:r>
      <w:r>
        <w:rPr>
          <w:rFonts w:ascii="Simplified Arabic" w:hAnsi="Simplified Arabic" w:cs="Simplified Arabic" w:hint="cs"/>
          <w:rtl/>
        </w:rPr>
        <w:t>أصبح</w:t>
      </w:r>
      <w:r w:rsidRPr="005C737C">
        <w:rPr>
          <w:rFonts w:ascii="Simplified Arabic" w:hAnsi="Simplified Arabic" w:cs="Simplified Arabic"/>
          <w:rtl/>
        </w:rPr>
        <w:t xml:space="preserve"> أسوء</w:t>
      </w:r>
      <w:r>
        <w:rPr>
          <w:rFonts w:ascii="Simplified Arabic" w:hAnsi="Simplified Arabic" w:cs="Simplified Arabic" w:hint="cs"/>
          <w:rtl/>
        </w:rPr>
        <w:t xml:space="preserve"> بكثير</w:t>
      </w:r>
      <w:r w:rsidRPr="005C737C">
        <w:rPr>
          <w:rFonts w:ascii="Simplified Arabic" w:hAnsi="Simplified Arabic" w:cs="Simplified Arabic"/>
          <w:rtl/>
        </w:rPr>
        <w:t xml:space="preserve"> مما كان عليه في العام 2011</w:t>
      </w:r>
      <w:r>
        <w:rPr>
          <w:rFonts w:ascii="Simplified Arabic" w:hAnsi="Simplified Arabic" w:cs="Simplified Arabic" w:hint="cs"/>
          <w:rtl/>
        </w:rPr>
        <w:t>، فقد ارتفعت نسب الفقر في قطاع غزة</w:t>
      </w:r>
      <w:r w:rsidRPr="005C737C">
        <w:rPr>
          <w:rFonts w:ascii="Simplified Arabic" w:hAnsi="Simplified Arabic" w:cs="Simplified Arabic"/>
          <w:rtl/>
        </w:rPr>
        <w:t xml:space="preserve"> بحوالي </w:t>
      </w:r>
      <w:r>
        <w:rPr>
          <w:rFonts w:ascii="Simplified Arabic" w:hAnsi="Simplified Arabic" w:cs="Simplified Arabic" w:hint="cs"/>
          <w:rtl/>
        </w:rPr>
        <w:t>3</w:t>
      </w:r>
      <w:r w:rsidR="001C2FB6">
        <w:rPr>
          <w:rFonts w:ascii="Simplified Arabic" w:hAnsi="Simplified Arabic" w:cs="Simplified Arabic" w:hint="cs"/>
          <w:rtl/>
        </w:rPr>
        <w:t>7</w:t>
      </w:r>
      <w:r w:rsidRPr="005C737C">
        <w:rPr>
          <w:rFonts w:ascii="Simplified Arabic" w:hAnsi="Simplified Arabic" w:cs="Simplified Arabic"/>
          <w:rtl/>
        </w:rPr>
        <w:t>%</w:t>
      </w:r>
      <w:r>
        <w:rPr>
          <w:rFonts w:ascii="Simplified Arabic" w:hAnsi="Simplified Arabic" w:cs="Simplified Arabic" w:hint="cs"/>
          <w:rtl/>
        </w:rPr>
        <w:t>، (من38.</w:t>
      </w:r>
      <w:r w:rsidR="00CF6239">
        <w:rPr>
          <w:rFonts w:ascii="Simplified Arabic" w:hAnsi="Simplified Arabic" w:cs="Simplified Arabic" w:hint="cs"/>
          <w:rtl/>
        </w:rPr>
        <w:t>8</w:t>
      </w:r>
      <w:r>
        <w:rPr>
          <w:rFonts w:ascii="Simplified Arabic" w:hAnsi="Simplified Arabic" w:cs="Simplified Arabic" w:hint="cs"/>
          <w:rtl/>
        </w:rPr>
        <w:t>% في العام 2011 ليصل إلى 53.0% في العام 2017)</w:t>
      </w:r>
      <w:r w:rsidRPr="005C737C">
        <w:rPr>
          <w:rFonts w:ascii="Simplified Arabic" w:hAnsi="Simplified Arabic" w:cs="Simplified Arabic"/>
          <w:rtl/>
        </w:rPr>
        <w:t xml:space="preserve">. إلا أن الوضع </w:t>
      </w:r>
      <w:r>
        <w:rPr>
          <w:rFonts w:ascii="Simplified Arabic" w:hAnsi="Simplified Arabic" w:cs="Simplified Arabic" w:hint="cs"/>
          <w:rtl/>
        </w:rPr>
        <w:t>معاكس</w:t>
      </w:r>
      <w:r>
        <w:rPr>
          <w:rFonts w:ascii="Simplified Arabic" w:hAnsi="Simplified Arabic" w:cs="Simplified Arabic"/>
          <w:rtl/>
        </w:rPr>
        <w:t xml:space="preserve"> في الضفة الغربية</w:t>
      </w:r>
      <w:r w:rsidRPr="005C737C">
        <w:rPr>
          <w:rFonts w:ascii="Simplified Arabic" w:hAnsi="Simplified Arabic" w:cs="Simplified Arabic"/>
          <w:rtl/>
        </w:rPr>
        <w:t xml:space="preserve">، </w:t>
      </w:r>
      <w:r>
        <w:rPr>
          <w:rFonts w:ascii="Simplified Arabic" w:hAnsi="Simplified Arabic" w:cs="Simplified Arabic" w:hint="cs"/>
          <w:rtl/>
        </w:rPr>
        <w:t xml:space="preserve">حيث انخفضت مؤشرات الفقر </w:t>
      </w:r>
      <w:r w:rsidRPr="005C737C">
        <w:rPr>
          <w:rFonts w:ascii="Simplified Arabic" w:hAnsi="Simplified Arabic" w:cs="Simplified Arabic"/>
          <w:rtl/>
        </w:rPr>
        <w:t xml:space="preserve">في الضفة الغربية خلال </w:t>
      </w:r>
      <w:r>
        <w:rPr>
          <w:rFonts w:ascii="Simplified Arabic" w:hAnsi="Simplified Arabic" w:cs="Simplified Arabic" w:hint="cs"/>
          <w:rtl/>
        </w:rPr>
        <w:t xml:space="preserve">الست سنوات الماضية، حيث </w:t>
      </w:r>
      <w:r>
        <w:rPr>
          <w:rFonts w:ascii="Simplified Arabic" w:hAnsi="Simplified Arabic" w:cs="Simplified Arabic"/>
          <w:rtl/>
        </w:rPr>
        <w:t>انخفض الفقر في الضفة الغر</w:t>
      </w:r>
      <w:r w:rsidR="00CF6239">
        <w:rPr>
          <w:rFonts w:ascii="Simplified Arabic" w:hAnsi="Simplified Arabic" w:cs="Simplified Arabic" w:hint="cs"/>
          <w:rtl/>
        </w:rPr>
        <w:t>بية بحوالي 22% (من 17.8</w:t>
      </w:r>
      <w:r>
        <w:rPr>
          <w:rFonts w:ascii="Simplified Arabic" w:hAnsi="Simplified Arabic" w:cs="Simplified Arabic" w:hint="cs"/>
          <w:rtl/>
        </w:rPr>
        <w:t xml:space="preserve">% للعام 2011 مقابل </w:t>
      </w:r>
      <w:r w:rsidR="007751B1">
        <w:rPr>
          <w:rFonts w:ascii="Simplified Arabic" w:hAnsi="Simplified Arabic" w:cs="Simplified Arabic" w:hint="cs"/>
          <w:rtl/>
        </w:rPr>
        <w:t>13.9</w:t>
      </w:r>
      <w:r>
        <w:rPr>
          <w:rFonts w:ascii="Simplified Arabic" w:hAnsi="Simplified Arabic" w:cs="Simplified Arabic" w:hint="cs"/>
          <w:rtl/>
        </w:rPr>
        <w:t>% للعام 2017</w:t>
      </w:r>
      <w:r w:rsidR="00686780">
        <w:rPr>
          <w:rFonts w:ascii="Simplified Arabic" w:hAnsi="Simplified Arabic" w:cs="Simplified Arabic" w:hint="cs"/>
          <w:rtl/>
        </w:rPr>
        <w:t>)</w:t>
      </w:r>
      <w:r>
        <w:rPr>
          <w:rFonts w:ascii="Simplified Arabic" w:hAnsi="Simplified Arabic" w:cs="Simplified Arabic" w:hint="cs"/>
          <w:rtl/>
        </w:rPr>
        <w:t>.</w:t>
      </w:r>
      <w:r w:rsidR="001C2FB6">
        <w:rPr>
          <w:rFonts w:ascii="Simplified Arabic" w:hAnsi="Simplified Arabic" w:cs="Simplified Arabic" w:hint="cs"/>
          <w:rtl/>
        </w:rPr>
        <w:t xml:space="preserve"> </w:t>
      </w:r>
    </w:p>
    <w:p w:rsidR="00591C3A" w:rsidRDefault="00591C3A" w:rsidP="007751B1">
      <w:pPr>
        <w:jc w:val="both"/>
        <w:rPr>
          <w:rFonts w:ascii="Simplified Arabic" w:hAnsi="Simplified Arabic" w:cs="Simplified Arabic" w:hint="cs"/>
          <w:rtl/>
        </w:rPr>
      </w:pPr>
    </w:p>
    <w:p w:rsidR="00591C3A" w:rsidRDefault="00591C3A" w:rsidP="007751B1">
      <w:pPr>
        <w:jc w:val="both"/>
        <w:rPr>
          <w:rFonts w:ascii="Simplified Arabic" w:hAnsi="Simplified Arabic" w:cs="Simplified Arabic" w:hint="cs"/>
          <w:rtl/>
        </w:rPr>
      </w:pPr>
    </w:p>
    <w:p w:rsidR="00591C3A" w:rsidRDefault="00591C3A" w:rsidP="007751B1">
      <w:pPr>
        <w:jc w:val="both"/>
        <w:rPr>
          <w:rFonts w:ascii="Simplified Arabic" w:hAnsi="Simplified Arabic" w:cs="Simplified Arabic" w:hint="cs"/>
          <w:rtl/>
        </w:rPr>
      </w:pPr>
    </w:p>
    <w:p w:rsidR="001C2FB6" w:rsidRDefault="001C2FB6" w:rsidP="007751B1">
      <w:pPr>
        <w:jc w:val="both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</w:rPr>
        <w:t xml:space="preserve"> </w:t>
      </w:r>
    </w:p>
    <w:p w:rsidR="004D799B" w:rsidRPr="004D799B" w:rsidRDefault="004D799B" w:rsidP="00591C3A">
      <w:pPr>
        <w:jc w:val="center"/>
        <w:rPr>
          <w:rFonts w:ascii="Simplified Arabic" w:hAnsi="Simplified Arabic" w:cs="Simplified Arabic"/>
          <w:b/>
          <w:bCs/>
          <w:sz w:val="22"/>
          <w:szCs w:val="22"/>
          <w:rtl/>
        </w:rPr>
      </w:pPr>
      <w:r w:rsidRPr="004D799B">
        <w:rPr>
          <w:rFonts w:ascii="Simplified Arabic" w:hAnsi="Simplified Arabic" w:cs="Simplified Arabic"/>
          <w:b/>
          <w:bCs/>
          <w:sz w:val="22"/>
          <w:szCs w:val="22"/>
          <w:rtl/>
        </w:rPr>
        <w:t>نسبة الفقر بين الأفراد وفقاً لأنماط الاستهلاك الشهري</w:t>
      </w:r>
      <w:r w:rsidR="00591C3A">
        <w:rPr>
          <w:rFonts w:ascii="Simplified Arabic" w:hAnsi="Simplified Arabic" w:cs="Simplified Arabic" w:hint="cs"/>
          <w:b/>
          <w:bCs/>
          <w:sz w:val="22"/>
          <w:szCs w:val="22"/>
          <w:rtl/>
        </w:rPr>
        <w:t xml:space="preserve"> </w:t>
      </w:r>
      <w:r w:rsidRPr="004D799B">
        <w:rPr>
          <w:rFonts w:ascii="Simplified Arabic" w:hAnsi="Simplified Arabic" w:cs="Simplified Arabic"/>
          <w:b/>
          <w:bCs/>
          <w:sz w:val="22"/>
          <w:szCs w:val="22"/>
          <w:rtl/>
        </w:rPr>
        <w:t xml:space="preserve"> (2009-2011، 2017)</w:t>
      </w:r>
    </w:p>
    <w:tbl>
      <w:tblPr>
        <w:tblStyle w:val="TableGrid"/>
        <w:bidiVisual/>
        <w:tblW w:w="0" w:type="auto"/>
        <w:tblInd w:w="2672" w:type="dxa"/>
        <w:tblLook w:val="04A0"/>
      </w:tblPr>
      <w:tblGrid>
        <w:gridCol w:w="4893"/>
      </w:tblGrid>
      <w:tr w:rsidR="00EC48EF" w:rsidTr="00591C3A">
        <w:tc>
          <w:tcPr>
            <w:tcW w:w="4893" w:type="dxa"/>
          </w:tcPr>
          <w:p w:rsidR="00EC48EF" w:rsidRDefault="00EC48EF" w:rsidP="00591C3A">
            <w:pPr>
              <w:rPr>
                <w:rFonts w:ascii="Simplified Arabic" w:hAnsi="Simplified Arabic" w:cs="Simplified Arabic"/>
                <w:rtl/>
              </w:rPr>
            </w:pPr>
            <w:r w:rsidRPr="00FD2DB7">
              <w:rPr>
                <w:rFonts w:ascii="Simplified Arabic" w:hAnsi="Simplified Arabic" w:cs="Simplified Arabic" w:hint="cs"/>
                <w:noProof/>
                <w:rtl/>
                <w:lang w:eastAsia="en-US"/>
              </w:rPr>
              <w:drawing>
                <wp:inline distT="0" distB="0" distL="0" distR="0">
                  <wp:extent cx="2969895" cy="2692797"/>
                  <wp:effectExtent l="0" t="0" r="0" b="0"/>
                  <wp:docPr id="4" name="Chart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:rsidR="00EC48EF" w:rsidRDefault="00EC48EF" w:rsidP="007751B1">
      <w:pPr>
        <w:jc w:val="both"/>
        <w:rPr>
          <w:rFonts w:ascii="Simplified Arabic" w:hAnsi="Simplified Arabic" w:cs="Simplified Arabic"/>
          <w:rtl/>
        </w:rPr>
      </w:pPr>
    </w:p>
    <w:p w:rsidR="00F9137F" w:rsidRDefault="00F9137F" w:rsidP="001C2FB6">
      <w:pPr>
        <w:jc w:val="both"/>
        <w:rPr>
          <w:rFonts w:ascii="Simplified Arabic" w:hAnsi="Simplified Arabic" w:cs="Simplified Arabic"/>
          <w:rtl/>
        </w:rPr>
      </w:pPr>
    </w:p>
    <w:p w:rsidR="00EE5D37" w:rsidRDefault="001C2FB6" w:rsidP="0069568C">
      <w:pPr>
        <w:jc w:val="both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</w:rPr>
        <w:t>كما ارتفعت نسب الفقر المدقع بين الافراد في قطاع غزة، فقد ب</w:t>
      </w:r>
      <w:r w:rsidR="00F616A3">
        <w:rPr>
          <w:rFonts w:ascii="Simplified Arabic" w:hAnsi="Simplified Arabic" w:cs="Simplified Arabic" w:hint="cs"/>
          <w:rtl/>
        </w:rPr>
        <w:t>ل</w:t>
      </w:r>
      <w:r>
        <w:rPr>
          <w:rFonts w:ascii="Simplified Arabic" w:hAnsi="Simplified Arabic" w:cs="Simplified Arabic" w:hint="cs"/>
          <w:rtl/>
        </w:rPr>
        <w:t xml:space="preserve">غت 33.8% </w:t>
      </w:r>
      <w:r w:rsidR="00F616A3">
        <w:rPr>
          <w:rFonts w:ascii="Simplified Arabic" w:hAnsi="Simplified Arabic" w:cs="Simplified Arabic" w:hint="cs"/>
          <w:rtl/>
        </w:rPr>
        <w:t xml:space="preserve">في العام 2017 </w:t>
      </w:r>
      <w:r>
        <w:rPr>
          <w:rFonts w:ascii="Simplified Arabic" w:hAnsi="Simplified Arabic" w:cs="Simplified Arabic" w:hint="cs"/>
          <w:rtl/>
        </w:rPr>
        <w:t>بينما كانت في العام 2011 حوالي 21</w:t>
      </w:r>
      <w:r w:rsidR="00C71F04">
        <w:rPr>
          <w:rFonts w:ascii="Simplified Arabic" w:hAnsi="Simplified Arabic" w:cs="Simplified Arabic" w:hint="cs"/>
          <w:rtl/>
        </w:rPr>
        <w:t>.1</w:t>
      </w:r>
      <w:r>
        <w:rPr>
          <w:rFonts w:ascii="Simplified Arabic" w:hAnsi="Simplified Arabic" w:cs="Simplified Arabic" w:hint="cs"/>
          <w:rtl/>
        </w:rPr>
        <w:t>% وبالتالي هناك ارتفاع بحوالي 60% في نسب الفقر المدقع للافراد في قطاع غزة.</w:t>
      </w:r>
      <w:r w:rsidR="0069568C">
        <w:rPr>
          <w:rFonts w:ascii="Simplified Arabic" w:hAnsi="Simplified Arabic" w:cs="Simplified Arabic" w:hint="cs"/>
          <w:rtl/>
        </w:rPr>
        <w:t xml:space="preserve">  أما </w:t>
      </w:r>
      <w:r>
        <w:rPr>
          <w:rFonts w:ascii="Simplified Arabic" w:hAnsi="Simplified Arabic" w:cs="Simplified Arabic" w:hint="cs"/>
          <w:rtl/>
        </w:rPr>
        <w:t>في الضفة الغربية، انخفضت نسب الفقر المدقع من 7.8% الى 5.8%، أي بانخفاض نسبته 25.6%</w:t>
      </w:r>
      <w:r w:rsidR="0069568C">
        <w:rPr>
          <w:rFonts w:ascii="Simplified Arabic" w:hAnsi="Simplified Arabic" w:cs="Simplified Arabic" w:hint="cs"/>
          <w:rtl/>
        </w:rPr>
        <w:t xml:space="preserve">.  </w:t>
      </w:r>
      <w:r w:rsidR="00EE5D37">
        <w:rPr>
          <w:rFonts w:ascii="Simplified Arabic" w:hAnsi="Simplified Arabic" w:cs="Simplified Arabic" w:hint="cs"/>
          <w:rtl/>
        </w:rPr>
        <w:t>الارتفاع الملحوظ في معدلات الفقر والفقر المدقع في قطاع غزة يفسر ارتفاع نسب الفقر الوطني في العام 2017</w:t>
      </w:r>
      <w:r w:rsidR="0069568C">
        <w:rPr>
          <w:rFonts w:ascii="Simplified Arabic" w:hAnsi="Simplified Arabic" w:cs="Simplified Arabic" w:hint="cs"/>
          <w:rtl/>
        </w:rPr>
        <w:t>.</w:t>
      </w:r>
    </w:p>
    <w:bookmarkEnd w:id="0"/>
    <w:bookmarkEnd w:id="1"/>
    <w:bookmarkEnd w:id="2"/>
    <w:bookmarkEnd w:id="3"/>
    <w:p w:rsidR="00F9137F" w:rsidRDefault="00F9137F" w:rsidP="00BB6C08">
      <w:pPr>
        <w:spacing w:line="360" w:lineRule="auto"/>
        <w:rPr>
          <w:rFonts w:cs="Simplified Arabic"/>
          <w:b/>
          <w:bCs/>
          <w:sz w:val="10"/>
          <w:szCs w:val="10"/>
          <w:rtl/>
        </w:rPr>
      </w:pPr>
    </w:p>
    <w:p w:rsidR="00F9137F" w:rsidRDefault="00F9137F" w:rsidP="00BB6C08">
      <w:pPr>
        <w:spacing w:line="360" w:lineRule="auto"/>
        <w:rPr>
          <w:rFonts w:cs="Simplified Arabic"/>
          <w:b/>
          <w:bCs/>
          <w:sz w:val="10"/>
          <w:szCs w:val="10"/>
          <w:rtl/>
        </w:rPr>
      </w:pPr>
    </w:p>
    <w:p w:rsidR="004E78EC" w:rsidRPr="00704A97" w:rsidRDefault="004E78EC" w:rsidP="00BB6C08">
      <w:pPr>
        <w:spacing w:line="360" w:lineRule="auto"/>
        <w:rPr>
          <w:rFonts w:cs="Simplified Arabic"/>
          <w:b/>
          <w:bCs/>
          <w:sz w:val="10"/>
          <w:szCs w:val="10"/>
          <w:rtl/>
        </w:rPr>
      </w:pPr>
    </w:p>
    <w:sectPr w:rsidR="004E78EC" w:rsidRPr="00704A97" w:rsidSect="00591C3A">
      <w:footerReference w:type="even" r:id="rId12"/>
      <w:footerReference w:type="default" r:id="rId13"/>
      <w:pgSz w:w="11907" w:h="16840" w:code="9"/>
      <w:pgMar w:top="851" w:right="851" w:bottom="851" w:left="851" w:header="284" w:footer="397" w:gutter="0"/>
      <w:pgNumType w:start="5"/>
      <w:cols w:space="851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809" w:rsidRDefault="00A05809">
      <w:r>
        <w:separator/>
      </w:r>
    </w:p>
  </w:endnote>
  <w:endnote w:type="continuationSeparator" w:id="0">
    <w:p w:rsidR="00A05809" w:rsidRDefault="00A058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2C0" w:rsidRDefault="00F92D9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4F32C0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4F32C0" w:rsidRDefault="004F32C0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99C" w:rsidRDefault="0063199C" w:rsidP="00591C3A">
    <w:pPr>
      <w:pStyle w:val="Footer"/>
      <w:jc w:val="center"/>
    </w:pPr>
  </w:p>
  <w:p w:rsidR="0063199C" w:rsidRDefault="006319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809" w:rsidRDefault="00A05809">
      <w:r>
        <w:separator/>
      </w:r>
    </w:p>
  </w:footnote>
  <w:footnote w:type="continuationSeparator" w:id="0">
    <w:p w:rsidR="00A05809" w:rsidRDefault="00A058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A60B9"/>
    <w:multiLevelType w:val="hybridMultilevel"/>
    <w:tmpl w:val="2FD44D9C"/>
    <w:lvl w:ilvl="0" w:tplc="0401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10946"/>
  </w:hdrShapeDefaults>
  <w:footnotePr>
    <w:footnote w:id="-1"/>
    <w:footnote w:id="0"/>
  </w:footnotePr>
  <w:endnotePr>
    <w:endnote w:id="-1"/>
    <w:endnote w:id="0"/>
  </w:endnotePr>
  <w:compat/>
  <w:rsids>
    <w:rsidRoot w:val="00521E76"/>
    <w:rsid w:val="00023AD1"/>
    <w:rsid w:val="00031E67"/>
    <w:rsid w:val="000341DD"/>
    <w:rsid w:val="00036FD7"/>
    <w:rsid w:val="00047E62"/>
    <w:rsid w:val="000508B9"/>
    <w:rsid w:val="00052627"/>
    <w:rsid w:val="0005327F"/>
    <w:rsid w:val="00064CC5"/>
    <w:rsid w:val="000708C0"/>
    <w:rsid w:val="00075C63"/>
    <w:rsid w:val="00076F55"/>
    <w:rsid w:val="00086F1E"/>
    <w:rsid w:val="0008745E"/>
    <w:rsid w:val="00091412"/>
    <w:rsid w:val="000952B3"/>
    <w:rsid w:val="000A48CC"/>
    <w:rsid w:val="000A6515"/>
    <w:rsid w:val="000B045F"/>
    <w:rsid w:val="000B4B34"/>
    <w:rsid w:val="000D51DA"/>
    <w:rsid w:val="000F17CE"/>
    <w:rsid w:val="000F61CA"/>
    <w:rsid w:val="000F6943"/>
    <w:rsid w:val="00101EBB"/>
    <w:rsid w:val="00107749"/>
    <w:rsid w:val="00107CDB"/>
    <w:rsid w:val="001110AF"/>
    <w:rsid w:val="00132B67"/>
    <w:rsid w:val="00132FBD"/>
    <w:rsid w:val="00136529"/>
    <w:rsid w:val="00140226"/>
    <w:rsid w:val="0014538F"/>
    <w:rsid w:val="001507F2"/>
    <w:rsid w:val="00150A2E"/>
    <w:rsid w:val="0015397A"/>
    <w:rsid w:val="00153FDC"/>
    <w:rsid w:val="0016072D"/>
    <w:rsid w:val="00162F47"/>
    <w:rsid w:val="00163587"/>
    <w:rsid w:val="00167BC0"/>
    <w:rsid w:val="001802F5"/>
    <w:rsid w:val="001808A8"/>
    <w:rsid w:val="00186584"/>
    <w:rsid w:val="001937D8"/>
    <w:rsid w:val="0019696A"/>
    <w:rsid w:val="00197EED"/>
    <w:rsid w:val="001A312D"/>
    <w:rsid w:val="001A3DA3"/>
    <w:rsid w:val="001B1307"/>
    <w:rsid w:val="001B7150"/>
    <w:rsid w:val="001C2FB6"/>
    <w:rsid w:val="001D089C"/>
    <w:rsid w:val="001D6C83"/>
    <w:rsid w:val="001E1281"/>
    <w:rsid w:val="001E58E1"/>
    <w:rsid w:val="001E6DEA"/>
    <w:rsid w:val="001F0091"/>
    <w:rsid w:val="001F0803"/>
    <w:rsid w:val="00207E61"/>
    <w:rsid w:val="00215353"/>
    <w:rsid w:val="00224B0F"/>
    <w:rsid w:val="00231DCA"/>
    <w:rsid w:val="002433FE"/>
    <w:rsid w:val="002443F2"/>
    <w:rsid w:val="0026125C"/>
    <w:rsid w:val="00270E50"/>
    <w:rsid w:val="002720E9"/>
    <w:rsid w:val="00275000"/>
    <w:rsid w:val="00277D27"/>
    <w:rsid w:val="00283E5D"/>
    <w:rsid w:val="00286945"/>
    <w:rsid w:val="00295B6E"/>
    <w:rsid w:val="002B1D8D"/>
    <w:rsid w:val="002B34FB"/>
    <w:rsid w:val="002D66B7"/>
    <w:rsid w:val="002F4B1C"/>
    <w:rsid w:val="002F633C"/>
    <w:rsid w:val="002F639D"/>
    <w:rsid w:val="002F7494"/>
    <w:rsid w:val="00300056"/>
    <w:rsid w:val="00301417"/>
    <w:rsid w:val="00305FED"/>
    <w:rsid w:val="00316360"/>
    <w:rsid w:val="0031744E"/>
    <w:rsid w:val="00331C51"/>
    <w:rsid w:val="00334B9E"/>
    <w:rsid w:val="003531A4"/>
    <w:rsid w:val="00371274"/>
    <w:rsid w:val="00373E2B"/>
    <w:rsid w:val="00376624"/>
    <w:rsid w:val="0037714F"/>
    <w:rsid w:val="00384619"/>
    <w:rsid w:val="003903E4"/>
    <w:rsid w:val="00392A81"/>
    <w:rsid w:val="00396359"/>
    <w:rsid w:val="003A09B6"/>
    <w:rsid w:val="003A4D43"/>
    <w:rsid w:val="003D0EFF"/>
    <w:rsid w:val="003D559B"/>
    <w:rsid w:val="003F5FCD"/>
    <w:rsid w:val="003F6FC3"/>
    <w:rsid w:val="0040089C"/>
    <w:rsid w:val="004105F2"/>
    <w:rsid w:val="004235C6"/>
    <w:rsid w:val="004322D4"/>
    <w:rsid w:val="00433774"/>
    <w:rsid w:val="00434CDF"/>
    <w:rsid w:val="00461C50"/>
    <w:rsid w:val="004767B8"/>
    <w:rsid w:val="004977DD"/>
    <w:rsid w:val="004A4A2E"/>
    <w:rsid w:val="004B6EB4"/>
    <w:rsid w:val="004B7C1C"/>
    <w:rsid w:val="004C115A"/>
    <w:rsid w:val="004C3A5A"/>
    <w:rsid w:val="004D1006"/>
    <w:rsid w:val="004D2B2C"/>
    <w:rsid w:val="004D62B6"/>
    <w:rsid w:val="004D799B"/>
    <w:rsid w:val="004E3D3E"/>
    <w:rsid w:val="004E78EC"/>
    <w:rsid w:val="004F32C0"/>
    <w:rsid w:val="00500F42"/>
    <w:rsid w:val="005018C8"/>
    <w:rsid w:val="00503436"/>
    <w:rsid w:val="00517D0C"/>
    <w:rsid w:val="00521E76"/>
    <w:rsid w:val="00523E19"/>
    <w:rsid w:val="00524FBB"/>
    <w:rsid w:val="0052584C"/>
    <w:rsid w:val="00527819"/>
    <w:rsid w:val="005318AF"/>
    <w:rsid w:val="00531FE2"/>
    <w:rsid w:val="00533DCA"/>
    <w:rsid w:val="0055026E"/>
    <w:rsid w:val="00551140"/>
    <w:rsid w:val="00553EBC"/>
    <w:rsid w:val="005643B3"/>
    <w:rsid w:val="005705D6"/>
    <w:rsid w:val="00573945"/>
    <w:rsid w:val="005840C2"/>
    <w:rsid w:val="0058614B"/>
    <w:rsid w:val="00591A36"/>
    <w:rsid w:val="00591C3A"/>
    <w:rsid w:val="0059639A"/>
    <w:rsid w:val="005A1C43"/>
    <w:rsid w:val="005C0FD3"/>
    <w:rsid w:val="005C1A1B"/>
    <w:rsid w:val="005C2612"/>
    <w:rsid w:val="005D3B09"/>
    <w:rsid w:val="005D417B"/>
    <w:rsid w:val="005F58B9"/>
    <w:rsid w:val="006009DF"/>
    <w:rsid w:val="00603D25"/>
    <w:rsid w:val="00620152"/>
    <w:rsid w:val="00622547"/>
    <w:rsid w:val="006264D6"/>
    <w:rsid w:val="0063199C"/>
    <w:rsid w:val="00644EB1"/>
    <w:rsid w:val="006461B2"/>
    <w:rsid w:val="006528EC"/>
    <w:rsid w:val="00655A8A"/>
    <w:rsid w:val="00660423"/>
    <w:rsid w:val="00664674"/>
    <w:rsid w:val="00686297"/>
    <w:rsid w:val="00686780"/>
    <w:rsid w:val="00687AEB"/>
    <w:rsid w:val="006909D3"/>
    <w:rsid w:val="0069568C"/>
    <w:rsid w:val="006A06A3"/>
    <w:rsid w:val="006A3779"/>
    <w:rsid w:val="006C4268"/>
    <w:rsid w:val="006C595B"/>
    <w:rsid w:val="006C7B58"/>
    <w:rsid w:val="006D2EA7"/>
    <w:rsid w:val="006E0E27"/>
    <w:rsid w:val="006E11C2"/>
    <w:rsid w:val="006F21D2"/>
    <w:rsid w:val="00704A97"/>
    <w:rsid w:val="00706CE2"/>
    <w:rsid w:val="00707277"/>
    <w:rsid w:val="007105A5"/>
    <w:rsid w:val="0072082C"/>
    <w:rsid w:val="00724170"/>
    <w:rsid w:val="0072690C"/>
    <w:rsid w:val="00735452"/>
    <w:rsid w:val="007364A5"/>
    <w:rsid w:val="007751B1"/>
    <w:rsid w:val="00777997"/>
    <w:rsid w:val="00784676"/>
    <w:rsid w:val="00787336"/>
    <w:rsid w:val="00791320"/>
    <w:rsid w:val="00791E59"/>
    <w:rsid w:val="007928E4"/>
    <w:rsid w:val="00797BBA"/>
    <w:rsid w:val="007C411D"/>
    <w:rsid w:val="007C4AE9"/>
    <w:rsid w:val="007E1B8A"/>
    <w:rsid w:val="007E4058"/>
    <w:rsid w:val="007E5E3F"/>
    <w:rsid w:val="007E67A6"/>
    <w:rsid w:val="007F0B07"/>
    <w:rsid w:val="007F6F1F"/>
    <w:rsid w:val="00805513"/>
    <w:rsid w:val="008105C9"/>
    <w:rsid w:val="00814234"/>
    <w:rsid w:val="00814B02"/>
    <w:rsid w:val="008268BE"/>
    <w:rsid w:val="0083326D"/>
    <w:rsid w:val="008338A3"/>
    <w:rsid w:val="00842E01"/>
    <w:rsid w:val="00846B26"/>
    <w:rsid w:val="00854666"/>
    <w:rsid w:val="0086312E"/>
    <w:rsid w:val="00873A8D"/>
    <w:rsid w:val="0088396B"/>
    <w:rsid w:val="008872FB"/>
    <w:rsid w:val="00890D13"/>
    <w:rsid w:val="00894B3D"/>
    <w:rsid w:val="008B071E"/>
    <w:rsid w:val="008B1A07"/>
    <w:rsid w:val="008B2CD5"/>
    <w:rsid w:val="008B361F"/>
    <w:rsid w:val="008C3778"/>
    <w:rsid w:val="008C70C5"/>
    <w:rsid w:val="008E4EB8"/>
    <w:rsid w:val="008F27E7"/>
    <w:rsid w:val="008F46FD"/>
    <w:rsid w:val="009044CC"/>
    <w:rsid w:val="00912DF9"/>
    <w:rsid w:val="0092166E"/>
    <w:rsid w:val="00921E9B"/>
    <w:rsid w:val="009355F9"/>
    <w:rsid w:val="00937B13"/>
    <w:rsid w:val="00956335"/>
    <w:rsid w:val="009569A8"/>
    <w:rsid w:val="009705D3"/>
    <w:rsid w:val="0099312F"/>
    <w:rsid w:val="009A0307"/>
    <w:rsid w:val="009B60B6"/>
    <w:rsid w:val="009C4B52"/>
    <w:rsid w:val="009C5193"/>
    <w:rsid w:val="009E1504"/>
    <w:rsid w:val="00A05809"/>
    <w:rsid w:val="00A06D77"/>
    <w:rsid w:val="00A10D52"/>
    <w:rsid w:val="00A10E7F"/>
    <w:rsid w:val="00A24D24"/>
    <w:rsid w:val="00A25E40"/>
    <w:rsid w:val="00A34E40"/>
    <w:rsid w:val="00A358F3"/>
    <w:rsid w:val="00A40224"/>
    <w:rsid w:val="00A40DDD"/>
    <w:rsid w:val="00A41EC6"/>
    <w:rsid w:val="00A51794"/>
    <w:rsid w:val="00A52053"/>
    <w:rsid w:val="00A523DD"/>
    <w:rsid w:val="00A64C39"/>
    <w:rsid w:val="00A76FC6"/>
    <w:rsid w:val="00A80ED4"/>
    <w:rsid w:val="00A817C7"/>
    <w:rsid w:val="00A8537B"/>
    <w:rsid w:val="00A93D54"/>
    <w:rsid w:val="00A94DA0"/>
    <w:rsid w:val="00A96102"/>
    <w:rsid w:val="00AB412F"/>
    <w:rsid w:val="00AE7E15"/>
    <w:rsid w:val="00AF71E2"/>
    <w:rsid w:val="00B21896"/>
    <w:rsid w:val="00B221CD"/>
    <w:rsid w:val="00B23404"/>
    <w:rsid w:val="00B25563"/>
    <w:rsid w:val="00B2627E"/>
    <w:rsid w:val="00B32391"/>
    <w:rsid w:val="00B34385"/>
    <w:rsid w:val="00B41F96"/>
    <w:rsid w:val="00B4494C"/>
    <w:rsid w:val="00B46195"/>
    <w:rsid w:val="00B54967"/>
    <w:rsid w:val="00B57353"/>
    <w:rsid w:val="00B57AEF"/>
    <w:rsid w:val="00B62025"/>
    <w:rsid w:val="00B7134B"/>
    <w:rsid w:val="00B75875"/>
    <w:rsid w:val="00B84630"/>
    <w:rsid w:val="00B8786A"/>
    <w:rsid w:val="00B91739"/>
    <w:rsid w:val="00B9232E"/>
    <w:rsid w:val="00BA63C1"/>
    <w:rsid w:val="00BA69B7"/>
    <w:rsid w:val="00BB2B89"/>
    <w:rsid w:val="00BB2DDD"/>
    <w:rsid w:val="00BB6C08"/>
    <w:rsid w:val="00BC08BA"/>
    <w:rsid w:val="00BE1EB0"/>
    <w:rsid w:val="00BF2F4A"/>
    <w:rsid w:val="00BF301C"/>
    <w:rsid w:val="00BF49EA"/>
    <w:rsid w:val="00BF5512"/>
    <w:rsid w:val="00C108AE"/>
    <w:rsid w:val="00C208B5"/>
    <w:rsid w:val="00C20E69"/>
    <w:rsid w:val="00C3599B"/>
    <w:rsid w:val="00C54CCC"/>
    <w:rsid w:val="00C7052E"/>
    <w:rsid w:val="00C71F04"/>
    <w:rsid w:val="00C75115"/>
    <w:rsid w:val="00C77079"/>
    <w:rsid w:val="00C83679"/>
    <w:rsid w:val="00C94F2F"/>
    <w:rsid w:val="00C97A41"/>
    <w:rsid w:val="00CA12D5"/>
    <w:rsid w:val="00CC45BE"/>
    <w:rsid w:val="00CE2F5A"/>
    <w:rsid w:val="00CF0FCD"/>
    <w:rsid w:val="00CF1E3D"/>
    <w:rsid w:val="00CF6239"/>
    <w:rsid w:val="00D03BB6"/>
    <w:rsid w:val="00D055D6"/>
    <w:rsid w:val="00D10C22"/>
    <w:rsid w:val="00D16B87"/>
    <w:rsid w:val="00D21C45"/>
    <w:rsid w:val="00D21C76"/>
    <w:rsid w:val="00D35D2A"/>
    <w:rsid w:val="00D42893"/>
    <w:rsid w:val="00D43074"/>
    <w:rsid w:val="00D45DC6"/>
    <w:rsid w:val="00D551E7"/>
    <w:rsid w:val="00D66AFF"/>
    <w:rsid w:val="00D67C5C"/>
    <w:rsid w:val="00D71EEB"/>
    <w:rsid w:val="00D725D9"/>
    <w:rsid w:val="00D83BE9"/>
    <w:rsid w:val="00D83FA6"/>
    <w:rsid w:val="00D94EC6"/>
    <w:rsid w:val="00D95524"/>
    <w:rsid w:val="00DB2C37"/>
    <w:rsid w:val="00DC615C"/>
    <w:rsid w:val="00DC7EC8"/>
    <w:rsid w:val="00DE00E6"/>
    <w:rsid w:val="00DF359E"/>
    <w:rsid w:val="00DF5122"/>
    <w:rsid w:val="00DF5629"/>
    <w:rsid w:val="00E02293"/>
    <w:rsid w:val="00E02CA2"/>
    <w:rsid w:val="00E04B22"/>
    <w:rsid w:val="00E20DDC"/>
    <w:rsid w:val="00E276FB"/>
    <w:rsid w:val="00E36E7F"/>
    <w:rsid w:val="00E61DCD"/>
    <w:rsid w:val="00E6366A"/>
    <w:rsid w:val="00E67F68"/>
    <w:rsid w:val="00E706D5"/>
    <w:rsid w:val="00E777EE"/>
    <w:rsid w:val="00E812EB"/>
    <w:rsid w:val="00E9048A"/>
    <w:rsid w:val="00E90BCC"/>
    <w:rsid w:val="00E97899"/>
    <w:rsid w:val="00EA1159"/>
    <w:rsid w:val="00EA3916"/>
    <w:rsid w:val="00EC48EF"/>
    <w:rsid w:val="00EC605E"/>
    <w:rsid w:val="00ED07FE"/>
    <w:rsid w:val="00ED18BA"/>
    <w:rsid w:val="00ED5342"/>
    <w:rsid w:val="00ED6467"/>
    <w:rsid w:val="00ED6DA5"/>
    <w:rsid w:val="00EE1AC6"/>
    <w:rsid w:val="00EE5D37"/>
    <w:rsid w:val="00EF144C"/>
    <w:rsid w:val="00F1730A"/>
    <w:rsid w:val="00F33EDF"/>
    <w:rsid w:val="00F44BDE"/>
    <w:rsid w:val="00F52EA3"/>
    <w:rsid w:val="00F611E9"/>
    <w:rsid w:val="00F616A3"/>
    <w:rsid w:val="00F64728"/>
    <w:rsid w:val="00F70F76"/>
    <w:rsid w:val="00F8270A"/>
    <w:rsid w:val="00F9137F"/>
    <w:rsid w:val="00F92D95"/>
    <w:rsid w:val="00F933AD"/>
    <w:rsid w:val="00F93B1C"/>
    <w:rsid w:val="00F951E3"/>
    <w:rsid w:val="00FA1CC7"/>
    <w:rsid w:val="00FB170E"/>
    <w:rsid w:val="00FC0A74"/>
    <w:rsid w:val="00FC1D2F"/>
    <w:rsid w:val="00FC775D"/>
    <w:rsid w:val="00FD2DB7"/>
    <w:rsid w:val="00FD5E85"/>
    <w:rsid w:val="00FD6A87"/>
    <w:rsid w:val="00FF2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3F2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2443F2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2443F2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2443F2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5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qFormat/>
    <w:rsid w:val="002443F2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2443F2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443F2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2443F2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2443F2"/>
    <w:rPr>
      <w:vertAlign w:val="superscript"/>
    </w:rPr>
  </w:style>
  <w:style w:type="paragraph" w:styleId="BodyText">
    <w:name w:val="Body Text"/>
    <w:basedOn w:val="Normal"/>
    <w:semiHidden/>
    <w:rsid w:val="002443F2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2443F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rsid w:val="002443F2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2443F2"/>
  </w:style>
  <w:style w:type="paragraph" w:styleId="BodyText2">
    <w:name w:val="Body Text 2"/>
    <w:basedOn w:val="Normal"/>
    <w:link w:val="BodyText2Char"/>
    <w:uiPriority w:val="99"/>
    <w:semiHidden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B6C08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D77"/>
    <w:rPr>
      <w:rFonts w:ascii="Tahoma" w:hAnsi="Tahoma" w:cs="Tahoma"/>
      <w:sz w:val="16"/>
      <w:szCs w:val="16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14B0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4B02"/>
    <w:rPr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814B02"/>
    <w:rPr>
      <w:vertAlign w:val="superscri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5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4F32C0"/>
    <w:rPr>
      <w:rFonts w:cs="Traditional Arabic"/>
      <w:snapToGrid w:val="0"/>
    </w:rPr>
  </w:style>
  <w:style w:type="table" w:styleId="TableGrid">
    <w:name w:val="Table Grid"/>
    <w:basedOn w:val="TableNormal"/>
    <w:uiPriority w:val="59"/>
    <w:rsid w:val="00A402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1"/>
  <c:chart>
    <c:autoTitleDeleted val="1"/>
    <c:plotArea>
      <c:layout>
        <c:manualLayout>
          <c:layoutTarget val="inner"/>
          <c:xMode val="edge"/>
          <c:yMode val="edge"/>
          <c:x val="7.0461926204178821E-2"/>
          <c:y val="1.7957554256645903E-2"/>
          <c:w val="0.92953807379582143"/>
          <c:h val="0.60109151469577593"/>
        </c:manualLayout>
      </c:layout>
      <c:barChart>
        <c:barDir val="col"/>
        <c:grouping val="clustered"/>
        <c:ser>
          <c:idx val="0"/>
          <c:order val="0"/>
          <c:tx>
            <c:strRef>
              <c:f>'Sheet1'!$B$1</c:f>
              <c:strCache>
                <c:ptCount val="1"/>
                <c:pt idx="0">
                  <c:v>2011</c:v>
                </c:pt>
              </c:strCache>
            </c:strRef>
          </c:tx>
          <c:dLbls>
            <c:dLbl>
              <c:idx val="0"/>
              <c:layout>
                <c:manualLayout>
                  <c:x val="1.7588136900738495E-2"/>
                  <c:y val="9.259259259259453E-3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2.0875019957355143E-3"/>
                  <c:y val="1.2472295129775438E-2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1.7588136900738495E-2"/>
                  <c:y val="1.4628171478565401E-2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-6.8101208781534499E-4"/>
                  <c:y val="1.5052007387965543E-2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 val="-2.0652622883106212E-2"/>
                  <c:y val="8.1466395112018072E-3"/>
                </c:manualLayout>
              </c:layout>
              <c:dLblPos val="outEnd"/>
              <c:showVal val="1"/>
            </c:dLbl>
            <c:dLbl>
              <c:idx val="5"/>
              <c:layout>
                <c:manualLayout>
                  <c:x val="-9.2825946500862209E-3"/>
                  <c:y val="2.0863225430154696E-2"/>
                </c:manualLayout>
              </c:layout>
              <c:dLblPos val="outEnd"/>
              <c:showVal val="1"/>
            </c:dLbl>
            <c:dLbl>
              <c:idx val="6"/>
              <c:layout>
                <c:manualLayout>
                  <c:x val="-5.1520563909045504E-3"/>
                  <c:y val="1.5558957908039276E-2"/>
                </c:manualLayout>
              </c:layout>
              <c:dLblPos val="outEnd"/>
              <c:showVal val="1"/>
            </c:dLbl>
            <c:dLbl>
              <c:idx val="7"/>
              <c:layout>
                <c:manualLayout>
                  <c:x val="-1.2391614777544363E-2"/>
                  <c:y val="9.075046174783918E-3"/>
                </c:manualLayout>
              </c:layout>
              <c:dLblPos val="outEnd"/>
              <c:showVal val="1"/>
            </c:dLbl>
            <c:dLbl>
              <c:idx val="8"/>
              <c:layout>
                <c:manualLayout>
                  <c:x val="-1.6522153036726221E-2"/>
                  <c:y val="1.7405949256343003E-2"/>
                </c:manualLayout>
              </c:layout>
              <c:dLblPos val="outEnd"/>
              <c:showVal val="1"/>
            </c:dLbl>
            <c:dLbl>
              <c:idx val="9"/>
              <c:layout>
                <c:manualLayout>
                  <c:x val="-1.3594355751402717E-2"/>
                  <c:y val="2.1669525946128244E-2"/>
                </c:manualLayout>
              </c:layout>
              <c:dLblPos val="outEnd"/>
              <c:showVal val="1"/>
            </c:dLbl>
            <c:dLbl>
              <c:idx val="10"/>
              <c:layout>
                <c:manualLayout>
                  <c:x val="-5.8330684787199346E-3"/>
                  <c:y val="2.4385146301156801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8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dLblPos val="outEnd"/>
            <c:showVal val="1"/>
          </c:dLbls>
          <c:cat>
            <c:strRef>
              <c:f>'Sheet1'!$A$2:$A$12</c:f>
              <c:strCache>
                <c:ptCount val="11"/>
                <c:pt idx="0">
                  <c:v>الطعام</c:v>
                </c:pt>
                <c:pt idx="1">
                  <c:v>الملابس والأحذية</c:v>
                </c:pt>
                <c:pt idx="2">
                  <c:v>المسكن</c:v>
                </c:pt>
                <c:pt idx="3">
                  <c:v>التجهيزات المنزلية</c:v>
                </c:pt>
                <c:pt idx="4">
                  <c:v>وسائل النقل والاتصالات</c:v>
                </c:pt>
                <c:pt idx="5">
                  <c:v>التعليم</c:v>
                </c:pt>
                <c:pt idx="6">
                  <c:v>الرعاية الطبية </c:v>
                </c:pt>
                <c:pt idx="7">
                  <c:v>التبغ والسجائر</c:v>
                </c:pt>
                <c:pt idx="8">
                  <c:v>التحويلات النقدية المفوعة</c:v>
                </c:pt>
                <c:pt idx="9">
                  <c:v>العناية الشخصية </c:v>
                </c:pt>
                <c:pt idx="10">
                  <c:v>نفقات غير استهلاكية أخرى</c:v>
                </c:pt>
              </c:strCache>
            </c:strRef>
          </c:cat>
          <c:val>
            <c:numRef>
              <c:f>'Sheet1'!$B$2:$B$12</c:f>
              <c:numCache>
                <c:formatCode>General</c:formatCode>
                <c:ptCount val="11"/>
                <c:pt idx="0">
                  <c:v>35.9</c:v>
                </c:pt>
                <c:pt idx="1">
                  <c:v>6.6</c:v>
                </c:pt>
                <c:pt idx="2">
                  <c:v>8.7000000000000011</c:v>
                </c:pt>
                <c:pt idx="3">
                  <c:v>5.8</c:v>
                </c:pt>
                <c:pt idx="4">
                  <c:v>14.7</c:v>
                </c:pt>
                <c:pt idx="5" formatCode="0.0">
                  <c:v>3</c:v>
                </c:pt>
                <c:pt idx="6">
                  <c:v>3.7</c:v>
                </c:pt>
                <c:pt idx="7">
                  <c:v>4.5999999999999996</c:v>
                </c:pt>
                <c:pt idx="8">
                  <c:v>3.5</c:v>
                </c:pt>
                <c:pt idx="9">
                  <c:v>1.5</c:v>
                </c:pt>
                <c:pt idx="10">
                  <c:v>5.2</c:v>
                </c:pt>
              </c:numCache>
            </c:numRef>
          </c:val>
        </c:ser>
        <c:ser>
          <c:idx val="1"/>
          <c:order val="1"/>
          <c:tx>
            <c:strRef>
              <c:f>'Sheet1'!$C$1</c:f>
              <c:strCache>
                <c:ptCount val="1"/>
                <c:pt idx="0">
                  <c:v>2017</c:v>
                </c:pt>
              </c:strCache>
            </c:strRef>
          </c:tx>
          <c:dLbls>
            <c:dLbl>
              <c:idx val="0"/>
              <c:layout>
                <c:manualLayout>
                  <c:x val="2.6915197283114461E-2"/>
                  <c:y val="1.4834256829007499E-3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1.5500634905003021E-2"/>
                  <c:y val="1.9078448527267425E-2"/>
                </c:manualLayout>
              </c:layout>
              <c:dLblPos val="outEnd"/>
              <c:showVal val="1"/>
            </c:dLbl>
            <c:dLbl>
              <c:idx val="2"/>
              <c:delete val="1"/>
            </c:dLbl>
            <c:dLbl>
              <c:idx val="3"/>
              <c:layout>
                <c:manualLayout>
                  <c:x val="1.8269148988553807E-2"/>
                  <c:y val="2.1791581607854601E-2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 val="2.069715702819715E-2"/>
                  <c:y val="1.5432098765432273E-2"/>
                </c:manualLayout>
              </c:layout>
              <c:dLblPos val="outEnd"/>
              <c:showVal val="1"/>
            </c:dLbl>
            <c:dLbl>
              <c:idx val="5"/>
              <c:layout>
                <c:manualLayout>
                  <c:x val="2.0875019957355143E-3"/>
                  <c:y val="0"/>
                </c:manualLayout>
              </c:layout>
              <c:dLblPos val="outEnd"/>
              <c:showVal val="1"/>
            </c:dLbl>
            <c:dLbl>
              <c:idx val="6"/>
              <c:layout>
                <c:manualLayout>
                  <c:x val="1.7588136900738495E-2"/>
                  <c:y val="3.1605910372315221E-2"/>
                </c:manualLayout>
              </c:layout>
              <c:dLblPos val="outEnd"/>
              <c:showVal val="1"/>
            </c:dLbl>
            <c:dLbl>
              <c:idx val="7"/>
              <c:layout>
                <c:manualLayout>
                  <c:x val="1.8950161076369331E-2"/>
                  <c:y val="1.333624963546234E-2"/>
                </c:manualLayout>
              </c:layout>
              <c:dLblPos val="outEnd"/>
              <c:showVal val="1"/>
            </c:dLbl>
            <c:dLbl>
              <c:idx val="8"/>
              <c:layout>
                <c:manualLayout>
                  <c:x val="9.3270603823754489E-3"/>
                  <c:y val="3.0864197530864608E-3"/>
                </c:manualLayout>
              </c:layout>
              <c:dLblPos val="outEnd"/>
              <c:showVal val="1"/>
            </c:dLbl>
            <c:dLbl>
              <c:idx val="9"/>
              <c:layout>
                <c:manualLayout>
                  <c:x val="1.4425903184120336E-2"/>
                  <c:y val="1.2181996803472192E-2"/>
                </c:manualLayout>
              </c:layout>
              <c:dLblPos val="outEnd"/>
              <c:showVal val="1"/>
            </c:dLbl>
            <c:dLbl>
              <c:idx val="10"/>
              <c:layout>
                <c:manualLayout>
                  <c:x val="1.7588136900738495E-2"/>
                  <c:y val="-5.4311266647225588E-3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8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dLblPos val="outEnd"/>
            <c:showVal val="1"/>
          </c:dLbls>
          <c:cat>
            <c:strRef>
              <c:f>'Sheet1'!$A$2:$A$12</c:f>
              <c:strCache>
                <c:ptCount val="11"/>
                <c:pt idx="0">
                  <c:v>الطعام</c:v>
                </c:pt>
                <c:pt idx="1">
                  <c:v>الملابس والأحذية</c:v>
                </c:pt>
                <c:pt idx="2">
                  <c:v>المسكن</c:v>
                </c:pt>
                <c:pt idx="3">
                  <c:v>التجهيزات المنزلية</c:v>
                </c:pt>
                <c:pt idx="4">
                  <c:v>وسائل النقل والاتصالات</c:v>
                </c:pt>
                <c:pt idx="5">
                  <c:v>التعليم</c:v>
                </c:pt>
                <c:pt idx="6">
                  <c:v>الرعاية الطبية </c:v>
                </c:pt>
                <c:pt idx="7">
                  <c:v>التبغ والسجائر</c:v>
                </c:pt>
                <c:pt idx="8">
                  <c:v>التحويلات النقدية المفوعة</c:v>
                </c:pt>
                <c:pt idx="9">
                  <c:v>العناية الشخصية </c:v>
                </c:pt>
                <c:pt idx="10">
                  <c:v>نفقات غير استهلاكية أخرى</c:v>
                </c:pt>
              </c:strCache>
            </c:strRef>
          </c:cat>
          <c:val>
            <c:numRef>
              <c:f>'Sheet1'!$C$2:$C$12</c:f>
              <c:numCache>
                <c:formatCode>General</c:formatCode>
                <c:ptCount val="11"/>
                <c:pt idx="0">
                  <c:v>30.5</c:v>
                </c:pt>
                <c:pt idx="1">
                  <c:v>5.2</c:v>
                </c:pt>
                <c:pt idx="2">
                  <c:v>8.7000000000000011</c:v>
                </c:pt>
                <c:pt idx="3">
                  <c:v>4.5999999999999996</c:v>
                </c:pt>
                <c:pt idx="4">
                  <c:v>18.5</c:v>
                </c:pt>
                <c:pt idx="5">
                  <c:v>4.0999999999999996</c:v>
                </c:pt>
                <c:pt idx="6">
                  <c:v>3.5</c:v>
                </c:pt>
                <c:pt idx="7">
                  <c:v>5.4</c:v>
                </c:pt>
                <c:pt idx="8">
                  <c:v>7.6</c:v>
                </c:pt>
                <c:pt idx="9">
                  <c:v>2.1</c:v>
                </c:pt>
                <c:pt idx="10">
                  <c:v>6.2</c:v>
                </c:pt>
              </c:numCache>
            </c:numRef>
          </c:val>
        </c:ser>
        <c:dLbls>
          <c:showVal val="1"/>
        </c:dLbls>
        <c:axId val="135913856"/>
        <c:axId val="135916160"/>
      </c:barChart>
      <c:catAx>
        <c:axId val="135913856"/>
        <c:scaling>
          <c:orientation val="minMax"/>
        </c:scaling>
        <c:axPos val="b"/>
        <c:tickLblPos val="nextTo"/>
        <c:txPr>
          <a:bodyPr rot="-5400000" vert="horz"/>
          <a:lstStyle/>
          <a:p>
            <a:pPr>
              <a:defRPr sz="850">
                <a:latin typeface="Simplified Arabic" pitchFamily="18" charset="-78"/>
                <a:cs typeface="Simplified Arabic" pitchFamily="18" charset="-78"/>
              </a:defRPr>
            </a:pPr>
            <a:endParaRPr lang="ar-SA"/>
          </a:p>
        </c:txPr>
        <c:crossAx val="135916160"/>
        <c:crosses val="autoZero"/>
        <c:auto val="1"/>
        <c:lblAlgn val="ctr"/>
        <c:lblOffset val="100"/>
      </c:catAx>
      <c:valAx>
        <c:axId val="135916160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35913856"/>
        <c:crosses val="autoZero"/>
        <c:crossBetween val="between"/>
      </c:valAx>
      <c:spPr>
        <a:noFill/>
        <a:ln>
          <a:noFill/>
        </a:ln>
      </c:spPr>
    </c:plotArea>
    <c:legend>
      <c:legendPos val="t"/>
      <c:layout>
        <c:manualLayout>
          <c:xMode val="edge"/>
          <c:yMode val="edge"/>
          <c:x val="0.70324405408272062"/>
          <c:y val="0.22750424448217538"/>
          <c:w val="0.26133048036420548"/>
          <c:h val="4.9226936910664418E-2"/>
        </c:manualLayout>
      </c:layout>
      <c:txPr>
        <a:bodyPr/>
        <a:lstStyle/>
        <a:p>
          <a:pPr>
            <a:defRPr sz="900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1"/>
  <c:chart>
    <c:autoTitleDeleted val="1"/>
    <c:plotArea>
      <c:layout>
        <c:manualLayout>
          <c:layoutTarget val="inner"/>
          <c:xMode val="edge"/>
          <c:yMode val="edge"/>
          <c:x val="9.6128332526253427E-2"/>
          <c:y val="3.0052023973585813E-2"/>
          <c:w val="0.85753636840045"/>
          <c:h val="0.77278643729921093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الضفة الغربية</c:v>
                </c:pt>
              </c:strCache>
            </c:strRef>
          </c:tx>
          <c:spPr>
            <a:ln w="38100">
              <a:solidFill>
                <a:schemeClr val="tx1">
                  <a:lumMod val="95000"/>
                  <a:lumOff val="5000"/>
                </a:schemeClr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4.2122999157540681E-3"/>
                  <c:y val="4.3410852713178349E-2"/>
                </c:manualLayout>
              </c:layout>
              <c:dLblPos val="r"/>
              <c:showVal val="1"/>
            </c:dLbl>
            <c:dLbl>
              <c:idx val="1"/>
              <c:layout>
                <c:manualLayout>
                  <c:x val="0"/>
                  <c:y val="3.7209302325581735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7.7224606350250191E-17"/>
                  <c:y val="5.5813953488372092E-2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 val="-2.527379949452431E-2"/>
                  <c:y val="1.24031007751938E-2"/>
                </c:manualLayout>
              </c:layout>
              <c:dLblPos val="r"/>
              <c:showVal val="1"/>
            </c:dLbl>
            <c:txPr>
              <a:bodyPr/>
              <a:lstStyle/>
              <a:p>
                <a:pPr>
                  <a:defRPr sz="8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dLblPos val="r"/>
            <c:showVal val="1"/>
          </c:dLbls>
          <c:cat>
            <c:numRef>
              <c:f>Sheet1!$A$2:$A$5</c:f>
              <c:numCache>
                <c:formatCode>General</c:formatCode>
                <c:ptCount val="4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2017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19.399999999999999</c:v>
                </c:pt>
                <c:pt idx="1">
                  <c:v>18.3</c:v>
                </c:pt>
                <c:pt idx="2">
                  <c:v>17.8</c:v>
                </c:pt>
                <c:pt idx="3">
                  <c:v>13.9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قطاع غزة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4.2122999157540681E-3"/>
                  <c:y val="-5.5813953488372092E-2"/>
                </c:manualLayout>
              </c:layout>
              <c:dLblPos val="r"/>
              <c:showVal val="1"/>
            </c:dLbl>
            <c:dLbl>
              <c:idx val="1"/>
              <c:layout>
                <c:manualLayout>
                  <c:x val="0"/>
                  <c:y val="-4.3410852713178287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-4.2122999157539823E-3"/>
                  <c:y val="-9.3023255813953543E-2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 val="-1.684919966301621E-2"/>
                  <c:y val="-4.645760743321758E-3"/>
                </c:manualLayout>
              </c:layout>
              <c:dLblPos val="r"/>
              <c:showVal val="1"/>
            </c:dLbl>
            <c:txPr>
              <a:bodyPr/>
              <a:lstStyle/>
              <a:p>
                <a:pPr>
                  <a:defRPr sz="8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dLblPos val="r"/>
            <c:showVal val="1"/>
          </c:dLbls>
          <c:cat>
            <c:numRef>
              <c:f>Sheet1!$A$2:$A$5</c:f>
              <c:numCache>
                <c:formatCode>General</c:formatCode>
                <c:ptCount val="4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2017</c:v>
                </c:pt>
              </c:numCache>
            </c:numRef>
          </c:cat>
          <c:val>
            <c:numRef>
              <c:f>Sheet1!$C$2:$C$5</c:f>
              <c:numCache>
                <c:formatCode>0.0</c:formatCode>
                <c:ptCount val="4"/>
                <c:pt idx="0" formatCode="General">
                  <c:v>38.300000000000004</c:v>
                </c:pt>
                <c:pt idx="1">
                  <c:v>38</c:v>
                </c:pt>
                <c:pt idx="2" formatCode="General">
                  <c:v>38.800000000000004</c:v>
                </c:pt>
                <c:pt idx="3">
                  <c:v>53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فلسطين</c:v>
                </c:pt>
              </c:strCache>
            </c:strRef>
          </c:tx>
          <c:spPr>
            <a:ln w="31750"/>
          </c:spPr>
          <c:marker>
            <c:symbol val="none"/>
          </c:marker>
          <c:dLbls>
            <c:dLbl>
              <c:idx val="0"/>
              <c:layout>
                <c:manualLayout>
                  <c:x val="0"/>
                  <c:y val="-2.48062015503876E-2"/>
                </c:manualLayout>
              </c:layout>
              <c:dLblPos val="r"/>
              <c:showVal val="1"/>
            </c:dLbl>
            <c:dLbl>
              <c:idx val="1"/>
              <c:layout>
                <c:manualLayout>
                  <c:x val="4.2122999157540681E-3"/>
                  <c:y val="-2.48062015503876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7.7224606350250191E-17"/>
                  <c:y val="-3.7209302325581672E-2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 val="-2.1061499578770012E-2"/>
                  <c:y val="-9.2915214866434379E-3"/>
                </c:manualLayout>
              </c:layout>
              <c:dLblPos val="r"/>
              <c:showVal val="1"/>
            </c:dLbl>
            <c:txPr>
              <a:bodyPr/>
              <a:lstStyle/>
              <a:p>
                <a:pPr>
                  <a:defRPr sz="8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dLblPos val="r"/>
            <c:showVal val="1"/>
          </c:dLbls>
          <c:cat>
            <c:numRef>
              <c:f>Sheet1!$A$2:$A$5</c:f>
              <c:numCache>
                <c:formatCode>General</c:formatCode>
                <c:ptCount val="4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2017</c:v>
                </c:pt>
              </c:numCache>
            </c:numRef>
          </c:cat>
          <c:val>
            <c:numRef>
              <c:f>Sheet1!$D$2:$D$5</c:f>
              <c:numCache>
                <c:formatCode>General</c:formatCode>
                <c:ptCount val="4"/>
                <c:pt idx="0">
                  <c:v>26.2</c:v>
                </c:pt>
                <c:pt idx="1">
                  <c:v>25.7</c:v>
                </c:pt>
                <c:pt idx="2">
                  <c:v>25.8</c:v>
                </c:pt>
                <c:pt idx="3">
                  <c:v>29.2</c:v>
                </c:pt>
              </c:numCache>
            </c:numRef>
          </c:val>
        </c:ser>
        <c:dLbls>
          <c:showVal val="1"/>
        </c:dLbls>
        <c:marker val="1"/>
        <c:axId val="180988160"/>
        <c:axId val="180989952"/>
      </c:lineChart>
      <c:catAx>
        <c:axId val="18098816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80989952"/>
        <c:crosses val="autoZero"/>
        <c:auto val="1"/>
        <c:lblAlgn val="ctr"/>
        <c:lblOffset val="100"/>
      </c:catAx>
      <c:valAx>
        <c:axId val="180989952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80988160"/>
        <c:crosses val="autoZero"/>
        <c:crossBetween val="between"/>
      </c:valAx>
    </c:plotArea>
    <c:legend>
      <c:legendPos val="b"/>
      <c:txPr>
        <a:bodyPr/>
        <a:lstStyle/>
        <a:p>
          <a:pPr>
            <a:defRPr sz="800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C29D5-1178-46E6-9426-30D81D849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6399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loays</cp:lastModifiedBy>
  <cp:revision>4</cp:revision>
  <cp:lastPrinted>2018-04-04T06:01:00Z</cp:lastPrinted>
  <dcterms:created xsi:type="dcterms:W3CDTF">2018-04-04T06:08:00Z</dcterms:created>
  <dcterms:modified xsi:type="dcterms:W3CDTF">2018-04-05T11:34:00Z</dcterms:modified>
</cp:coreProperties>
</file>