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52" w:rsidRDefault="00E01952" w:rsidP="00740B36">
      <w:pPr>
        <w:tabs>
          <w:tab w:val="num" w:pos="1215"/>
        </w:tabs>
        <w:jc w:val="center"/>
        <w:rPr>
          <w:rFonts w:cs="Simplified Arabic" w:hint="cs"/>
          <w:b/>
          <w:bCs/>
          <w:sz w:val="28"/>
          <w:szCs w:val="28"/>
          <w:rtl/>
        </w:rPr>
      </w:pPr>
      <w:bookmarkStart w:id="0" w:name="OLE_LINK3"/>
      <w:bookmarkStart w:id="1" w:name="OLE_LINK4"/>
      <w:bookmarkStart w:id="2" w:name="OLE_LINK5"/>
      <w:bookmarkStart w:id="3" w:name="OLE_LINK6"/>
    </w:p>
    <w:p w:rsidR="003D559B" w:rsidRPr="00E01952" w:rsidRDefault="00D33E51" w:rsidP="00740B36">
      <w:pPr>
        <w:tabs>
          <w:tab w:val="num" w:pos="1215"/>
        </w:tabs>
        <w:jc w:val="center"/>
        <w:rPr>
          <w:rFonts w:cs="Simplified Arabic" w:hint="cs"/>
          <w:b/>
          <w:bCs/>
          <w:sz w:val="32"/>
          <w:szCs w:val="32"/>
          <w:rtl/>
        </w:rPr>
      </w:pPr>
      <w:r w:rsidRPr="00E01952">
        <w:rPr>
          <w:rFonts w:cs="Simplified Arabic" w:hint="cs"/>
          <w:b/>
          <w:bCs/>
          <w:sz w:val="32"/>
          <w:szCs w:val="32"/>
          <w:rtl/>
        </w:rPr>
        <w:t>الإحصاء</w:t>
      </w:r>
      <w:r w:rsidR="000A048D" w:rsidRPr="00E01952">
        <w:rPr>
          <w:rFonts w:cs="Simplified Arabic" w:hint="cs"/>
          <w:b/>
          <w:bCs/>
          <w:sz w:val="32"/>
          <w:szCs w:val="32"/>
          <w:rtl/>
        </w:rPr>
        <w:t xml:space="preserve"> الفلسطيني ووزارة الاتصالات وتكنولوجيا المعلومات يصدران بيانا</w:t>
      </w:r>
      <w:r w:rsidR="00184492" w:rsidRPr="00E01952">
        <w:rPr>
          <w:rFonts w:cs="Simplified Arabic" w:hint="cs"/>
          <w:b/>
          <w:bCs/>
          <w:sz w:val="32"/>
          <w:szCs w:val="32"/>
          <w:rtl/>
        </w:rPr>
        <w:t>ً</w:t>
      </w:r>
      <w:r w:rsidR="000A048D" w:rsidRPr="00E01952">
        <w:rPr>
          <w:rFonts w:cs="Simplified Arabic" w:hint="cs"/>
          <w:b/>
          <w:bCs/>
          <w:sz w:val="32"/>
          <w:szCs w:val="32"/>
          <w:rtl/>
        </w:rPr>
        <w:t xml:space="preserve"> صحفيا</w:t>
      </w:r>
      <w:r w:rsidR="00184492" w:rsidRPr="00E01952">
        <w:rPr>
          <w:rFonts w:cs="Simplified Arabic" w:hint="cs"/>
          <w:b/>
          <w:bCs/>
          <w:sz w:val="32"/>
          <w:szCs w:val="32"/>
          <w:rtl/>
        </w:rPr>
        <w:t>ً</w:t>
      </w:r>
      <w:r w:rsidR="000A048D" w:rsidRPr="00E01952">
        <w:rPr>
          <w:rFonts w:cs="Simplified Arabic" w:hint="cs"/>
          <w:b/>
          <w:bCs/>
          <w:sz w:val="32"/>
          <w:szCs w:val="32"/>
          <w:rtl/>
        </w:rPr>
        <w:t xml:space="preserve"> مشتركا</w:t>
      </w:r>
      <w:r w:rsidR="00184492" w:rsidRPr="00E01952">
        <w:rPr>
          <w:rFonts w:cs="Simplified Arabic" w:hint="cs"/>
          <w:b/>
          <w:bCs/>
          <w:sz w:val="32"/>
          <w:szCs w:val="32"/>
          <w:rtl/>
        </w:rPr>
        <w:t>ً</w:t>
      </w:r>
      <w:r w:rsidR="000A048D" w:rsidRPr="00E01952">
        <w:rPr>
          <w:rFonts w:cs="Simplified Arabic" w:hint="cs"/>
          <w:b/>
          <w:bCs/>
          <w:sz w:val="32"/>
          <w:szCs w:val="32"/>
          <w:rtl/>
        </w:rPr>
        <w:t xml:space="preserve"> بمناسبة اليوم العالمي</w:t>
      </w:r>
      <w:r w:rsidR="00997959" w:rsidRPr="00E01952">
        <w:rPr>
          <w:rFonts w:cs="Simplified Arabic" w:hint="cs"/>
          <w:b/>
          <w:bCs/>
          <w:sz w:val="32"/>
          <w:szCs w:val="32"/>
          <w:rtl/>
        </w:rPr>
        <w:t xml:space="preserve"> للاتصالات</w:t>
      </w:r>
      <w:r w:rsidR="000A048D" w:rsidRPr="00E01952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997959" w:rsidRPr="00E01952">
        <w:rPr>
          <w:rFonts w:cs="Simplified Arabic" w:hint="cs"/>
          <w:b/>
          <w:bCs/>
          <w:sz w:val="32"/>
          <w:szCs w:val="32"/>
          <w:rtl/>
        </w:rPr>
        <w:t>و</w:t>
      </w:r>
      <w:r w:rsidR="000A048D" w:rsidRPr="00E01952">
        <w:rPr>
          <w:rFonts w:cs="Simplified Arabic" w:hint="cs"/>
          <w:b/>
          <w:bCs/>
          <w:sz w:val="32"/>
          <w:szCs w:val="32"/>
          <w:rtl/>
        </w:rPr>
        <w:t>مجتمع المعلومات</w:t>
      </w:r>
      <w:r w:rsidR="00740B36" w:rsidRPr="00E01952">
        <w:rPr>
          <w:rFonts w:cs="Simplified Arabic" w:hint="cs"/>
          <w:b/>
          <w:bCs/>
          <w:sz w:val="32"/>
          <w:szCs w:val="32"/>
          <w:rtl/>
        </w:rPr>
        <w:t xml:space="preserve"> والذي يصادف السابع عشر من أيار</w:t>
      </w:r>
    </w:p>
    <w:p w:rsidR="00740B36" w:rsidRPr="00740B36" w:rsidRDefault="00740B36" w:rsidP="00740B36">
      <w:pPr>
        <w:tabs>
          <w:tab w:val="num" w:pos="1215"/>
        </w:tabs>
        <w:jc w:val="center"/>
        <w:rPr>
          <w:rFonts w:cs="Simplified Arabic"/>
          <w:b/>
          <w:bCs/>
          <w:sz w:val="28"/>
          <w:szCs w:val="28"/>
          <w:rtl/>
        </w:rPr>
      </w:pPr>
    </w:p>
    <w:p w:rsidR="000A048D" w:rsidRPr="00024C06" w:rsidRDefault="000A048D" w:rsidP="00E519DD">
      <w:pPr>
        <w:tabs>
          <w:tab w:val="num" w:pos="1215"/>
        </w:tabs>
        <w:jc w:val="both"/>
        <w:rPr>
          <w:rFonts w:cs="Simplified Arabic"/>
          <w:sz w:val="16"/>
          <w:szCs w:val="16"/>
          <w:rtl/>
        </w:rPr>
      </w:pPr>
    </w:p>
    <w:p w:rsidR="005D1F7E" w:rsidRDefault="005D1F7E" w:rsidP="00BB0A5D">
      <w:pPr>
        <w:tabs>
          <w:tab w:val="num" w:pos="1215"/>
        </w:tabs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740B36">
        <w:rPr>
          <w:rFonts w:ascii="Simplified Arabic" w:hAnsi="Simplified Arabic" w:cs="Simplified Arabic"/>
          <w:b/>
          <w:bCs/>
          <w:sz w:val="26"/>
          <w:szCs w:val="26"/>
        </w:rPr>
        <w:t>4.2</w:t>
      </w:r>
      <w:r w:rsidRPr="00740B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مليون </w:t>
      </w:r>
      <w:r w:rsidR="00BB0A5D" w:rsidRPr="00740B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اشتراك</w:t>
      </w:r>
      <w:r w:rsidRPr="00740B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9833B5" w:rsidRPr="00740B36">
        <w:rPr>
          <w:rFonts w:ascii="Simplified Arabic" w:hAnsi="Simplified Arabic" w:cs="Simplified Arabic"/>
          <w:b/>
          <w:bCs/>
          <w:sz w:val="26"/>
          <w:szCs w:val="26"/>
          <w:rtl/>
        </w:rPr>
        <w:t>في الاتصالات الخلوية المتنقلة</w:t>
      </w:r>
    </w:p>
    <w:p w:rsidR="00E01952" w:rsidRPr="00E01952" w:rsidRDefault="00E01952" w:rsidP="00BB0A5D">
      <w:pPr>
        <w:tabs>
          <w:tab w:val="num" w:pos="1215"/>
        </w:tabs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EB76D1" w:rsidRDefault="00652CB8" w:rsidP="00BB0A5D">
      <w:pPr>
        <w:pStyle w:val="Heading1"/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</w:pPr>
      <w:r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ارتفع</w:t>
      </w:r>
      <w:r w:rsidR="00163E6A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عدد </w:t>
      </w:r>
      <w:r w:rsidR="00EB76D1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الاشتراكات </w:t>
      </w:r>
      <w:r w:rsidR="00FE2B01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في الاتصالات الخلوية</w:t>
      </w:r>
      <w:r w:rsidR="00EB76D1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المتنقلة </w:t>
      </w:r>
      <w:r w:rsidR="00FE2B01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في فلسطين </w:t>
      </w:r>
      <w:r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مع</w:t>
      </w:r>
      <w:r w:rsidR="00EB76D1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نهاية </w:t>
      </w:r>
      <w:r w:rsidR="002634E1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ال</w:t>
      </w:r>
      <w:r w:rsidR="00EB76D1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عام </w:t>
      </w:r>
      <w:r w:rsidR="007322BA" w:rsidRPr="00740B36">
        <w:rPr>
          <w:rFonts w:ascii="Simplified Arabic" w:hAnsi="Simplified Arabic" w:cs="Simplified Arabic"/>
          <w:b w:val="0"/>
          <w:bCs w:val="0"/>
          <w:sz w:val="26"/>
          <w:szCs w:val="26"/>
          <w:lang w:eastAsia="ar-SA"/>
        </w:rPr>
        <w:t>2019</w:t>
      </w:r>
      <w:r w:rsidR="00EB76D1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لتصل </w:t>
      </w:r>
      <w:r w:rsidR="00074288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إلى</w:t>
      </w:r>
      <w:r w:rsidR="00EB76D1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="00D22C97" w:rsidRPr="00740B36">
        <w:rPr>
          <w:rFonts w:ascii="Simplified Arabic" w:hAnsi="Simplified Arabic" w:cs="Simplified Arabic"/>
          <w:b w:val="0"/>
          <w:bCs w:val="0"/>
          <w:sz w:val="26"/>
          <w:szCs w:val="26"/>
          <w:lang w:eastAsia="ar-SA"/>
        </w:rPr>
        <w:t>4</w:t>
      </w:r>
      <w:r w:rsidR="00CD5BE3" w:rsidRPr="00740B36">
        <w:rPr>
          <w:rFonts w:ascii="Simplified Arabic" w:hAnsi="Simplified Arabic" w:cs="Simplified Arabic"/>
          <w:b w:val="0"/>
          <w:bCs w:val="0"/>
          <w:sz w:val="26"/>
          <w:szCs w:val="26"/>
          <w:lang w:val="en-GB" w:eastAsia="ar-SA"/>
        </w:rPr>
        <w:t>.</w:t>
      </w:r>
      <w:r w:rsidR="007322BA" w:rsidRPr="00740B36">
        <w:rPr>
          <w:rFonts w:ascii="Simplified Arabic" w:hAnsi="Simplified Arabic" w:cs="Simplified Arabic"/>
          <w:b w:val="0"/>
          <w:bCs w:val="0"/>
          <w:sz w:val="26"/>
          <w:szCs w:val="26"/>
          <w:lang w:val="en-GB" w:eastAsia="ar-SA"/>
        </w:rPr>
        <w:t>2</w:t>
      </w:r>
      <w:r w:rsidR="00EB76D1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="00CD5BE3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مليون </w:t>
      </w:r>
      <w:r w:rsidR="00BB0A5D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اشتراك</w:t>
      </w:r>
      <w:r w:rsidR="00FE2B01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،</w:t>
      </w:r>
      <w:r w:rsidR="00EB76D1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مقارنة مع </w:t>
      </w:r>
      <w:r w:rsidR="00EB76D1" w:rsidRPr="00740B36">
        <w:rPr>
          <w:rFonts w:ascii="Simplified Arabic" w:hAnsi="Simplified Arabic" w:cs="Simplified Arabic"/>
          <w:b w:val="0"/>
          <w:bCs w:val="0"/>
          <w:sz w:val="26"/>
          <w:szCs w:val="26"/>
          <w:lang w:eastAsia="ar-SA"/>
        </w:rPr>
        <w:t>2</w:t>
      </w:r>
      <w:r w:rsidR="00CD5BE3" w:rsidRPr="00740B36">
        <w:rPr>
          <w:rFonts w:ascii="Simplified Arabic" w:hAnsi="Simplified Arabic" w:cs="Simplified Arabic"/>
          <w:b w:val="0"/>
          <w:bCs w:val="0"/>
          <w:sz w:val="26"/>
          <w:szCs w:val="26"/>
          <w:lang w:eastAsia="ar-SA"/>
        </w:rPr>
        <w:t>.6</w:t>
      </w:r>
      <w:r w:rsidR="00EB76D1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="00CB62B2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مليون </w:t>
      </w:r>
      <w:r w:rsidR="00BB0A5D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اشتراك</w:t>
      </w:r>
      <w:r w:rsidR="00BB0A5D" w:rsidRPr="00740B36">
        <w:rPr>
          <w:rFonts w:hint="cs"/>
          <w:sz w:val="26"/>
          <w:szCs w:val="26"/>
          <w:rtl/>
        </w:rPr>
        <w:t xml:space="preserve"> </w:t>
      </w:r>
      <w:r w:rsidR="00EB76D1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في نهاية </w:t>
      </w:r>
      <w:r w:rsidR="00FE2B01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ال</w:t>
      </w:r>
      <w:r w:rsidR="00EB76D1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عام </w:t>
      </w:r>
      <w:r w:rsidR="009A79C0" w:rsidRPr="00740B36">
        <w:rPr>
          <w:rFonts w:ascii="Simplified Arabic" w:hAnsi="Simplified Arabic" w:cs="Simplified Arabic"/>
          <w:b w:val="0"/>
          <w:bCs w:val="0"/>
          <w:sz w:val="26"/>
          <w:szCs w:val="26"/>
          <w:lang w:eastAsia="ar-SA"/>
        </w:rPr>
        <w:t>2010</w:t>
      </w:r>
      <w:r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،</w:t>
      </w:r>
      <w:r w:rsidR="00DB6409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="00EB76D1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أي بزيادة</w:t>
      </w:r>
      <w:r w:rsidR="00FE2B01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نسبتها</w:t>
      </w:r>
      <w:r w:rsidR="00EB76D1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="009A79C0" w:rsidRPr="00740B36">
        <w:rPr>
          <w:rFonts w:ascii="Simplified Arabic" w:hAnsi="Simplified Arabic" w:cs="Simplified Arabic"/>
          <w:b w:val="0"/>
          <w:bCs w:val="0"/>
          <w:sz w:val="26"/>
          <w:szCs w:val="26"/>
          <w:lang w:eastAsia="ar-SA"/>
        </w:rPr>
        <w:t>6</w:t>
      </w:r>
      <w:r w:rsidR="007322BA" w:rsidRPr="00740B36">
        <w:rPr>
          <w:rFonts w:ascii="Simplified Arabic" w:hAnsi="Simplified Arabic" w:cs="Simplified Arabic"/>
          <w:b w:val="0"/>
          <w:bCs w:val="0"/>
          <w:sz w:val="26"/>
          <w:szCs w:val="26"/>
          <w:lang w:eastAsia="ar-SA"/>
        </w:rPr>
        <w:t>3</w:t>
      </w:r>
      <w:r w:rsidR="00631741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%</w:t>
      </w:r>
      <w:r w:rsidR="00FE2B01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، </w:t>
      </w:r>
      <w:r w:rsidR="0074250C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وهو ما يظهر جليا</w:t>
      </w:r>
      <w:r w:rsidR="008A0412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ً</w:t>
      </w:r>
      <w:r w:rsidR="0074250C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في</w:t>
      </w:r>
      <w:r w:rsidR="009F79F3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="002A3612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معدل</w:t>
      </w:r>
      <w:r w:rsidR="009F79F3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="00D1196E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انتشا</w:t>
      </w:r>
      <w:r w:rsidR="00D1196E" w:rsidRPr="00740B36">
        <w:rPr>
          <w:rFonts w:ascii="Simplified Arabic" w:hAnsi="Simplified Arabic" w:cs="Simplified Arabic" w:hint="eastAsia"/>
          <w:b w:val="0"/>
          <w:bCs w:val="0"/>
          <w:sz w:val="26"/>
          <w:szCs w:val="26"/>
          <w:rtl/>
          <w:lang w:eastAsia="ar-SA"/>
        </w:rPr>
        <w:t>ر</w:t>
      </w:r>
      <w:r w:rsidR="009F79F3" w:rsidRPr="00740B36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الهاتف </w:t>
      </w:r>
      <w:r w:rsidR="00D1196E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النقال</w:t>
      </w:r>
      <w:r w:rsidR="009F79F3" w:rsidRPr="00740B36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2D3178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لكل </w:t>
      </w:r>
      <w:r w:rsidR="009A79C0" w:rsidRPr="00740B36">
        <w:rPr>
          <w:rFonts w:ascii="Simplified Arabic" w:hAnsi="Simplified Arabic" w:cs="Simplified Arabic"/>
          <w:b w:val="0"/>
          <w:bCs w:val="0"/>
          <w:sz w:val="26"/>
          <w:szCs w:val="26"/>
          <w:lang w:eastAsia="ar-SA"/>
        </w:rPr>
        <w:t>100</w:t>
      </w:r>
      <w:r w:rsidR="002D3178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من السكان</w:t>
      </w:r>
      <w:r w:rsidR="0074250C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حيث بلغ</w:t>
      </w:r>
      <w:r w:rsidR="002D3178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="002A330E" w:rsidRPr="00740B36">
        <w:rPr>
          <w:rFonts w:ascii="Simplified Arabic" w:hAnsi="Simplified Arabic" w:cs="Simplified Arabic"/>
          <w:b w:val="0"/>
          <w:bCs w:val="0"/>
          <w:sz w:val="26"/>
          <w:szCs w:val="26"/>
          <w:lang w:eastAsia="ar-SA"/>
        </w:rPr>
        <w:t>85</w:t>
      </w:r>
      <w:r w:rsidR="002A330E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="002D3178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هاتف نقال </w:t>
      </w:r>
      <w:r w:rsidR="00A75CC0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لكل 100 من السكان </w:t>
      </w:r>
      <w:r w:rsidR="009F79F3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في نهاية </w:t>
      </w:r>
      <w:r w:rsidR="0039265B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ال</w:t>
      </w:r>
      <w:r w:rsidR="009F79F3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عام </w:t>
      </w:r>
      <w:r w:rsidR="007322BA" w:rsidRPr="00740B36">
        <w:rPr>
          <w:rFonts w:ascii="Simplified Arabic" w:hAnsi="Simplified Arabic" w:cs="Simplified Arabic"/>
          <w:b w:val="0"/>
          <w:bCs w:val="0"/>
          <w:sz w:val="26"/>
          <w:szCs w:val="26"/>
          <w:lang w:eastAsia="ar-SA"/>
        </w:rPr>
        <w:t>2019</w:t>
      </w:r>
      <w:r w:rsidR="009F79F3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مقارنة مع </w:t>
      </w:r>
      <w:r w:rsidR="00D122CE" w:rsidRPr="00740B36">
        <w:rPr>
          <w:rFonts w:ascii="Simplified Arabic" w:hAnsi="Simplified Arabic" w:cs="Simplified Arabic"/>
          <w:b w:val="0"/>
          <w:bCs w:val="0"/>
          <w:sz w:val="26"/>
          <w:szCs w:val="26"/>
          <w:lang w:eastAsia="ar-SA"/>
        </w:rPr>
        <w:t>65</w:t>
      </w:r>
      <w:r w:rsidR="00D122CE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="002D3178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هاتف نقال</w:t>
      </w:r>
      <w:r w:rsidR="009F79F3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 </w:t>
      </w:r>
      <w:r w:rsidR="00A75CC0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لكل 100 من السكان </w:t>
      </w:r>
      <w:r w:rsidR="009F79F3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في نهاية </w:t>
      </w:r>
      <w:r w:rsidR="0039265B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ال</w:t>
      </w:r>
      <w:r w:rsidR="009F79F3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 xml:space="preserve">عام </w:t>
      </w:r>
      <w:r w:rsidR="009A79C0" w:rsidRPr="00740B36">
        <w:rPr>
          <w:rFonts w:ascii="Simplified Arabic" w:hAnsi="Simplified Arabic" w:cs="Simplified Arabic"/>
          <w:b w:val="0"/>
          <w:bCs w:val="0"/>
          <w:sz w:val="26"/>
          <w:szCs w:val="26"/>
          <w:lang w:eastAsia="ar-SA"/>
        </w:rPr>
        <w:t>2010</w:t>
      </w:r>
      <w:r w:rsidR="009F79F3" w:rsidRPr="00740B36">
        <w:rPr>
          <w:rFonts w:ascii="Simplified Arabic" w:hAnsi="Simplified Arabic" w:cs="Simplified Arabic" w:hint="cs"/>
          <w:b w:val="0"/>
          <w:bCs w:val="0"/>
          <w:sz w:val="26"/>
          <w:szCs w:val="26"/>
          <w:rtl/>
          <w:lang w:eastAsia="ar-SA"/>
        </w:rPr>
        <w:t>.</w:t>
      </w:r>
    </w:p>
    <w:p w:rsidR="00E01952" w:rsidRPr="00E01952" w:rsidRDefault="00E01952" w:rsidP="00E01952">
      <w:pPr>
        <w:rPr>
          <w:rtl/>
        </w:rPr>
      </w:pPr>
    </w:p>
    <w:p w:rsidR="00E519DD" w:rsidRPr="00E519DD" w:rsidRDefault="00E519DD" w:rsidP="00E519DD">
      <w:pPr>
        <w:rPr>
          <w:rtl/>
        </w:rPr>
      </w:pPr>
    </w:p>
    <w:p w:rsidR="00E519DD" w:rsidRDefault="00D31A68" w:rsidP="00740B36">
      <w:pPr>
        <w:jc w:val="center"/>
        <w:rPr>
          <w:rtl/>
        </w:rPr>
      </w:pPr>
      <w:r>
        <w:rPr>
          <w:noProof/>
          <w:lang w:eastAsia="en-US"/>
        </w:rPr>
        <w:drawing>
          <wp:inline distT="0" distB="0" distL="0" distR="0">
            <wp:extent cx="3183255" cy="2734310"/>
            <wp:effectExtent l="0" t="0" r="0" b="0"/>
            <wp:docPr id="1" name="Char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12551" w:rsidRDefault="00D12551" w:rsidP="00266F4F">
      <w:pPr>
        <w:jc w:val="both"/>
        <w:rPr>
          <w:rFonts w:ascii="Simplified Arabic" w:hAnsi="Simplified Arabic" w:cs="Simplified Arabic"/>
          <w:rtl/>
          <w:lang w:eastAsia="en-US"/>
        </w:rPr>
      </w:pPr>
    </w:p>
    <w:p w:rsidR="00697BB5" w:rsidRPr="00740B36" w:rsidRDefault="0074250C" w:rsidP="009A79C0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40B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أكثر من </w:t>
      </w:r>
      <w:r w:rsidR="009A79C0" w:rsidRPr="00740B36">
        <w:rPr>
          <w:rFonts w:ascii="Simplified Arabic" w:hAnsi="Simplified Arabic" w:cs="Simplified Arabic"/>
          <w:b/>
          <w:bCs/>
          <w:sz w:val="26"/>
          <w:szCs w:val="26"/>
        </w:rPr>
        <w:t>200</w:t>
      </w:r>
      <w:r w:rsidRPr="00740B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 نسبة الزيادة في</w:t>
      </w:r>
      <w:r w:rsidR="00CB62B2" w:rsidRPr="00740B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عدد </w:t>
      </w:r>
      <w:r w:rsidR="00A86B51" w:rsidRPr="00740B36">
        <w:rPr>
          <w:rFonts w:ascii="Simplified Arabic" w:hAnsi="Simplified Arabic" w:cs="Simplified Arabic"/>
          <w:b/>
          <w:bCs/>
          <w:sz w:val="26"/>
          <w:szCs w:val="26"/>
          <w:rtl/>
        </w:rPr>
        <w:t>مشترك</w:t>
      </w:r>
      <w:r w:rsidR="00A86B51" w:rsidRPr="00740B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ي</w:t>
      </w:r>
      <w:r w:rsidR="00A86B51" w:rsidRPr="00740B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697BB5" w:rsidRPr="00740B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الانترنت فائق السرعة </w:t>
      </w:r>
      <w:r w:rsidR="00697BB5" w:rsidRPr="00740B36">
        <w:rPr>
          <w:rFonts w:ascii="Simplified Arabic" w:hAnsi="Simplified Arabic" w:cs="Simplified Arabic"/>
          <w:b/>
          <w:bCs/>
          <w:sz w:val="26"/>
          <w:szCs w:val="26"/>
        </w:rPr>
        <w:t>ADSL</w:t>
      </w:r>
      <w:r w:rsidR="00697BB5" w:rsidRPr="00740B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:rsidR="00DD18D8" w:rsidRDefault="00FF6824" w:rsidP="00271904">
      <w:pPr>
        <w:suppressLineNumbers/>
        <w:tabs>
          <w:tab w:val="num" w:pos="1215"/>
        </w:tabs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740B36">
        <w:rPr>
          <w:rFonts w:ascii="Simplified Arabic" w:hAnsi="Simplified Arabic" w:cs="Simplified Arabic"/>
          <w:sz w:val="26"/>
          <w:szCs w:val="26"/>
          <w:rtl/>
        </w:rPr>
        <w:t xml:space="preserve">ارتفع </w:t>
      </w:r>
      <w:r w:rsidR="00D33E51" w:rsidRPr="00740B36">
        <w:rPr>
          <w:rFonts w:ascii="Simplified Arabic" w:hAnsi="Simplified Arabic" w:cs="Simplified Arabic" w:hint="cs"/>
          <w:sz w:val="26"/>
          <w:szCs w:val="26"/>
          <w:rtl/>
        </w:rPr>
        <w:t>إجمالي</w:t>
      </w:r>
      <w:r w:rsidRPr="00740B36">
        <w:rPr>
          <w:rFonts w:ascii="Simplified Arabic" w:hAnsi="Simplified Arabic" w:cs="Simplified Arabic"/>
          <w:sz w:val="26"/>
          <w:szCs w:val="26"/>
          <w:rtl/>
        </w:rPr>
        <w:t xml:space="preserve"> عدد مشتركي الانترنت فائق السرعة </w:t>
      </w:r>
      <w:r w:rsidRPr="00740B36">
        <w:rPr>
          <w:rFonts w:ascii="Simplified Arabic" w:hAnsi="Simplified Arabic" w:cs="Simplified Arabic"/>
          <w:sz w:val="26"/>
          <w:szCs w:val="26"/>
        </w:rPr>
        <w:t>ADSL</w:t>
      </w:r>
      <w:r w:rsidRPr="00740B3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079A" w:rsidRPr="00740B36">
        <w:rPr>
          <w:rFonts w:ascii="Simplified Arabic" w:hAnsi="Simplified Arabic" w:cs="Simplified Arabic"/>
          <w:sz w:val="26"/>
          <w:szCs w:val="26"/>
          <w:rtl/>
        </w:rPr>
        <w:t>في فلسطين</w:t>
      </w:r>
      <w:r w:rsidR="00DB6409" w:rsidRPr="00740B36">
        <w:rPr>
          <w:rFonts w:ascii="Simplified Arabic" w:hAnsi="Simplified Arabic" w:cs="Simplified Arabic" w:hint="cs"/>
          <w:sz w:val="26"/>
          <w:szCs w:val="26"/>
          <w:vertAlign w:val="superscript"/>
          <w:rtl/>
        </w:rPr>
        <w:t>1</w:t>
      </w:r>
      <w:r w:rsidR="0044079A" w:rsidRPr="00740B36">
        <w:rPr>
          <w:rFonts w:ascii="Simplified Arabic" w:hAnsi="Simplified Arabic" w:cs="Simplified Arabic"/>
          <w:sz w:val="26"/>
          <w:szCs w:val="26"/>
          <w:rtl/>
        </w:rPr>
        <w:t xml:space="preserve"> ال</w:t>
      </w:r>
      <w:r w:rsidR="0044079A" w:rsidRPr="00740B36">
        <w:rPr>
          <w:rFonts w:ascii="Simplified Arabic" w:hAnsi="Simplified Arabic" w:cs="Simplified Arabic" w:hint="cs"/>
          <w:sz w:val="26"/>
          <w:szCs w:val="26"/>
          <w:rtl/>
        </w:rPr>
        <w:t xml:space="preserve">ى </w:t>
      </w:r>
      <w:r w:rsidR="00B04EBD" w:rsidRPr="00740B36">
        <w:rPr>
          <w:rFonts w:ascii="Simplified Arabic" w:hAnsi="Simplified Arabic" w:cs="Simplified Arabic" w:hint="cs"/>
          <w:sz w:val="26"/>
          <w:szCs w:val="26"/>
          <w:rtl/>
        </w:rPr>
        <w:t xml:space="preserve">حوالي </w:t>
      </w:r>
      <w:r w:rsidR="00B04EBD" w:rsidRPr="00740B36">
        <w:rPr>
          <w:rFonts w:ascii="Simplified Arabic" w:hAnsi="Simplified Arabic" w:cs="Simplified Arabic"/>
          <w:sz w:val="26"/>
          <w:szCs w:val="26"/>
        </w:rPr>
        <w:t>36</w:t>
      </w:r>
      <w:r w:rsidR="0039222A" w:rsidRPr="00740B36">
        <w:rPr>
          <w:rFonts w:ascii="Simplified Arabic" w:hAnsi="Simplified Arabic" w:cs="Simplified Arabic"/>
          <w:sz w:val="26"/>
          <w:szCs w:val="26"/>
        </w:rPr>
        <w:t>3</w:t>
      </w:r>
      <w:r w:rsidR="00C600E0" w:rsidRPr="00740B3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04EBD" w:rsidRPr="00740B36">
        <w:rPr>
          <w:rFonts w:ascii="Simplified Arabic" w:hAnsi="Simplified Arabic" w:cs="Simplified Arabic" w:hint="cs"/>
          <w:sz w:val="26"/>
          <w:szCs w:val="26"/>
          <w:rtl/>
        </w:rPr>
        <w:t xml:space="preserve">ألف </w:t>
      </w:r>
      <w:r w:rsidR="00C600E0" w:rsidRPr="00740B36">
        <w:rPr>
          <w:rFonts w:ascii="Simplified Arabic" w:hAnsi="Simplified Arabic" w:cs="Simplified Arabic"/>
          <w:sz w:val="26"/>
          <w:szCs w:val="26"/>
          <w:rtl/>
        </w:rPr>
        <w:t xml:space="preserve">مشترك في نهاية </w:t>
      </w:r>
      <w:r w:rsidR="002634E1" w:rsidRPr="00740B36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="00C600E0" w:rsidRPr="00740B36">
        <w:rPr>
          <w:rFonts w:ascii="Simplified Arabic" w:hAnsi="Simplified Arabic" w:cs="Simplified Arabic"/>
          <w:sz w:val="26"/>
          <w:szCs w:val="26"/>
          <w:rtl/>
        </w:rPr>
        <w:t xml:space="preserve">عام </w:t>
      </w:r>
      <w:r w:rsidR="0039222A" w:rsidRPr="00740B36">
        <w:rPr>
          <w:rFonts w:ascii="Simplified Arabic" w:hAnsi="Simplified Arabic" w:cs="Simplified Arabic"/>
          <w:sz w:val="26"/>
          <w:szCs w:val="26"/>
        </w:rPr>
        <w:t>2019</w:t>
      </w:r>
      <w:r w:rsidR="00C600E0" w:rsidRPr="00740B36">
        <w:rPr>
          <w:rFonts w:ascii="Simplified Arabic" w:hAnsi="Simplified Arabic" w:cs="Simplified Arabic"/>
          <w:sz w:val="26"/>
          <w:szCs w:val="26"/>
          <w:rtl/>
        </w:rPr>
        <w:t xml:space="preserve"> مقارنة مع </w:t>
      </w:r>
      <w:r w:rsidR="00DB6409" w:rsidRPr="00740B36">
        <w:rPr>
          <w:rFonts w:ascii="Simplified Arabic" w:hAnsi="Simplified Arabic" w:cs="Simplified Arabic" w:hint="cs"/>
          <w:sz w:val="26"/>
          <w:szCs w:val="26"/>
          <w:rtl/>
        </w:rPr>
        <w:t xml:space="preserve">حوالي </w:t>
      </w:r>
      <w:r w:rsidR="00353BF5" w:rsidRPr="00740B36">
        <w:rPr>
          <w:rFonts w:ascii="Simplified Arabic" w:hAnsi="Simplified Arabic" w:cs="Simplified Arabic"/>
          <w:sz w:val="26"/>
          <w:szCs w:val="26"/>
        </w:rPr>
        <w:t>119</w:t>
      </w:r>
      <w:r w:rsidR="00CE708A" w:rsidRPr="00740B3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04EBD" w:rsidRPr="00740B36">
        <w:rPr>
          <w:rFonts w:ascii="Simplified Arabic" w:hAnsi="Simplified Arabic" w:cs="Simplified Arabic" w:hint="cs"/>
          <w:sz w:val="26"/>
          <w:szCs w:val="26"/>
          <w:rtl/>
        </w:rPr>
        <w:t xml:space="preserve">ألف </w:t>
      </w:r>
      <w:r w:rsidR="00C600E0" w:rsidRPr="00740B36">
        <w:rPr>
          <w:rFonts w:ascii="Simplified Arabic" w:hAnsi="Simplified Arabic" w:cs="Simplified Arabic"/>
          <w:sz w:val="26"/>
          <w:szCs w:val="26"/>
          <w:rtl/>
        </w:rPr>
        <w:t>مشترك</w:t>
      </w:r>
      <w:r w:rsidR="00FE2B01" w:rsidRPr="00740B36">
        <w:rPr>
          <w:rFonts w:ascii="Simplified Arabic" w:hAnsi="Simplified Arabic" w:cs="Simplified Arabic"/>
          <w:sz w:val="26"/>
          <w:szCs w:val="26"/>
          <w:rtl/>
        </w:rPr>
        <w:t>ا</w:t>
      </w:r>
      <w:r w:rsidR="00B04EBD" w:rsidRPr="00740B36">
        <w:rPr>
          <w:rFonts w:ascii="Simplified Arabic" w:hAnsi="Simplified Arabic" w:cs="Simplified Arabic" w:hint="cs"/>
          <w:sz w:val="26"/>
          <w:szCs w:val="26"/>
          <w:rtl/>
        </w:rPr>
        <w:t>ً</w:t>
      </w:r>
      <w:r w:rsidR="00C600E0" w:rsidRPr="00740B36">
        <w:rPr>
          <w:rFonts w:ascii="Simplified Arabic" w:hAnsi="Simplified Arabic" w:cs="Simplified Arabic"/>
          <w:sz w:val="26"/>
          <w:szCs w:val="26"/>
          <w:rtl/>
        </w:rPr>
        <w:t xml:space="preserve"> في نهاية </w:t>
      </w:r>
      <w:r w:rsidR="002634E1" w:rsidRPr="00740B36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="00C600E0" w:rsidRPr="00740B36">
        <w:rPr>
          <w:rFonts w:ascii="Simplified Arabic" w:hAnsi="Simplified Arabic" w:cs="Simplified Arabic"/>
          <w:sz w:val="26"/>
          <w:szCs w:val="26"/>
          <w:rtl/>
        </w:rPr>
        <w:t xml:space="preserve">عام </w:t>
      </w:r>
      <w:r w:rsidR="00353BF5" w:rsidRPr="00740B36">
        <w:rPr>
          <w:rFonts w:ascii="Simplified Arabic" w:hAnsi="Simplified Arabic" w:cs="Simplified Arabic"/>
          <w:sz w:val="26"/>
          <w:szCs w:val="26"/>
        </w:rPr>
        <w:t>2010</w:t>
      </w:r>
      <w:r w:rsidR="00C600E0" w:rsidRPr="00740B3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930F4" w:rsidRPr="00740B36">
        <w:rPr>
          <w:rFonts w:ascii="Simplified Arabic" w:hAnsi="Simplified Arabic" w:cs="Simplified Arabic"/>
          <w:sz w:val="26"/>
          <w:szCs w:val="26"/>
          <w:rtl/>
        </w:rPr>
        <w:t xml:space="preserve">بزيادة بلغت </w:t>
      </w:r>
      <w:r w:rsidR="00FE2B01" w:rsidRPr="00740B36">
        <w:rPr>
          <w:rFonts w:ascii="Simplified Arabic" w:hAnsi="Simplified Arabic" w:cs="Simplified Arabic"/>
          <w:sz w:val="26"/>
          <w:szCs w:val="26"/>
          <w:rtl/>
        </w:rPr>
        <w:t xml:space="preserve">نسبتها </w:t>
      </w:r>
      <w:r w:rsidR="009A79C0" w:rsidRPr="00740B36">
        <w:rPr>
          <w:rFonts w:ascii="Simplified Arabic" w:hAnsi="Simplified Arabic" w:cs="Simplified Arabic"/>
          <w:sz w:val="26"/>
          <w:szCs w:val="26"/>
        </w:rPr>
        <w:t>20</w:t>
      </w:r>
      <w:r w:rsidR="0039222A" w:rsidRPr="00740B36">
        <w:rPr>
          <w:rFonts w:ascii="Simplified Arabic" w:hAnsi="Simplified Arabic" w:cs="Simplified Arabic"/>
          <w:sz w:val="26"/>
          <w:szCs w:val="26"/>
        </w:rPr>
        <w:t>5</w:t>
      </w:r>
      <w:r w:rsidR="00B930F4" w:rsidRPr="00740B36">
        <w:rPr>
          <w:rFonts w:ascii="Simplified Arabic" w:hAnsi="Simplified Arabic" w:cs="Simplified Arabic"/>
          <w:sz w:val="26"/>
          <w:szCs w:val="26"/>
          <w:rtl/>
        </w:rPr>
        <w:t>%</w:t>
      </w:r>
      <w:r w:rsidR="00271904" w:rsidRPr="00740B36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FE2B01" w:rsidRPr="00740B36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:rsidR="00E01952" w:rsidRPr="00740B36" w:rsidRDefault="00E01952" w:rsidP="00271904">
      <w:pPr>
        <w:suppressLineNumbers/>
        <w:tabs>
          <w:tab w:val="num" w:pos="121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A14E40" w:rsidRDefault="00A14E40" w:rsidP="00271904">
      <w:pPr>
        <w:suppressLineNumbers/>
        <w:pBdr>
          <w:bottom w:val="single" w:sz="6" w:space="1" w:color="auto"/>
        </w:pBdr>
        <w:tabs>
          <w:tab w:val="num" w:pos="1215"/>
        </w:tabs>
        <w:jc w:val="both"/>
        <w:rPr>
          <w:rFonts w:ascii="Simplified Arabic" w:hAnsi="Simplified Arabic" w:cs="Simplified Arabic"/>
          <w:rtl/>
        </w:rPr>
      </w:pPr>
    </w:p>
    <w:p w:rsidR="00266F4F" w:rsidRPr="00EA320F" w:rsidRDefault="00266F4F" w:rsidP="00266F4F">
      <w:pPr>
        <w:pStyle w:val="FootnoteText"/>
        <w:rPr>
          <w:rFonts w:ascii="Simplified Arabic" w:hAnsi="Simplified Arabic" w:cs="Simplified Arabic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 </w:t>
      </w:r>
      <w:r w:rsidRPr="00EA320F">
        <w:rPr>
          <w:rFonts w:ascii="Simplified Arabic" w:hAnsi="Simplified Arabic" w:cs="Simplified Arabic"/>
          <w:rtl/>
        </w:rPr>
        <w:t xml:space="preserve">البيانات لا تشمل ذلك الجزء من محافظة القدس والذي ضمه الاحتلال الاسرائيلي إليه عنوة بعيد احتلاله للضفة الغربية عام </w:t>
      </w:r>
      <w:r>
        <w:rPr>
          <w:rFonts w:ascii="Simplified Arabic" w:hAnsi="Simplified Arabic" w:cs="Simplified Arabic"/>
        </w:rPr>
        <w:t>1967</w:t>
      </w:r>
      <w:r w:rsidRPr="00EA320F">
        <w:rPr>
          <w:rFonts w:ascii="Simplified Arabic" w:hAnsi="Simplified Arabic" w:cs="Simplified Arabic"/>
          <w:rtl/>
        </w:rPr>
        <w:t>.</w:t>
      </w:r>
    </w:p>
    <w:p w:rsidR="00E519DD" w:rsidRDefault="00D31A68" w:rsidP="00740B36">
      <w:pPr>
        <w:jc w:val="center"/>
        <w:rPr>
          <w:rFonts w:cs="Simplified Arabic"/>
          <w:b/>
          <w:bCs/>
          <w:rtl/>
        </w:rPr>
      </w:pPr>
      <w:r>
        <w:rPr>
          <w:rFonts w:cs="Simplified Arabic"/>
          <w:b/>
          <w:bCs/>
          <w:noProof/>
          <w:lang w:eastAsia="en-US"/>
        </w:rPr>
        <w:lastRenderedPageBreak/>
        <w:drawing>
          <wp:inline distT="0" distB="0" distL="0" distR="0">
            <wp:extent cx="3174365" cy="2726055"/>
            <wp:effectExtent l="0" t="0" r="0" b="0"/>
            <wp:docPr id="2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19DD" w:rsidRDefault="00E519DD" w:rsidP="00E519DD">
      <w:pPr>
        <w:tabs>
          <w:tab w:val="num" w:pos="1215"/>
        </w:tabs>
        <w:jc w:val="both"/>
        <w:rPr>
          <w:rFonts w:cs="Simplified Arabic"/>
          <w:b/>
          <w:bCs/>
          <w:rtl/>
        </w:rPr>
      </w:pPr>
    </w:p>
    <w:p w:rsidR="00647B80" w:rsidRPr="00740B36" w:rsidRDefault="00E519DD" w:rsidP="00673C48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40B36">
        <w:rPr>
          <w:rFonts w:ascii="Simplified Arabic" w:hAnsi="Simplified Arabic" w:cs="Simplified Arabic"/>
          <w:b/>
          <w:bCs/>
          <w:sz w:val="26"/>
          <w:szCs w:val="26"/>
          <w:rtl/>
        </w:rPr>
        <w:t>97</w:t>
      </w:r>
      <w:r w:rsidR="0074250C" w:rsidRPr="00740B36">
        <w:rPr>
          <w:rFonts w:ascii="Simplified Arabic" w:hAnsi="Simplified Arabic" w:cs="Simplified Arabic"/>
          <w:b/>
          <w:bCs/>
          <w:sz w:val="26"/>
          <w:szCs w:val="26"/>
          <w:rtl/>
        </w:rPr>
        <w:t>% من</w:t>
      </w:r>
      <w:r w:rsidR="00220D37" w:rsidRPr="00740B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الأسر </w:t>
      </w:r>
      <w:r w:rsidR="00ED35B2" w:rsidRPr="00740B36">
        <w:rPr>
          <w:rFonts w:ascii="Simplified Arabic" w:hAnsi="Simplified Arabic" w:cs="Simplified Arabic"/>
          <w:b/>
          <w:bCs/>
          <w:sz w:val="26"/>
          <w:szCs w:val="26"/>
          <w:rtl/>
        </w:rPr>
        <w:t>الفلسطينية</w:t>
      </w:r>
      <w:r w:rsidR="00220D37" w:rsidRPr="00740B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تمتلك خط هاتف نقال</w:t>
      </w:r>
      <w:r w:rsidR="0074250C" w:rsidRPr="00740B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واحد على الاقل وانتشار واسع للهواتف الذكية</w:t>
      </w:r>
    </w:p>
    <w:p w:rsidR="00B21AB2" w:rsidRPr="00740B36" w:rsidRDefault="00B21AB2" w:rsidP="00E6556C">
      <w:pPr>
        <w:tabs>
          <w:tab w:val="num" w:pos="121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40B36">
        <w:rPr>
          <w:rFonts w:ascii="Simplified Arabic" w:hAnsi="Simplified Arabic" w:cs="Simplified Arabic"/>
          <w:sz w:val="26"/>
          <w:szCs w:val="26"/>
          <w:rtl/>
        </w:rPr>
        <w:t xml:space="preserve">أظهرت بيانات </w:t>
      </w:r>
      <w:r w:rsidR="00673C48" w:rsidRPr="00740B36">
        <w:rPr>
          <w:rFonts w:ascii="Simplified Arabic" w:hAnsi="Simplified Arabic" w:cs="Simplified Arabic"/>
          <w:sz w:val="26"/>
          <w:szCs w:val="26"/>
          <w:rtl/>
        </w:rPr>
        <w:t>المسح الأسري لتكنولوجيا المعلومات والاتصالات لعام 2019</w:t>
      </w:r>
      <w:r w:rsidR="0074250C" w:rsidRPr="00740B36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740B36">
        <w:rPr>
          <w:rFonts w:ascii="Simplified Arabic" w:hAnsi="Simplified Arabic" w:cs="Simplified Arabic"/>
          <w:sz w:val="26"/>
          <w:szCs w:val="26"/>
          <w:rtl/>
        </w:rPr>
        <w:t xml:space="preserve">أن </w:t>
      </w:r>
      <w:r w:rsidR="00673C48" w:rsidRPr="00740B36">
        <w:rPr>
          <w:rFonts w:ascii="Simplified Arabic" w:hAnsi="Simplified Arabic" w:cs="Simplified Arabic"/>
          <w:sz w:val="26"/>
          <w:szCs w:val="26"/>
        </w:rPr>
        <w:t>97</w:t>
      </w:r>
      <w:r w:rsidR="00491B56" w:rsidRPr="00740B36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Pr="00740B36">
        <w:rPr>
          <w:rFonts w:ascii="Simplified Arabic" w:hAnsi="Simplified Arabic" w:cs="Simplified Arabic"/>
          <w:sz w:val="26"/>
          <w:szCs w:val="26"/>
          <w:rtl/>
        </w:rPr>
        <w:t xml:space="preserve">من الأسر في فلسطين لديها </w:t>
      </w:r>
      <w:r w:rsidR="00BB7DA3" w:rsidRPr="00740B36">
        <w:rPr>
          <w:rFonts w:ascii="Simplified Arabic" w:hAnsi="Simplified Arabic" w:cs="Simplified Arabic"/>
          <w:sz w:val="26"/>
          <w:szCs w:val="26"/>
          <w:rtl/>
        </w:rPr>
        <w:t xml:space="preserve">خط </w:t>
      </w:r>
      <w:r w:rsidRPr="00740B36">
        <w:rPr>
          <w:rFonts w:ascii="Simplified Arabic" w:hAnsi="Simplified Arabic" w:cs="Simplified Arabic"/>
          <w:sz w:val="26"/>
          <w:szCs w:val="26"/>
          <w:rtl/>
        </w:rPr>
        <w:t>هاتف نقال</w:t>
      </w:r>
      <w:r w:rsidR="007A2454" w:rsidRPr="00740B36">
        <w:rPr>
          <w:rFonts w:ascii="Simplified Arabic" w:hAnsi="Simplified Arabic" w:cs="Simplified Arabic"/>
          <w:sz w:val="26"/>
          <w:szCs w:val="26"/>
          <w:rtl/>
        </w:rPr>
        <w:t xml:space="preserve"> واحد </w:t>
      </w:r>
      <w:r w:rsidR="0074250C" w:rsidRPr="00740B36">
        <w:rPr>
          <w:rFonts w:ascii="Simplified Arabic" w:hAnsi="Simplified Arabic" w:cs="Simplified Arabic"/>
          <w:sz w:val="26"/>
          <w:szCs w:val="26"/>
          <w:rtl/>
        </w:rPr>
        <w:t xml:space="preserve">على الأقل </w:t>
      </w:r>
      <w:r w:rsidR="00294EC5" w:rsidRPr="00740B3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63E6A" w:rsidRPr="00740B36">
        <w:rPr>
          <w:rFonts w:ascii="Simplified Arabic" w:hAnsi="Simplified Arabic" w:cs="Simplified Arabic"/>
          <w:sz w:val="26"/>
          <w:szCs w:val="26"/>
          <w:rtl/>
        </w:rPr>
        <w:t>وهي نفس النسبة</w:t>
      </w:r>
      <w:r w:rsidRPr="00740B36">
        <w:rPr>
          <w:rFonts w:ascii="Simplified Arabic" w:hAnsi="Simplified Arabic" w:cs="Simplified Arabic"/>
          <w:sz w:val="26"/>
          <w:szCs w:val="26"/>
          <w:rtl/>
        </w:rPr>
        <w:t xml:space="preserve"> في </w:t>
      </w:r>
      <w:r w:rsidR="002431A5" w:rsidRPr="00740B36">
        <w:rPr>
          <w:rFonts w:ascii="Simplified Arabic" w:hAnsi="Simplified Arabic" w:cs="Simplified Arabic"/>
          <w:sz w:val="26"/>
          <w:szCs w:val="26"/>
          <w:rtl/>
        </w:rPr>
        <w:t xml:space="preserve">كل من </w:t>
      </w:r>
      <w:r w:rsidRPr="00740B36">
        <w:rPr>
          <w:rFonts w:ascii="Simplified Arabic" w:hAnsi="Simplified Arabic" w:cs="Simplified Arabic"/>
          <w:sz w:val="26"/>
          <w:szCs w:val="26"/>
          <w:rtl/>
        </w:rPr>
        <w:t>الضفة الغربية</w:t>
      </w:r>
      <w:r w:rsidR="002431A5" w:rsidRPr="00740B36">
        <w:rPr>
          <w:rFonts w:ascii="Simplified Arabic" w:hAnsi="Simplified Arabic" w:cs="Simplified Arabic"/>
          <w:sz w:val="26"/>
          <w:szCs w:val="26"/>
          <w:rtl/>
        </w:rPr>
        <w:t xml:space="preserve"> وقطاع غزة</w:t>
      </w:r>
      <w:r w:rsidRPr="00740B36">
        <w:rPr>
          <w:rFonts w:ascii="Simplified Arabic" w:hAnsi="Simplified Arabic" w:cs="Simplified Arabic"/>
          <w:sz w:val="26"/>
          <w:szCs w:val="26"/>
          <w:rtl/>
        </w:rPr>
        <w:t xml:space="preserve">، كما أظهرت النتائج أن نسبة الأسر </w:t>
      </w:r>
      <w:r w:rsidR="00E6556C" w:rsidRPr="00740B36">
        <w:rPr>
          <w:rFonts w:ascii="Simplified Arabic" w:hAnsi="Simplified Arabic" w:cs="Simplified Arabic"/>
          <w:sz w:val="26"/>
          <w:szCs w:val="26"/>
          <w:rtl/>
        </w:rPr>
        <w:t xml:space="preserve">التي تمتلك </w:t>
      </w:r>
      <w:r w:rsidRPr="00740B36">
        <w:rPr>
          <w:rFonts w:ascii="Simplified Arabic" w:hAnsi="Simplified Arabic" w:cs="Simplified Arabic"/>
          <w:sz w:val="26"/>
          <w:szCs w:val="26"/>
          <w:rtl/>
        </w:rPr>
        <w:t xml:space="preserve">هاتف </w:t>
      </w:r>
      <w:r w:rsidR="001C5BC3" w:rsidRPr="00740B36">
        <w:rPr>
          <w:rFonts w:ascii="Simplified Arabic" w:hAnsi="Simplified Arabic" w:cs="Simplified Arabic"/>
          <w:sz w:val="26"/>
          <w:szCs w:val="26"/>
          <w:rtl/>
        </w:rPr>
        <w:t xml:space="preserve">نقال </w:t>
      </w:r>
      <w:r w:rsidRPr="00740B36">
        <w:rPr>
          <w:rFonts w:ascii="Simplified Arabic" w:hAnsi="Simplified Arabic" w:cs="Simplified Arabic"/>
          <w:sz w:val="26"/>
          <w:szCs w:val="26"/>
          <w:rtl/>
        </w:rPr>
        <w:t xml:space="preserve">ذكي </w:t>
      </w:r>
      <w:r w:rsidR="007A2454" w:rsidRPr="00740B36">
        <w:rPr>
          <w:rFonts w:ascii="Simplified Arabic" w:hAnsi="Simplified Arabic" w:cs="Simplified Arabic"/>
          <w:sz w:val="26"/>
          <w:szCs w:val="26"/>
          <w:rtl/>
        </w:rPr>
        <w:t>واحد أو أكثر</w:t>
      </w:r>
      <w:r w:rsidR="00E6556C" w:rsidRPr="00740B36">
        <w:rPr>
          <w:rFonts w:ascii="Simplified Arabic" w:hAnsi="Simplified Arabic" w:cs="Simplified Arabic"/>
          <w:sz w:val="26"/>
          <w:szCs w:val="26"/>
          <w:rtl/>
        </w:rPr>
        <w:t xml:space="preserve"> في </w:t>
      </w:r>
      <w:r w:rsidR="006B69D3" w:rsidRPr="00740B36">
        <w:rPr>
          <w:rFonts w:ascii="Simplified Arabic" w:hAnsi="Simplified Arabic" w:cs="Simplified Arabic"/>
          <w:sz w:val="26"/>
          <w:szCs w:val="26"/>
          <w:rtl/>
        </w:rPr>
        <w:t>فلسطين</w:t>
      </w:r>
      <w:r w:rsidR="007A2454" w:rsidRPr="00740B3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40B36">
        <w:rPr>
          <w:rFonts w:ascii="Simplified Arabic" w:hAnsi="Simplified Arabic" w:cs="Simplified Arabic"/>
          <w:sz w:val="26"/>
          <w:szCs w:val="26"/>
          <w:rtl/>
        </w:rPr>
        <w:t xml:space="preserve">بلغت </w:t>
      </w:r>
      <w:r w:rsidR="00673C48" w:rsidRPr="00740B36">
        <w:rPr>
          <w:rFonts w:ascii="Simplified Arabic" w:hAnsi="Simplified Arabic" w:cs="Simplified Arabic"/>
          <w:sz w:val="26"/>
          <w:szCs w:val="26"/>
        </w:rPr>
        <w:t>86</w:t>
      </w:r>
      <w:r w:rsidRPr="00740B36">
        <w:rPr>
          <w:rFonts w:ascii="Simplified Arabic" w:hAnsi="Simplified Arabic" w:cs="Simplified Arabic"/>
          <w:sz w:val="26"/>
          <w:szCs w:val="26"/>
          <w:rtl/>
        </w:rPr>
        <w:t xml:space="preserve">% بواقع </w:t>
      </w:r>
      <w:r w:rsidR="00673C48" w:rsidRPr="00740B36">
        <w:rPr>
          <w:rFonts w:ascii="Simplified Arabic" w:hAnsi="Simplified Arabic" w:cs="Simplified Arabic"/>
          <w:sz w:val="26"/>
          <w:szCs w:val="26"/>
        </w:rPr>
        <w:t>91</w:t>
      </w:r>
      <w:r w:rsidRPr="00740B36">
        <w:rPr>
          <w:rFonts w:ascii="Simplified Arabic" w:hAnsi="Simplified Arabic" w:cs="Simplified Arabic"/>
          <w:sz w:val="26"/>
          <w:szCs w:val="26"/>
          <w:rtl/>
        </w:rPr>
        <w:t>% في الضفة الغربية و</w:t>
      </w:r>
      <w:r w:rsidR="00673C48" w:rsidRPr="00740B36">
        <w:rPr>
          <w:rFonts w:ascii="Simplified Arabic" w:hAnsi="Simplified Arabic" w:cs="Simplified Arabic"/>
          <w:sz w:val="26"/>
          <w:szCs w:val="26"/>
        </w:rPr>
        <w:t>78</w:t>
      </w:r>
      <w:r w:rsidRPr="00740B36">
        <w:rPr>
          <w:rFonts w:ascii="Simplified Arabic" w:hAnsi="Simplified Arabic" w:cs="Simplified Arabic"/>
          <w:sz w:val="26"/>
          <w:szCs w:val="26"/>
          <w:rtl/>
        </w:rPr>
        <w:t xml:space="preserve">% في قطاع غزة. </w:t>
      </w:r>
    </w:p>
    <w:p w:rsidR="00E519DD" w:rsidRPr="00740B36" w:rsidRDefault="00E519DD" w:rsidP="00E6556C">
      <w:pPr>
        <w:tabs>
          <w:tab w:val="num" w:pos="1215"/>
        </w:tabs>
        <w:jc w:val="both"/>
        <w:rPr>
          <w:rFonts w:ascii="Simplified Arabic" w:hAnsi="Simplified Arabic" w:cs="Simplified Arabic"/>
          <w:sz w:val="26"/>
          <w:szCs w:val="26"/>
          <w:rtl/>
          <w:lang w:val="en-GB"/>
        </w:rPr>
      </w:pPr>
    </w:p>
    <w:p w:rsidR="008B49D1" w:rsidRPr="00740B36" w:rsidRDefault="008B49D1" w:rsidP="00031510">
      <w:pPr>
        <w:tabs>
          <w:tab w:val="num" w:pos="1215"/>
        </w:tabs>
        <w:spacing w:line="100" w:lineRule="exact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294EC5" w:rsidRPr="00740B36" w:rsidRDefault="0074250C" w:rsidP="003478A1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740B36">
        <w:rPr>
          <w:rFonts w:ascii="Simplified Arabic" w:hAnsi="Simplified Arabic" w:cs="Simplified Arabic"/>
          <w:sz w:val="26"/>
          <w:szCs w:val="26"/>
          <w:rtl/>
        </w:rPr>
        <w:t>أما على صعيد</w:t>
      </w:r>
      <w:r w:rsidR="00BD46D9" w:rsidRPr="00740B3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F3D28" w:rsidRPr="00740B36">
        <w:rPr>
          <w:rFonts w:ascii="Simplified Arabic" w:hAnsi="Simplified Arabic" w:cs="Simplified Arabic"/>
          <w:sz w:val="26"/>
          <w:szCs w:val="26"/>
          <w:rtl/>
        </w:rPr>
        <w:t xml:space="preserve">نسبة </w:t>
      </w:r>
      <w:r w:rsidR="00BD46D9" w:rsidRPr="00740B36">
        <w:rPr>
          <w:rFonts w:ascii="Simplified Arabic" w:hAnsi="Simplified Arabic" w:cs="Simplified Arabic"/>
          <w:sz w:val="26"/>
          <w:szCs w:val="26"/>
          <w:rtl/>
        </w:rPr>
        <w:t xml:space="preserve">الأفراد </w:t>
      </w:r>
      <w:r w:rsidR="001B48B7" w:rsidRPr="00740B36">
        <w:rPr>
          <w:rFonts w:ascii="Simplified Arabic" w:hAnsi="Simplified Arabic" w:cs="Simplified Arabic"/>
          <w:sz w:val="26"/>
          <w:szCs w:val="26"/>
          <w:rtl/>
        </w:rPr>
        <w:t>(</w:t>
      </w:r>
      <w:r w:rsidR="00673C48" w:rsidRPr="00740B36">
        <w:rPr>
          <w:rFonts w:ascii="Simplified Arabic" w:hAnsi="Simplified Arabic" w:cs="Simplified Arabic"/>
          <w:sz w:val="26"/>
          <w:szCs w:val="26"/>
        </w:rPr>
        <w:t>10</w:t>
      </w:r>
      <w:r w:rsidR="00BD46D9" w:rsidRPr="00740B36">
        <w:rPr>
          <w:rFonts w:ascii="Simplified Arabic" w:hAnsi="Simplified Arabic" w:cs="Simplified Arabic"/>
          <w:sz w:val="26"/>
          <w:szCs w:val="26"/>
          <w:rtl/>
        </w:rPr>
        <w:t xml:space="preserve"> س</w:t>
      </w:r>
      <w:r w:rsidR="00673C48" w:rsidRPr="00740B36">
        <w:rPr>
          <w:rFonts w:ascii="Simplified Arabic" w:hAnsi="Simplified Arabic" w:cs="Simplified Arabic"/>
          <w:sz w:val="26"/>
          <w:szCs w:val="26"/>
          <w:rtl/>
        </w:rPr>
        <w:t>نوات</w:t>
      </w:r>
      <w:r w:rsidR="00BD46D9" w:rsidRPr="00740B36">
        <w:rPr>
          <w:rFonts w:ascii="Simplified Arabic" w:hAnsi="Simplified Arabic" w:cs="Simplified Arabic"/>
          <w:sz w:val="26"/>
          <w:szCs w:val="26"/>
          <w:rtl/>
        </w:rPr>
        <w:t xml:space="preserve"> فأكثر</w:t>
      </w:r>
      <w:r w:rsidR="001B48B7" w:rsidRPr="00740B36">
        <w:rPr>
          <w:rFonts w:ascii="Simplified Arabic" w:hAnsi="Simplified Arabic" w:cs="Simplified Arabic"/>
          <w:sz w:val="26"/>
          <w:szCs w:val="26"/>
          <w:rtl/>
        </w:rPr>
        <w:t>)</w:t>
      </w:r>
      <w:r w:rsidR="00BD46D9" w:rsidRPr="00740B36">
        <w:rPr>
          <w:rFonts w:ascii="Simplified Arabic" w:hAnsi="Simplified Arabic" w:cs="Simplified Arabic"/>
          <w:sz w:val="26"/>
          <w:szCs w:val="26"/>
          <w:rtl/>
        </w:rPr>
        <w:t xml:space="preserve"> الذين يمتلكون هاتف </w:t>
      </w:r>
      <w:r w:rsidR="00640508" w:rsidRPr="00740B36">
        <w:rPr>
          <w:rFonts w:ascii="Simplified Arabic" w:hAnsi="Simplified Arabic" w:cs="Simplified Arabic"/>
          <w:sz w:val="26"/>
          <w:szCs w:val="26"/>
          <w:rtl/>
        </w:rPr>
        <w:t>نقال</w:t>
      </w:r>
      <w:r w:rsidR="00BD46D9" w:rsidRPr="00740B3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40B36">
        <w:rPr>
          <w:rFonts w:ascii="Simplified Arabic" w:hAnsi="Simplified Arabic" w:cs="Simplified Arabic"/>
          <w:sz w:val="26"/>
          <w:szCs w:val="26"/>
          <w:rtl/>
        </w:rPr>
        <w:t>فقد</w:t>
      </w:r>
      <w:r w:rsidR="00BD46D9" w:rsidRPr="00740B3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C7A48" w:rsidRPr="00740B36">
        <w:rPr>
          <w:rFonts w:ascii="Simplified Arabic" w:hAnsi="Simplified Arabic" w:cs="Simplified Arabic"/>
          <w:sz w:val="26"/>
          <w:szCs w:val="26"/>
          <w:rtl/>
        </w:rPr>
        <w:t xml:space="preserve">بلغت </w:t>
      </w:r>
      <w:r w:rsidR="00062FE2" w:rsidRPr="00740B36">
        <w:rPr>
          <w:rFonts w:ascii="Simplified Arabic" w:hAnsi="Simplified Arabic" w:cs="Simplified Arabic"/>
          <w:sz w:val="26"/>
          <w:szCs w:val="26"/>
          <w:rtl/>
        </w:rPr>
        <w:t>75</w:t>
      </w:r>
      <w:r w:rsidR="00BD46D9" w:rsidRPr="00740B36">
        <w:rPr>
          <w:rFonts w:ascii="Simplified Arabic" w:hAnsi="Simplified Arabic" w:cs="Simplified Arabic"/>
          <w:sz w:val="26"/>
          <w:szCs w:val="26"/>
          <w:rtl/>
        </w:rPr>
        <w:t xml:space="preserve">% في فلسطين، بواقع </w:t>
      </w:r>
      <w:r w:rsidR="00062FE2" w:rsidRPr="00740B36">
        <w:rPr>
          <w:rFonts w:ascii="Simplified Arabic" w:hAnsi="Simplified Arabic" w:cs="Simplified Arabic"/>
          <w:sz w:val="26"/>
          <w:szCs w:val="26"/>
          <w:rtl/>
        </w:rPr>
        <w:t>82</w:t>
      </w:r>
      <w:r w:rsidR="00C86776" w:rsidRPr="00740B36">
        <w:rPr>
          <w:rFonts w:ascii="Simplified Arabic" w:hAnsi="Simplified Arabic" w:cs="Simplified Arabic"/>
          <w:sz w:val="26"/>
          <w:szCs w:val="26"/>
          <w:rtl/>
        </w:rPr>
        <w:t>% في الضفة الغربية و</w:t>
      </w:r>
      <w:r w:rsidR="00062FE2" w:rsidRPr="00740B36">
        <w:rPr>
          <w:rFonts w:ascii="Simplified Arabic" w:hAnsi="Simplified Arabic" w:cs="Simplified Arabic"/>
          <w:sz w:val="26"/>
          <w:szCs w:val="26"/>
          <w:rtl/>
        </w:rPr>
        <w:t>64</w:t>
      </w:r>
      <w:r w:rsidR="00C86776" w:rsidRPr="00740B36">
        <w:rPr>
          <w:rFonts w:ascii="Simplified Arabic" w:hAnsi="Simplified Arabic" w:cs="Simplified Arabic"/>
          <w:sz w:val="26"/>
          <w:szCs w:val="26"/>
          <w:rtl/>
        </w:rPr>
        <w:t>% في قطاع غزة</w:t>
      </w:r>
      <w:r w:rsidRPr="00740B36">
        <w:rPr>
          <w:rFonts w:ascii="Simplified Arabic" w:hAnsi="Simplified Arabic" w:cs="Simplified Arabic"/>
          <w:sz w:val="26"/>
          <w:szCs w:val="26"/>
          <w:rtl/>
        </w:rPr>
        <w:t xml:space="preserve">، وعلى صعيد </w:t>
      </w:r>
      <w:r w:rsidR="00F917E6" w:rsidRPr="00740B36">
        <w:rPr>
          <w:rFonts w:ascii="Simplified Arabic" w:hAnsi="Simplified Arabic" w:cs="Simplified Arabic"/>
          <w:sz w:val="26"/>
          <w:szCs w:val="26"/>
          <w:rtl/>
        </w:rPr>
        <w:t>الجنس</w:t>
      </w:r>
      <w:r w:rsidR="008A0412" w:rsidRPr="00740B36">
        <w:rPr>
          <w:rFonts w:ascii="Simplified Arabic" w:hAnsi="Simplified Arabic" w:cs="Simplified Arabic"/>
          <w:sz w:val="26"/>
          <w:szCs w:val="26"/>
          <w:rtl/>
        </w:rPr>
        <w:t xml:space="preserve"> فقد</w:t>
      </w:r>
      <w:r w:rsidRPr="00740B36">
        <w:rPr>
          <w:rFonts w:ascii="Simplified Arabic" w:hAnsi="Simplified Arabic" w:cs="Simplified Arabic"/>
          <w:sz w:val="26"/>
          <w:szCs w:val="26"/>
          <w:rtl/>
        </w:rPr>
        <w:t xml:space="preserve"> بلغت هذه النسبة </w:t>
      </w:r>
      <w:r w:rsidR="002F3D28" w:rsidRPr="00740B36">
        <w:rPr>
          <w:rFonts w:ascii="Simplified Arabic" w:hAnsi="Simplified Arabic" w:cs="Simplified Arabic"/>
          <w:sz w:val="26"/>
          <w:szCs w:val="26"/>
          <w:rtl/>
        </w:rPr>
        <w:t xml:space="preserve">بين </w:t>
      </w:r>
      <w:r w:rsidR="00074288" w:rsidRPr="00740B36">
        <w:rPr>
          <w:rFonts w:ascii="Simplified Arabic" w:hAnsi="Simplified Arabic" w:cs="Simplified Arabic"/>
          <w:sz w:val="26"/>
          <w:szCs w:val="26"/>
          <w:rtl/>
        </w:rPr>
        <w:t>الإناث</w:t>
      </w:r>
      <w:r w:rsidRPr="00740B3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62FE2" w:rsidRPr="00740B36">
        <w:rPr>
          <w:rFonts w:ascii="Simplified Arabic" w:hAnsi="Simplified Arabic" w:cs="Simplified Arabic"/>
          <w:sz w:val="26"/>
          <w:szCs w:val="26"/>
          <w:rtl/>
        </w:rPr>
        <w:t>71</w:t>
      </w:r>
      <w:r w:rsidRPr="00740B36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2F3D28" w:rsidRPr="00740B36">
        <w:rPr>
          <w:rFonts w:ascii="Simplified Arabic" w:hAnsi="Simplified Arabic" w:cs="Simplified Arabic"/>
          <w:sz w:val="26"/>
          <w:szCs w:val="26"/>
          <w:rtl/>
        </w:rPr>
        <w:t xml:space="preserve">وبين الذكور </w:t>
      </w:r>
      <w:r w:rsidR="00062FE2" w:rsidRPr="00740B36">
        <w:rPr>
          <w:rFonts w:ascii="Simplified Arabic" w:hAnsi="Simplified Arabic" w:cs="Simplified Arabic"/>
          <w:sz w:val="26"/>
          <w:szCs w:val="26"/>
          <w:rtl/>
        </w:rPr>
        <w:t>79</w:t>
      </w:r>
      <w:r w:rsidRPr="00740B36">
        <w:rPr>
          <w:rFonts w:ascii="Simplified Arabic" w:hAnsi="Simplified Arabic" w:cs="Simplified Arabic"/>
          <w:sz w:val="26"/>
          <w:szCs w:val="26"/>
          <w:rtl/>
        </w:rPr>
        <w:t>%</w:t>
      </w:r>
      <w:r w:rsidR="00F81CDB" w:rsidRPr="00740B36">
        <w:rPr>
          <w:rFonts w:ascii="Simplified Arabic" w:hAnsi="Simplified Arabic" w:cs="Simplified Arabic"/>
          <w:sz w:val="26"/>
          <w:szCs w:val="26"/>
          <w:rtl/>
        </w:rPr>
        <w:t xml:space="preserve">، كما أظهرت نتائج المسح أن نسبة استخدام الأفراد (10 سنوات فأكثر) للهاتف </w:t>
      </w:r>
      <w:r w:rsidR="003478A1" w:rsidRPr="00740B36">
        <w:rPr>
          <w:rFonts w:ascii="Simplified Arabic" w:hAnsi="Simplified Arabic" w:cs="Simplified Arabic"/>
          <w:sz w:val="26"/>
          <w:szCs w:val="26"/>
          <w:rtl/>
        </w:rPr>
        <w:t>النقال ب</w:t>
      </w:r>
      <w:r w:rsidR="00F81CDB" w:rsidRPr="00740B36">
        <w:rPr>
          <w:rFonts w:ascii="Simplified Arabic" w:hAnsi="Simplified Arabic" w:cs="Simplified Arabic"/>
          <w:sz w:val="26"/>
          <w:szCs w:val="26"/>
          <w:rtl/>
        </w:rPr>
        <w:t>ين الذكور</w:t>
      </w:r>
      <w:r w:rsidR="00505B70" w:rsidRPr="00740B36">
        <w:rPr>
          <w:rFonts w:ascii="Simplified Arabic" w:hAnsi="Simplified Arabic" w:cs="Simplified Arabic"/>
          <w:sz w:val="26"/>
          <w:szCs w:val="26"/>
          <w:rtl/>
        </w:rPr>
        <w:t xml:space="preserve"> 88% و85% بين الإناث.</w:t>
      </w:r>
      <w:r w:rsidR="00F81CDB" w:rsidRPr="00740B36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:rsidR="00E519DD" w:rsidRPr="00740B36" w:rsidRDefault="00E519DD" w:rsidP="00BE525B">
      <w:pPr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7A2454" w:rsidRPr="00740B36" w:rsidRDefault="007A2454" w:rsidP="00BE525B">
      <w:pPr>
        <w:jc w:val="center"/>
        <w:rPr>
          <w:rFonts w:ascii="Simplified Arabic" w:hAnsi="Simplified Arabic" w:cs="Simplified Arabic"/>
          <w:b/>
          <w:bCs/>
          <w:color w:val="000000"/>
        </w:rPr>
      </w:pPr>
      <w:r w:rsidRPr="00740B36">
        <w:rPr>
          <w:rFonts w:ascii="Simplified Arabic" w:hAnsi="Simplified Arabic" w:cs="Simplified Arabic"/>
          <w:b/>
          <w:bCs/>
          <w:color w:val="000000"/>
          <w:rtl/>
        </w:rPr>
        <w:t xml:space="preserve">نسبة </w:t>
      </w:r>
      <w:r w:rsidR="003A5C00" w:rsidRPr="00740B36">
        <w:rPr>
          <w:rFonts w:ascii="Simplified Arabic" w:hAnsi="Simplified Arabic" w:cs="Simplified Arabic"/>
          <w:b/>
          <w:bCs/>
          <w:color w:val="000000"/>
          <w:rtl/>
        </w:rPr>
        <w:t>الأفراد (10 سنوات فأكثر) الذين يمتلكون أ</w:t>
      </w:r>
      <w:r w:rsidRPr="00740B36">
        <w:rPr>
          <w:rFonts w:ascii="Simplified Arabic" w:hAnsi="Simplified Arabic" w:cs="Simplified Arabic"/>
          <w:b/>
          <w:bCs/>
          <w:color w:val="000000"/>
          <w:rtl/>
        </w:rPr>
        <w:t>و</w:t>
      </w:r>
      <w:r w:rsidR="003A5C00" w:rsidRPr="00740B36">
        <w:rPr>
          <w:rFonts w:ascii="Simplified Arabic" w:hAnsi="Simplified Arabic" w:cs="Simplified Arabic"/>
          <w:b/>
          <w:bCs/>
          <w:color w:val="000000"/>
          <w:rtl/>
        </w:rPr>
        <w:t xml:space="preserve"> يستخدمون </w:t>
      </w:r>
      <w:r w:rsidRPr="00740B36">
        <w:rPr>
          <w:rFonts w:ascii="Simplified Arabic" w:hAnsi="Simplified Arabic" w:cs="Simplified Arabic"/>
          <w:b/>
          <w:bCs/>
          <w:color w:val="000000"/>
          <w:rtl/>
        </w:rPr>
        <w:t xml:space="preserve">الهاتف </w:t>
      </w:r>
      <w:r w:rsidR="00BE525B" w:rsidRPr="00740B36">
        <w:rPr>
          <w:rFonts w:ascii="Simplified Arabic" w:hAnsi="Simplified Arabic" w:cs="Simplified Arabic"/>
          <w:b/>
          <w:bCs/>
          <w:color w:val="000000"/>
          <w:rtl/>
        </w:rPr>
        <w:t xml:space="preserve">النقال </w:t>
      </w:r>
      <w:r w:rsidRPr="00740B36">
        <w:rPr>
          <w:rFonts w:ascii="Simplified Arabic" w:hAnsi="Simplified Arabic" w:cs="Simplified Arabic"/>
          <w:b/>
          <w:bCs/>
          <w:color w:val="000000"/>
          <w:rtl/>
        </w:rPr>
        <w:t>حسب الجنس</w:t>
      </w:r>
      <w:r w:rsidR="00616BC9" w:rsidRPr="00740B36">
        <w:rPr>
          <w:rFonts w:ascii="Simplified Arabic" w:hAnsi="Simplified Arabic" w:cs="Simplified Arabic"/>
          <w:b/>
          <w:bCs/>
          <w:color w:val="000000"/>
          <w:rtl/>
        </w:rPr>
        <w:t>،</w:t>
      </w:r>
      <w:r w:rsidRPr="00740B36">
        <w:rPr>
          <w:rFonts w:ascii="Simplified Arabic" w:hAnsi="Simplified Arabic" w:cs="Simplified Arabic"/>
          <w:b/>
          <w:bCs/>
          <w:color w:val="000000"/>
          <w:rtl/>
        </w:rPr>
        <w:t xml:space="preserve"> </w:t>
      </w:r>
      <w:r w:rsidR="009A79C0" w:rsidRPr="00740B36">
        <w:rPr>
          <w:rFonts w:ascii="Simplified Arabic" w:hAnsi="Simplified Arabic" w:cs="Simplified Arabic"/>
          <w:b/>
          <w:bCs/>
          <w:color w:val="000000"/>
        </w:rPr>
        <w:t>201</w:t>
      </w:r>
      <w:r w:rsidR="00062FE2" w:rsidRPr="00740B36">
        <w:rPr>
          <w:rFonts w:ascii="Simplified Arabic" w:hAnsi="Simplified Arabic" w:cs="Simplified Arabic"/>
          <w:b/>
          <w:bCs/>
          <w:color w:val="000000"/>
        </w:rPr>
        <w:t>9</w:t>
      </w:r>
    </w:p>
    <w:p w:rsidR="005520E4" w:rsidRDefault="00D31A68" w:rsidP="00294EC5">
      <w:pPr>
        <w:jc w:val="center"/>
        <w:rPr>
          <w:rFonts w:cs="Simplified Arabic"/>
          <w:b/>
          <w:bCs/>
          <w:color w:val="000000"/>
          <w:rtl/>
        </w:rPr>
      </w:pPr>
      <w:r>
        <w:rPr>
          <w:rFonts w:cs="Simplified Arabic"/>
          <w:b/>
          <w:bCs/>
          <w:noProof/>
          <w:color w:val="000000"/>
          <w:lang w:eastAsia="en-US"/>
        </w:rPr>
        <w:drawing>
          <wp:inline distT="0" distB="0" distL="0" distR="0">
            <wp:extent cx="3217545" cy="2475865"/>
            <wp:effectExtent l="0" t="0" r="0" b="0"/>
            <wp:docPr id="3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F3D28" w:rsidRPr="00740B36" w:rsidRDefault="003F7691" w:rsidP="002F3D28">
      <w:pPr>
        <w:tabs>
          <w:tab w:val="num" w:pos="121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40B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حوالي </w:t>
      </w:r>
      <w:r w:rsidR="002F3D28" w:rsidRPr="00740B36">
        <w:rPr>
          <w:rFonts w:ascii="Simplified Arabic" w:hAnsi="Simplified Arabic" w:cs="Simplified Arabic"/>
          <w:b/>
          <w:bCs/>
          <w:sz w:val="26"/>
          <w:szCs w:val="26"/>
          <w:rtl/>
        </w:rPr>
        <w:t>ثلث الأسر الفلسطينية لديها جهاز حاسوب</w:t>
      </w:r>
    </w:p>
    <w:p w:rsidR="00417C63" w:rsidRPr="00740B36" w:rsidRDefault="002F3D28" w:rsidP="00AB2068">
      <w:pPr>
        <w:tabs>
          <w:tab w:val="num" w:pos="121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أشارت بيانات </w:t>
      </w:r>
      <w:r w:rsidR="003F7691"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>ال</w:t>
      </w:r>
      <w:r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مسح </w:t>
      </w:r>
      <w:r w:rsidR="003F7691"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>الأسري لتكنولوجيا المعلومات والاتصالات لعام 2019</w:t>
      </w:r>
      <w:r w:rsidR="00055465"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>،</w:t>
      </w:r>
      <w:r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417C63"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>أ</w:t>
      </w:r>
      <w:r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ن </w:t>
      </w:r>
      <w:r w:rsidR="00AB2068" w:rsidRPr="00740B36">
        <w:rPr>
          <w:rFonts w:ascii="Simplified Arabic" w:hAnsi="Simplified Arabic" w:cs="Simplified Arabic"/>
          <w:color w:val="000000"/>
          <w:sz w:val="26"/>
          <w:szCs w:val="26"/>
        </w:rPr>
        <w:t>324,101</w:t>
      </w:r>
      <w:r w:rsidR="00AB2068"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أسرة وهو ما يعادل نسبة 33</w:t>
      </w:r>
      <w:r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 من الأسر في فلسطين لديها جهاز </w:t>
      </w:r>
      <w:r w:rsidR="00417C63"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>حاسوب (حاسوب مكتبي</w:t>
      </w:r>
      <w:r w:rsidR="001C5BC3"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أو </w:t>
      </w:r>
      <w:r w:rsidR="00EF4E12"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>محمول</w:t>
      </w:r>
      <w:r w:rsidR="001C5BC3"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أو</w:t>
      </w:r>
      <w:r w:rsidR="00491B56"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696B74"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>لوحي</w:t>
      </w:r>
      <w:r w:rsidR="00417C63"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>)</w:t>
      </w:r>
      <w:r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>،</w:t>
      </w:r>
      <w:r w:rsidR="00EF12BC"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بواقع </w:t>
      </w:r>
      <w:r w:rsidR="003F7691" w:rsidRPr="00740B36">
        <w:rPr>
          <w:rFonts w:ascii="Simplified Arabic" w:hAnsi="Simplified Arabic" w:cs="Simplified Arabic"/>
          <w:color w:val="000000"/>
          <w:sz w:val="26"/>
          <w:szCs w:val="26"/>
        </w:rPr>
        <w:t>36</w:t>
      </w:r>
      <w:r w:rsidR="00A10BC2"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>% في الضفة الغربية و</w:t>
      </w:r>
      <w:r w:rsidR="003F7691" w:rsidRPr="00740B36">
        <w:rPr>
          <w:rFonts w:ascii="Simplified Arabic" w:hAnsi="Simplified Arabic" w:cs="Simplified Arabic"/>
          <w:color w:val="000000"/>
          <w:sz w:val="26"/>
          <w:szCs w:val="26"/>
        </w:rPr>
        <w:t>29</w:t>
      </w:r>
      <w:r w:rsidR="00A10BC2"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 في </w:t>
      </w:r>
      <w:r w:rsidR="00A10BC2"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lastRenderedPageBreak/>
        <w:t>قطاع غزة</w:t>
      </w:r>
      <w:r w:rsidR="00F917E6"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>،</w:t>
      </w:r>
      <w:r w:rsidR="00A10BC2"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491B56"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>في ح</w:t>
      </w:r>
      <w:r w:rsidR="002936BA"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>ي</w:t>
      </w:r>
      <w:r w:rsidR="00491B56"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>ن</w:t>
      </w:r>
      <w:r w:rsidR="00417C63"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بلغت نسبة </w:t>
      </w:r>
      <w:r w:rsidR="006851B0"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الأفراد </w:t>
      </w:r>
      <w:r w:rsidR="00CF4EA6"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="003F7691" w:rsidRPr="00740B36">
        <w:rPr>
          <w:rFonts w:ascii="Simplified Arabic" w:hAnsi="Simplified Arabic" w:cs="Simplified Arabic"/>
          <w:color w:val="000000"/>
          <w:sz w:val="26"/>
          <w:szCs w:val="26"/>
        </w:rPr>
        <w:t>10</w:t>
      </w:r>
      <w:r w:rsidR="006851B0"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سن</w:t>
      </w:r>
      <w:r w:rsidR="003F7691"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>وات</w:t>
      </w:r>
      <w:r w:rsidR="006851B0"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فأكثر</w:t>
      </w:r>
      <w:r w:rsidR="00CF4EA6"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>)</w:t>
      </w:r>
      <w:r w:rsidR="006851B0"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الذين استخدموا جهاز الحاسوب من أي موقع </w:t>
      </w:r>
      <w:r w:rsidR="003F7691" w:rsidRPr="00740B36">
        <w:rPr>
          <w:rFonts w:ascii="Simplified Arabic" w:hAnsi="Simplified Arabic" w:cs="Simplified Arabic"/>
          <w:color w:val="000000"/>
          <w:sz w:val="26"/>
          <w:szCs w:val="26"/>
        </w:rPr>
        <w:t>26</w:t>
      </w:r>
      <w:r w:rsidR="006851B0"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 في فلسطين بواقع </w:t>
      </w:r>
      <w:r w:rsidR="003F7691" w:rsidRPr="00740B36">
        <w:rPr>
          <w:rFonts w:ascii="Simplified Arabic" w:hAnsi="Simplified Arabic" w:cs="Simplified Arabic"/>
          <w:color w:val="000000"/>
          <w:sz w:val="26"/>
          <w:szCs w:val="26"/>
        </w:rPr>
        <w:t>25</w:t>
      </w:r>
      <w:r w:rsidR="006851B0"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>% في الضفة الغربية و</w:t>
      </w:r>
      <w:r w:rsidR="003F7691" w:rsidRPr="00740B36">
        <w:rPr>
          <w:rFonts w:ascii="Simplified Arabic" w:hAnsi="Simplified Arabic" w:cs="Simplified Arabic"/>
          <w:color w:val="000000"/>
          <w:sz w:val="26"/>
          <w:szCs w:val="26"/>
        </w:rPr>
        <w:t>28</w:t>
      </w:r>
      <w:r w:rsidR="006851B0" w:rsidRPr="00740B36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 في قطاع غزة. </w:t>
      </w:r>
    </w:p>
    <w:p w:rsidR="00E639DD" w:rsidRPr="00740B36" w:rsidRDefault="00E639DD" w:rsidP="00696B74">
      <w:pPr>
        <w:tabs>
          <w:tab w:val="num" w:pos="121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AC2855" w:rsidRPr="00740B36" w:rsidRDefault="00AC2855" w:rsidP="00E639DD">
      <w:pPr>
        <w:tabs>
          <w:tab w:val="num" w:pos="121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40B36">
        <w:rPr>
          <w:rFonts w:ascii="Simplified Arabic" w:hAnsi="Simplified Arabic" w:cs="Simplified Arabic"/>
          <w:sz w:val="26"/>
          <w:szCs w:val="26"/>
          <w:rtl/>
        </w:rPr>
        <w:t xml:space="preserve">كما أظهرت النتائج أن نسبة الأسر التي لديها أطفال (10-17) سنة وملتحقين حاليا في التعليم ويتوفر لديها جهاز حاسوب (حاسوب مكتبي أو محمول أو لوحي) بلغت 44% في فلسطين بواقع </w:t>
      </w:r>
      <w:r w:rsidR="00BC7356" w:rsidRPr="00740B36">
        <w:rPr>
          <w:rFonts w:ascii="Simplified Arabic" w:hAnsi="Simplified Arabic" w:cs="Simplified Arabic"/>
          <w:sz w:val="26"/>
          <w:szCs w:val="26"/>
          <w:rtl/>
        </w:rPr>
        <w:t>50</w:t>
      </w:r>
      <w:r w:rsidRPr="00740B36">
        <w:rPr>
          <w:rFonts w:ascii="Simplified Arabic" w:hAnsi="Simplified Arabic" w:cs="Simplified Arabic"/>
          <w:sz w:val="26"/>
          <w:szCs w:val="26"/>
          <w:rtl/>
        </w:rPr>
        <w:t>% في الضفة الغربية و</w:t>
      </w:r>
      <w:r w:rsidR="00BC7356" w:rsidRPr="00740B36">
        <w:rPr>
          <w:rFonts w:ascii="Simplified Arabic" w:hAnsi="Simplified Arabic" w:cs="Simplified Arabic"/>
          <w:sz w:val="26"/>
          <w:szCs w:val="26"/>
          <w:rtl/>
        </w:rPr>
        <w:t>36</w:t>
      </w:r>
      <w:r w:rsidRPr="00740B36">
        <w:rPr>
          <w:rFonts w:ascii="Simplified Arabic" w:hAnsi="Simplified Arabic" w:cs="Simplified Arabic"/>
          <w:sz w:val="26"/>
          <w:szCs w:val="26"/>
          <w:rtl/>
        </w:rPr>
        <w:t>% في قطاع غزة</w:t>
      </w:r>
      <w:r w:rsidR="00E639DD" w:rsidRPr="00740B36">
        <w:rPr>
          <w:rFonts w:ascii="Simplified Arabic" w:hAnsi="Simplified Arabic" w:cs="Simplified Arabic"/>
          <w:sz w:val="26"/>
          <w:szCs w:val="26"/>
          <w:rtl/>
        </w:rPr>
        <w:t>،</w:t>
      </w:r>
      <w:r w:rsidRPr="00740B36">
        <w:rPr>
          <w:rFonts w:ascii="Simplified Arabic" w:hAnsi="Simplified Arabic" w:cs="Simplified Arabic"/>
          <w:sz w:val="26"/>
          <w:szCs w:val="26"/>
          <w:rtl/>
        </w:rPr>
        <w:t xml:space="preserve"> بينما بلغت نسبة الأسر التي لديها أفراد (18-24) سنة وملتحقين حاليا في التعليم ويتوفر لديها جهاز حاسوب (حاسوب مكتبي أو </w:t>
      </w:r>
      <w:r w:rsidR="00BC7356" w:rsidRPr="00740B36">
        <w:rPr>
          <w:rFonts w:ascii="Simplified Arabic" w:hAnsi="Simplified Arabic" w:cs="Simplified Arabic"/>
          <w:sz w:val="26"/>
          <w:szCs w:val="26"/>
          <w:rtl/>
        </w:rPr>
        <w:t>محمول أو لوحي) بلغت 60% في فلسطين بواقع 63% في الضفة الغربية و55% في قطاع غزة.</w:t>
      </w:r>
      <w:r w:rsidRPr="00740B36">
        <w:rPr>
          <w:rFonts w:ascii="Simplified Arabic" w:hAnsi="Simplified Arabic" w:cs="Simplified Arabic"/>
          <w:sz w:val="26"/>
          <w:szCs w:val="26"/>
          <w:rtl/>
        </w:rPr>
        <w:t xml:space="preserve">  </w:t>
      </w:r>
    </w:p>
    <w:p w:rsidR="00BE525B" w:rsidRPr="00740B36" w:rsidRDefault="00BE525B" w:rsidP="00BE525B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417C63" w:rsidRPr="00740B36" w:rsidRDefault="001E2A2C" w:rsidP="00467EA3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40B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حوالي </w:t>
      </w:r>
      <w:r w:rsidR="00467EA3" w:rsidRPr="00740B36">
        <w:rPr>
          <w:rFonts w:ascii="Simplified Arabic" w:hAnsi="Simplified Arabic" w:cs="Simplified Arabic"/>
          <w:b/>
          <w:bCs/>
          <w:sz w:val="26"/>
          <w:szCs w:val="26"/>
        </w:rPr>
        <w:t>80</w:t>
      </w:r>
      <w:r w:rsidR="00215471" w:rsidRPr="00740B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من </w:t>
      </w:r>
      <w:r w:rsidR="00417C63" w:rsidRPr="00740B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الأسر الفلسطينية لديها </w:t>
      </w:r>
      <w:r w:rsidR="005E5672" w:rsidRPr="00740B36">
        <w:rPr>
          <w:rFonts w:ascii="Simplified Arabic" w:hAnsi="Simplified Arabic" w:cs="Simplified Arabic"/>
          <w:b/>
          <w:bCs/>
          <w:sz w:val="26"/>
          <w:szCs w:val="26"/>
          <w:rtl/>
        </w:rPr>
        <w:t>نفاذ للانترنت</w:t>
      </w:r>
      <w:r w:rsidR="00417C63" w:rsidRPr="00740B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في </w:t>
      </w:r>
      <w:r w:rsidR="002F3D28" w:rsidRPr="00740B36">
        <w:rPr>
          <w:rFonts w:ascii="Simplified Arabic" w:hAnsi="Simplified Arabic" w:cs="Simplified Arabic"/>
          <w:b/>
          <w:bCs/>
          <w:sz w:val="26"/>
          <w:szCs w:val="26"/>
          <w:rtl/>
        </w:rPr>
        <w:t>المنزل</w:t>
      </w:r>
      <w:r w:rsidR="00126FB4" w:rsidRPr="00740B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:rsidR="008163EE" w:rsidRPr="00740B36" w:rsidRDefault="00126FB4" w:rsidP="00F6447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40B36">
        <w:rPr>
          <w:rFonts w:ascii="Simplified Arabic" w:hAnsi="Simplified Arabic" w:cs="Simplified Arabic"/>
          <w:sz w:val="26"/>
          <w:szCs w:val="26"/>
          <w:rtl/>
        </w:rPr>
        <w:t xml:space="preserve">أظهرت </w:t>
      </w:r>
      <w:r w:rsidR="00426E0E" w:rsidRPr="00740B36">
        <w:rPr>
          <w:rFonts w:ascii="Simplified Arabic" w:hAnsi="Simplified Arabic" w:cs="Simplified Arabic"/>
          <w:sz w:val="26"/>
          <w:szCs w:val="26"/>
          <w:rtl/>
        </w:rPr>
        <w:t xml:space="preserve">نتائج </w:t>
      </w:r>
      <w:r w:rsidR="00467EA3" w:rsidRPr="00740B36">
        <w:rPr>
          <w:rFonts w:ascii="Simplified Arabic" w:hAnsi="Simplified Arabic" w:cs="Simplified Arabic"/>
          <w:sz w:val="26"/>
          <w:szCs w:val="26"/>
          <w:rtl/>
        </w:rPr>
        <w:t>ال</w:t>
      </w:r>
      <w:r w:rsidR="00426E0E" w:rsidRPr="00740B36">
        <w:rPr>
          <w:rFonts w:ascii="Simplified Arabic" w:hAnsi="Simplified Arabic" w:cs="Simplified Arabic"/>
          <w:sz w:val="26"/>
          <w:szCs w:val="26"/>
          <w:rtl/>
        </w:rPr>
        <w:t xml:space="preserve">مسح </w:t>
      </w:r>
      <w:r w:rsidR="00467EA3" w:rsidRPr="00740B36">
        <w:rPr>
          <w:rFonts w:ascii="Simplified Arabic" w:hAnsi="Simplified Arabic" w:cs="Simplified Arabic"/>
          <w:sz w:val="26"/>
          <w:szCs w:val="26"/>
          <w:rtl/>
        </w:rPr>
        <w:t>الأسري لتكنولوجيا المعلومات والاتصالات لعام 2019</w:t>
      </w:r>
      <w:r w:rsidR="002F3D28" w:rsidRPr="00740B36">
        <w:rPr>
          <w:rFonts w:ascii="Simplified Arabic" w:hAnsi="Simplified Arabic" w:cs="Simplified Arabic"/>
          <w:sz w:val="26"/>
          <w:szCs w:val="26"/>
          <w:rtl/>
        </w:rPr>
        <w:t>،</w:t>
      </w:r>
      <w:r w:rsidR="00426E0E" w:rsidRPr="00740B3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5471" w:rsidRPr="00740B36">
        <w:rPr>
          <w:rFonts w:ascii="Simplified Arabic" w:hAnsi="Simplified Arabic" w:cs="Simplified Arabic"/>
          <w:sz w:val="26"/>
          <w:szCs w:val="26"/>
          <w:rtl/>
        </w:rPr>
        <w:t xml:space="preserve">أن </w:t>
      </w:r>
      <w:r w:rsidR="00467EA3" w:rsidRPr="00740B36">
        <w:rPr>
          <w:rFonts w:ascii="Simplified Arabic" w:hAnsi="Simplified Arabic" w:cs="Simplified Arabic"/>
          <w:sz w:val="26"/>
          <w:szCs w:val="26"/>
          <w:rtl/>
        </w:rPr>
        <w:t>80</w:t>
      </w:r>
      <w:r w:rsidR="00417C63" w:rsidRPr="00740B36">
        <w:rPr>
          <w:rFonts w:ascii="Simplified Arabic" w:hAnsi="Simplified Arabic" w:cs="Simplified Arabic"/>
          <w:sz w:val="26"/>
          <w:szCs w:val="26"/>
          <w:rtl/>
        </w:rPr>
        <w:t xml:space="preserve">% من الأسر في فلسطين لديها </w:t>
      </w:r>
      <w:r w:rsidR="00F6447C" w:rsidRPr="00740B36">
        <w:rPr>
          <w:rFonts w:ascii="Simplified Arabic" w:hAnsi="Simplified Arabic" w:cs="Simplified Arabic"/>
          <w:sz w:val="26"/>
          <w:szCs w:val="26"/>
          <w:rtl/>
        </w:rPr>
        <w:t xml:space="preserve">نفاذ </w:t>
      </w:r>
      <w:r w:rsidR="00074288" w:rsidRPr="00740B36">
        <w:rPr>
          <w:rFonts w:ascii="Simplified Arabic" w:hAnsi="Simplified Arabic" w:cs="Simplified Arabic"/>
          <w:sz w:val="26"/>
          <w:szCs w:val="26"/>
          <w:rtl/>
        </w:rPr>
        <w:t>إلى</w:t>
      </w:r>
      <w:r w:rsidR="00F6447C" w:rsidRPr="00740B36">
        <w:rPr>
          <w:rFonts w:ascii="Simplified Arabic" w:hAnsi="Simplified Arabic" w:cs="Simplified Arabic"/>
          <w:sz w:val="26"/>
          <w:szCs w:val="26"/>
          <w:rtl/>
        </w:rPr>
        <w:t xml:space="preserve"> خدمة </w:t>
      </w:r>
      <w:r w:rsidR="00417C63" w:rsidRPr="00740B36">
        <w:rPr>
          <w:rFonts w:ascii="Simplified Arabic" w:hAnsi="Simplified Arabic" w:cs="Simplified Arabic"/>
          <w:sz w:val="26"/>
          <w:szCs w:val="26"/>
          <w:rtl/>
        </w:rPr>
        <w:t>الإنترنت</w:t>
      </w:r>
      <w:r w:rsidR="00491B56" w:rsidRPr="00740B3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6BC9" w:rsidRPr="00740B36">
        <w:rPr>
          <w:rFonts w:ascii="Simplified Arabic" w:hAnsi="Simplified Arabic" w:cs="Simplified Arabic"/>
          <w:sz w:val="26"/>
          <w:szCs w:val="26"/>
          <w:rtl/>
        </w:rPr>
        <w:t xml:space="preserve">في </w:t>
      </w:r>
      <w:r w:rsidR="002F3D28" w:rsidRPr="00740B36">
        <w:rPr>
          <w:rFonts w:ascii="Simplified Arabic" w:hAnsi="Simplified Arabic" w:cs="Simplified Arabic"/>
          <w:sz w:val="26"/>
          <w:szCs w:val="26"/>
          <w:rtl/>
        </w:rPr>
        <w:t>المنزل</w:t>
      </w:r>
      <w:r w:rsidR="00417C63" w:rsidRPr="00740B36">
        <w:rPr>
          <w:rFonts w:ascii="Simplified Arabic" w:hAnsi="Simplified Arabic" w:cs="Simplified Arabic"/>
          <w:sz w:val="26"/>
          <w:szCs w:val="26"/>
          <w:rtl/>
        </w:rPr>
        <w:t xml:space="preserve">، بواقع </w:t>
      </w:r>
      <w:r w:rsidR="00467EA3" w:rsidRPr="00740B36">
        <w:rPr>
          <w:rFonts w:ascii="Simplified Arabic" w:hAnsi="Simplified Arabic" w:cs="Simplified Arabic"/>
          <w:sz w:val="26"/>
          <w:szCs w:val="26"/>
          <w:rtl/>
        </w:rPr>
        <w:t>84</w:t>
      </w:r>
      <w:r w:rsidR="00417C63" w:rsidRPr="00740B36">
        <w:rPr>
          <w:rFonts w:ascii="Simplified Arabic" w:hAnsi="Simplified Arabic" w:cs="Simplified Arabic"/>
          <w:sz w:val="26"/>
          <w:szCs w:val="26"/>
          <w:rtl/>
        </w:rPr>
        <w:t>% في الضفة الغربية، و</w:t>
      </w:r>
      <w:r w:rsidR="00467EA3" w:rsidRPr="00740B36">
        <w:rPr>
          <w:rFonts w:ascii="Simplified Arabic" w:hAnsi="Simplified Arabic" w:cs="Simplified Arabic"/>
          <w:sz w:val="26"/>
          <w:szCs w:val="26"/>
          <w:rtl/>
        </w:rPr>
        <w:t>73</w:t>
      </w:r>
      <w:r w:rsidR="00417C63" w:rsidRPr="00740B36">
        <w:rPr>
          <w:rFonts w:ascii="Simplified Arabic" w:hAnsi="Simplified Arabic" w:cs="Simplified Arabic"/>
          <w:sz w:val="26"/>
          <w:szCs w:val="26"/>
          <w:rtl/>
        </w:rPr>
        <w:t>% في قطاع غزة</w:t>
      </w:r>
      <w:r w:rsidR="001C5BC3" w:rsidRPr="00740B36">
        <w:rPr>
          <w:rFonts w:ascii="Simplified Arabic" w:hAnsi="Simplified Arabic" w:cs="Simplified Arabic"/>
          <w:sz w:val="26"/>
          <w:szCs w:val="26"/>
          <w:rtl/>
        </w:rPr>
        <w:t>.</w:t>
      </w:r>
      <w:r w:rsidR="004B4FC4" w:rsidRPr="00740B3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1B56" w:rsidRPr="00740B3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67EA3" w:rsidRPr="00740B36">
        <w:rPr>
          <w:rFonts w:ascii="Simplified Arabic" w:hAnsi="Simplified Arabic" w:cs="Simplified Arabic"/>
          <w:sz w:val="26"/>
          <w:szCs w:val="26"/>
          <w:rtl/>
        </w:rPr>
        <w:t>كما أظهرت النتائج عدم وجود فجوة كبيرة حول توفر</w:t>
      </w:r>
      <w:r w:rsidR="003478A1" w:rsidRPr="00740B3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6447C" w:rsidRPr="00740B36">
        <w:rPr>
          <w:rFonts w:ascii="Simplified Arabic" w:hAnsi="Simplified Arabic" w:cs="Simplified Arabic"/>
          <w:sz w:val="26"/>
          <w:szCs w:val="26"/>
          <w:rtl/>
        </w:rPr>
        <w:t>خدمة</w:t>
      </w:r>
      <w:r w:rsidR="00467EA3" w:rsidRPr="00740B36">
        <w:rPr>
          <w:rFonts w:ascii="Simplified Arabic" w:hAnsi="Simplified Arabic" w:cs="Simplified Arabic"/>
          <w:sz w:val="26"/>
          <w:szCs w:val="26"/>
          <w:rtl/>
        </w:rPr>
        <w:t xml:space="preserve"> الانترنت لدى الأسر الفلسطينية </w:t>
      </w:r>
      <w:r w:rsidR="00F6447C" w:rsidRPr="00740B36">
        <w:rPr>
          <w:rFonts w:ascii="Simplified Arabic" w:hAnsi="Simplified Arabic" w:cs="Simplified Arabic"/>
          <w:sz w:val="26"/>
          <w:szCs w:val="26"/>
          <w:rtl/>
        </w:rPr>
        <w:t xml:space="preserve">في المنزل </w:t>
      </w:r>
      <w:r w:rsidR="00467EA3" w:rsidRPr="00740B36">
        <w:rPr>
          <w:rFonts w:ascii="Simplified Arabic" w:hAnsi="Simplified Arabic" w:cs="Simplified Arabic"/>
          <w:sz w:val="26"/>
          <w:szCs w:val="26"/>
          <w:rtl/>
        </w:rPr>
        <w:t xml:space="preserve">بين الحضر والريف حيث بلغت النسبة 80% في الحضر و81% في الريف، بينما بلغت 75% في المخيمات. </w:t>
      </w:r>
    </w:p>
    <w:p w:rsidR="00E639DD" w:rsidRPr="00740B36" w:rsidRDefault="00E639DD" w:rsidP="00F6447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F6447C" w:rsidRPr="00740B36" w:rsidRDefault="00C211B0" w:rsidP="00696B7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40B36">
        <w:rPr>
          <w:rFonts w:ascii="Simplified Arabic" w:hAnsi="Simplified Arabic" w:cs="Simplified Arabic"/>
          <w:sz w:val="26"/>
          <w:szCs w:val="26"/>
          <w:rtl/>
        </w:rPr>
        <w:t xml:space="preserve">كما أظهرت النتائج أن نسبة الأسر التي لديها أطفال (10-17) سنة وملتحقين حاليا في التعليم ويتوفر لديها خدمة الانترنت في المنزل بلغت 86% في فلسطين بواقع 91% في الضفة الغربية و78% في قطاع غزة، بينما بلغت نسبة الأسر التي لديها أفراد (18-24) سنة وملتحقين حاليا في التعليم ولديها خدمة الانترنت في المنزل بلغت </w:t>
      </w:r>
      <w:r w:rsidR="00D45A7C" w:rsidRPr="00740B36">
        <w:rPr>
          <w:rFonts w:ascii="Simplified Arabic" w:hAnsi="Simplified Arabic" w:cs="Simplified Arabic"/>
          <w:sz w:val="26"/>
          <w:szCs w:val="26"/>
          <w:rtl/>
        </w:rPr>
        <w:t>93% في فلسطين بواقع 96% في الضفة الغربية و89% في قطاع غزة.</w:t>
      </w:r>
    </w:p>
    <w:p w:rsidR="00D45A7C" w:rsidRPr="00740B36" w:rsidRDefault="00D45A7C" w:rsidP="00696B7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484D96" w:rsidRPr="00740B36" w:rsidRDefault="008163EE" w:rsidP="003478A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40B36">
        <w:rPr>
          <w:rFonts w:ascii="Simplified Arabic" w:hAnsi="Simplified Arabic" w:cs="Simplified Arabic"/>
          <w:sz w:val="26"/>
          <w:szCs w:val="26"/>
          <w:rtl/>
        </w:rPr>
        <w:t>ف</w:t>
      </w:r>
      <w:r w:rsidR="00B61361" w:rsidRPr="00740B36">
        <w:rPr>
          <w:rFonts w:ascii="Simplified Arabic" w:hAnsi="Simplified Arabic" w:cs="Simplified Arabic"/>
          <w:sz w:val="26"/>
          <w:szCs w:val="26"/>
          <w:rtl/>
        </w:rPr>
        <w:t xml:space="preserve">ي حين بلغت نسبة الأفراد </w:t>
      </w:r>
      <w:r w:rsidR="00E439F8" w:rsidRPr="00740B36">
        <w:rPr>
          <w:rFonts w:ascii="Simplified Arabic" w:hAnsi="Simplified Arabic" w:cs="Simplified Arabic"/>
          <w:sz w:val="26"/>
          <w:szCs w:val="26"/>
          <w:rtl/>
        </w:rPr>
        <w:t>(</w:t>
      </w:r>
      <w:r w:rsidR="00467EA3" w:rsidRPr="00740B36">
        <w:rPr>
          <w:rFonts w:ascii="Simplified Arabic" w:hAnsi="Simplified Arabic" w:cs="Simplified Arabic"/>
          <w:sz w:val="26"/>
          <w:szCs w:val="26"/>
        </w:rPr>
        <w:t>10</w:t>
      </w:r>
      <w:r w:rsidRPr="00740B3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61361" w:rsidRPr="00740B36">
        <w:rPr>
          <w:rFonts w:ascii="Simplified Arabic" w:hAnsi="Simplified Arabic" w:cs="Simplified Arabic"/>
          <w:sz w:val="26"/>
          <w:szCs w:val="26"/>
          <w:rtl/>
        </w:rPr>
        <w:t>سن</w:t>
      </w:r>
      <w:r w:rsidR="00467EA3" w:rsidRPr="00740B36">
        <w:rPr>
          <w:rFonts w:ascii="Simplified Arabic" w:hAnsi="Simplified Arabic" w:cs="Simplified Arabic"/>
          <w:sz w:val="26"/>
          <w:szCs w:val="26"/>
          <w:rtl/>
        </w:rPr>
        <w:t xml:space="preserve">وات </w:t>
      </w:r>
      <w:r w:rsidR="00B61361" w:rsidRPr="00740B36">
        <w:rPr>
          <w:rFonts w:ascii="Simplified Arabic" w:hAnsi="Simplified Arabic" w:cs="Simplified Arabic"/>
          <w:sz w:val="26"/>
          <w:szCs w:val="26"/>
          <w:rtl/>
        </w:rPr>
        <w:t>فأكثر</w:t>
      </w:r>
      <w:r w:rsidR="00E439F8" w:rsidRPr="00740B36">
        <w:rPr>
          <w:rFonts w:ascii="Simplified Arabic" w:hAnsi="Simplified Arabic" w:cs="Simplified Arabic"/>
          <w:sz w:val="26"/>
          <w:szCs w:val="26"/>
          <w:rtl/>
        </w:rPr>
        <w:t>)</w:t>
      </w:r>
      <w:r w:rsidR="00B61361" w:rsidRPr="00740B36">
        <w:rPr>
          <w:rFonts w:ascii="Simplified Arabic" w:hAnsi="Simplified Arabic" w:cs="Simplified Arabic"/>
          <w:sz w:val="26"/>
          <w:szCs w:val="26"/>
          <w:rtl/>
        </w:rPr>
        <w:t xml:space="preserve"> الذين استخدموا الانترنت من أي مكان </w:t>
      </w:r>
      <w:r w:rsidR="00467EA3" w:rsidRPr="00740B36">
        <w:rPr>
          <w:rFonts w:ascii="Simplified Arabic" w:hAnsi="Simplified Arabic" w:cs="Simplified Arabic"/>
          <w:sz w:val="26"/>
          <w:szCs w:val="26"/>
          <w:rtl/>
        </w:rPr>
        <w:t>71</w:t>
      </w:r>
      <w:r w:rsidR="00B61361" w:rsidRPr="00740B36">
        <w:rPr>
          <w:rFonts w:ascii="Simplified Arabic" w:hAnsi="Simplified Arabic" w:cs="Simplified Arabic"/>
          <w:sz w:val="26"/>
          <w:szCs w:val="26"/>
          <w:rtl/>
        </w:rPr>
        <w:t xml:space="preserve">% في فلسطين بواقع </w:t>
      </w:r>
      <w:r w:rsidR="00467EA3" w:rsidRPr="00740B36">
        <w:rPr>
          <w:rFonts w:ascii="Simplified Arabic" w:hAnsi="Simplified Arabic" w:cs="Simplified Arabic"/>
          <w:sz w:val="26"/>
          <w:szCs w:val="26"/>
          <w:rtl/>
        </w:rPr>
        <w:t>74</w:t>
      </w:r>
      <w:r w:rsidR="00B61361" w:rsidRPr="00740B36">
        <w:rPr>
          <w:rFonts w:ascii="Simplified Arabic" w:hAnsi="Simplified Arabic" w:cs="Simplified Arabic"/>
          <w:sz w:val="26"/>
          <w:szCs w:val="26"/>
          <w:rtl/>
        </w:rPr>
        <w:t>% في الضفة الغربية و</w:t>
      </w:r>
      <w:r w:rsidR="00467EA3" w:rsidRPr="00740B36">
        <w:rPr>
          <w:rFonts w:ascii="Simplified Arabic" w:hAnsi="Simplified Arabic" w:cs="Simplified Arabic"/>
          <w:sz w:val="26"/>
          <w:szCs w:val="26"/>
          <w:rtl/>
        </w:rPr>
        <w:t>65</w:t>
      </w:r>
      <w:r w:rsidR="00B61361" w:rsidRPr="00740B36">
        <w:rPr>
          <w:rFonts w:ascii="Simplified Arabic" w:hAnsi="Simplified Arabic" w:cs="Simplified Arabic"/>
          <w:sz w:val="26"/>
          <w:szCs w:val="26"/>
          <w:rtl/>
        </w:rPr>
        <w:t>% في قطاع غزة.</w:t>
      </w:r>
      <w:r w:rsidRPr="00740B3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1157C" w:rsidRPr="00740B36">
        <w:rPr>
          <w:rFonts w:ascii="Simplified Arabic" w:hAnsi="Simplified Arabic" w:cs="Simplified Arabic"/>
          <w:sz w:val="26"/>
          <w:szCs w:val="26"/>
          <w:rtl/>
        </w:rPr>
        <w:t xml:space="preserve">حيث بلغت نسبة المستخدمين للانترنت </w:t>
      </w:r>
      <w:r w:rsidR="00AB7933" w:rsidRPr="00740B36">
        <w:rPr>
          <w:rFonts w:ascii="Simplified Arabic" w:hAnsi="Simplified Arabic" w:cs="Simplified Arabic"/>
          <w:sz w:val="26"/>
          <w:szCs w:val="26"/>
          <w:rtl/>
        </w:rPr>
        <w:t xml:space="preserve">بين الذكور </w:t>
      </w:r>
      <w:r w:rsidR="002E321B" w:rsidRPr="00740B36">
        <w:rPr>
          <w:rFonts w:ascii="Simplified Arabic" w:hAnsi="Simplified Arabic" w:cs="Simplified Arabic"/>
          <w:sz w:val="26"/>
          <w:szCs w:val="26"/>
        </w:rPr>
        <w:t>72</w:t>
      </w:r>
      <w:r w:rsidR="00AB7933" w:rsidRPr="00740B36">
        <w:rPr>
          <w:rFonts w:ascii="Simplified Arabic" w:hAnsi="Simplified Arabic" w:cs="Simplified Arabic"/>
          <w:sz w:val="26"/>
          <w:szCs w:val="26"/>
          <w:rtl/>
        </w:rPr>
        <w:t xml:space="preserve">% مقابل </w:t>
      </w:r>
      <w:r w:rsidR="002E321B" w:rsidRPr="00740B36">
        <w:rPr>
          <w:rFonts w:ascii="Simplified Arabic" w:hAnsi="Simplified Arabic" w:cs="Simplified Arabic"/>
          <w:sz w:val="26"/>
          <w:szCs w:val="26"/>
        </w:rPr>
        <w:t>69</w:t>
      </w:r>
      <w:r w:rsidR="00AB7933" w:rsidRPr="00740B36">
        <w:rPr>
          <w:rFonts w:ascii="Simplified Arabic" w:hAnsi="Simplified Arabic" w:cs="Simplified Arabic"/>
          <w:sz w:val="26"/>
          <w:szCs w:val="26"/>
          <w:rtl/>
        </w:rPr>
        <w:t xml:space="preserve">% للإناث، علما أن </w:t>
      </w:r>
      <w:r w:rsidR="002E321B" w:rsidRPr="00740B36">
        <w:rPr>
          <w:rFonts w:ascii="Simplified Arabic" w:hAnsi="Simplified Arabic" w:cs="Simplified Arabic"/>
          <w:sz w:val="26"/>
          <w:szCs w:val="26"/>
        </w:rPr>
        <w:t>96</w:t>
      </w:r>
      <w:r w:rsidR="00AB7933" w:rsidRPr="00740B36">
        <w:rPr>
          <w:rFonts w:ascii="Simplified Arabic" w:hAnsi="Simplified Arabic" w:cs="Simplified Arabic"/>
          <w:sz w:val="26"/>
          <w:szCs w:val="26"/>
          <w:rtl/>
        </w:rPr>
        <w:t xml:space="preserve">% من الأفراد (10 سنوات فأكثر) </w:t>
      </w:r>
      <w:r w:rsidR="00F6447C" w:rsidRPr="00740B36">
        <w:rPr>
          <w:rFonts w:ascii="Simplified Arabic" w:hAnsi="Simplified Arabic" w:cs="Simplified Arabic"/>
          <w:sz w:val="26"/>
          <w:szCs w:val="26"/>
          <w:rtl/>
        </w:rPr>
        <w:t>استخدموا</w:t>
      </w:r>
      <w:r w:rsidR="00AB7933" w:rsidRPr="00740B36">
        <w:rPr>
          <w:rFonts w:ascii="Simplified Arabic" w:hAnsi="Simplified Arabic" w:cs="Simplified Arabic"/>
          <w:sz w:val="26"/>
          <w:szCs w:val="26"/>
          <w:rtl/>
        </w:rPr>
        <w:t xml:space="preserve"> الانترنت بواسطة الهاتف </w:t>
      </w:r>
      <w:r w:rsidR="003478A1" w:rsidRPr="00740B36">
        <w:rPr>
          <w:rFonts w:ascii="Simplified Arabic" w:hAnsi="Simplified Arabic" w:cs="Simplified Arabic"/>
          <w:sz w:val="26"/>
          <w:szCs w:val="26"/>
          <w:rtl/>
        </w:rPr>
        <w:t xml:space="preserve">النقال </w:t>
      </w:r>
      <w:r w:rsidR="00AB7933" w:rsidRPr="00740B36">
        <w:rPr>
          <w:rFonts w:ascii="Simplified Arabic" w:hAnsi="Simplified Arabic" w:cs="Simplified Arabic"/>
          <w:sz w:val="26"/>
          <w:szCs w:val="26"/>
          <w:rtl/>
        </w:rPr>
        <w:t xml:space="preserve">الذكي، في حين بلغت نسبة الأفراد (10 سنوات فأكثر) الذين </w:t>
      </w:r>
      <w:r w:rsidR="00F6447C" w:rsidRPr="00740B36">
        <w:rPr>
          <w:rFonts w:ascii="Simplified Arabic" w:hAnsi="Simplified Arabic" w:cs="Simplified Arabic"/>
          <w:sz w:val="26"/>
          <w:szCs w:val="26"/>
          <w:rtl/>
        </w:rPr>
        <w:t xml:space="preserve">استخدموا </w:t>
      </w:r>
      <w:r w:rsidR="00AB7933" w:rsidRPr="00740B36">
        <w:rPr>
          <w:rFonts w:ascii="Simplified Arabic" w:hAnsi="Simplified Arabic" w:cs="Simplified Arabic"/>
          <w:sz w:val="26"/>
          <w:szCs w:val="26"/>
          <w:rtl/>
        </w:rPr>
        <w:t>الإنترنت</w:t>
      </w:r>
      <w:r w:rsidR="00B1157C" w:rsidRPr="00740B3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B7933" w:rsidRPr="00740B36">
        <w:rPr>
          <w:rFonts w:ascii="Simplified Arabic" w:hAnsi="Simplified Arabic" w:cs="Simplified Arabic"/>
          <w:sz w:val="26"/>
          <w:szCs w:val="26"/>
          <w:rtl/>
        </w:rPr>
        <w:t xml:space="preserve">بواسطة الحاسوب (حاسوب مكتبي أو </w:t>
      </w:r>
      <w:r w:rsidR="003478A1" w:rsidRPr="00740B36">
        <w:rPr>
          <w:rFonts w:ascii="Simplified Arabic" w:hAnsi="Simplified Arabic" w:cs="Simplified Arabic"/>
          <w:sz w:val="26"/>
          <w:szCs w:val="26"/>
          <w:rtl/>
        </w:rPr>
        <w:t>محمول</w:t>
      </w:r>
      <w:r w:rsidR="00AB7933" w:rsidRPr="00740B36">
        <w:rPr>
          <w:rFonts w:ascii="Simplified Arabic" w:hAnsi="Simplified Arabic" w:cs="Simplified Arabic"/>
          <w:sz w:val="26"/>
          <w:szCs w:val="26"/>
          <w:rtl/>
        </w:rPr>
        <w:t xml:space="preserve">) حوالي </w:t>
      </w:r>
      <w:r w:rsidR="002E321B" w:rsidRPr="00740B36">
        <w:rPr>
          <w:rFonts w:ascii="Simplified Arabic" w:hAnsi="Simplified Arabic" w:cs="Simplified Arabic"/>
          <w:sz w:val="26"/>
          <w:szCs w:val="26"/>
        </w:rPr>
        <w:t>22</w:t>
      </w:r>
      <w:r w:rsidR="00AB7933" w:rsidRPr="00740B36">
        <w:rPr>
          <w:rFonts w:ascii="Simplified Arabic" w:hAnsi="Simplified Arabic" w:cs="Simplified Arabic"/>
          <w:sz w:val="26"/>
          <w:szCs w:val="26"/>
          <w:rtl/>
        </w:rPr>
        <w:t>%، و</w:t>
      </w:r>
      <w:r w:rsidR="002E321B" w:rsidRPr="00740B36">
        <w:rPr>
          <w:rFonts w:ascii="Simplified Arabic" w:hAnsi="Simplified Arabic" w:cs="Simplified Arabic"/>
          <w:sz w:val="26"/>
          <w:szCs w:val="26"/>
        </w:rPr>
        <w:t>10</w:t>
      </w:r>
      <w:r w:rsidR="00AB7933" w:rsidRPr="00740B36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F6447C" w:rsidRPr="00740B36">
        <w:rPr>
          <w:rFonts w:ascii="Simplified Arabic" w:hAnsi="Simplified Arabic" w:cs="Simplified Arabic"/>
          <w:sz w:val="26"/>
          <w:szCs w:val="26"/>
          <w:rtl/>
        </w:rPr>
        <w:t xml:space="preserve">استخدموا </w:t>
      </w:r>
      <w:r w:rsidR="00AB7933" w:rsidRPr="00740B36">
        <w:rPr>
          <w:rFonts w:ascii="Simplified Arabic" w:hAnsi="Simplified Arabic" w:cs="Simplified Arabic"/>
          <w:sz w:val="26"/>
          <w:szCs w:val="26"/>
          <w:rtl/>
        </w:rPr>
        <w:t xml:space="preserve">الانترنت بواسطة </w:t>
      </w:r>
      <w:r w:rsidR="00696B74" w:rsidRPr="00740B36">
        <w:rPr>
          <w:rFonts w:ascii="Simplified Arabic" w:hAnsi="Simplified Arabic" w:cs="Simplified Arabic"/>
          <w:sz w:val="26"/>
          <w:szCs w:val="26"/>
          <w:rtl/>
        </w:rPr>
        <w:t>الحاسوب اللوحي</w:t>
      </w:r>
      <w:r w:rsidR="00AB7933" w:rsidRPr="00740B36">
        <w:rPr>
          <w:rFonts w:ascii="Simplified Arabic" w:hAnsi="Simplified Arabic" w:cs="Simplified Arabic"/>
          <w:sz w:val="26"/>
          <w:szCs w:val="26"/>
          <w:rtl/>
        </w:rPr>
        <w:t xml:space="preserve">.  </w:t>
      </w:r>
      <w:r w:rsidR="00467EA3" w:rsidRPr="00740B36">
        <w:rPr>
          <w:rFonts w:ascii="Simplified Arabic" w:hAnsi="Simplified Arabic" w:cs="Simplified Arabic"/>
          <w:sz w:val="26"/>
          <w:szCs w:val="26"/>
          <w:rtl/>
        </w:rPr>
        <w:t>كما أظهرت</w:t>
      </w:r>
      <w:r w:rsidRPr="00740B3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84D96" w:rsidRPr="00740B36">
        <w:rPr>
          <w:rFonts w:ascii="Simplified Arabic" w:hAnsi="Simplified Arabic" w:cs="Simplified Arabic"/>
          <w:sz w:val="26"/>
          <w:szCs w:val="26"/>
          <w:rtl/>
        </w:rPr>
        <w:t>النتائج أن النسبة الأعلى للذين يستخدمون الانترنت هي من الشباب في الفئة العمرية 18-29 سنة حيث</w:t>
      </w:r>
      <w:r w:rsidR="00D33E51" w:rsidRPr="00740B36">
        <w:rPr>
          <w:rFonts w:ascii="Simplified Arabic" w:hAnsi="Simplified Arabic" w:cs="Simplified Arabic"/>
          <w:sz w:val="26"/>
          <w:szCs w:val="26"/>
          <w:rtl/>
        </w:rPr>
        <w:t xml:space="preserve"> بلغت </w:t>
      </w:r>
      <w:r w:rsidR="00484D96" w:rsidRPr="00740B36">
        <w:rPr>
          <w:rFonts w:ascii="Simplified Arabic" w:hAnsi="Simplified Arabic" w:cs="Simplified Arabic"/>
          <w:sz w:val="26"/>
          <w:szCs w:val="26"/>
          <w:rtl/>
        </w:rPr>
        <w:t>86%.</w:t>
      </w:r>
    </w:p>
    <w:p w:rsidR="003478A1" w:rsidRPr="00740B36" w:rsidRDefault="003478A1" w:rsidP="00B205E1">
      <w:pPr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B205E1" w:rsidRPr="00740B36" w:rsidRDefault="00B205E1" w:rsidP="00B205E1">
      <w:pPr>
        <w:jc w:val="center"/>
        <w:rPr>
          <w:rFonts w:cs="Simplified Arabic"/>
          <w:b/>
          <w:bCs/>
          <w:color w:val="000000"/>
          <w:rtl/>
        </w:rPr>
      </w:pPr>
      <w:r w:rsidRPr="00740B36">
        <w:rPr>
          <w:rFonts w:cs="Simplified Arabic" w:hint="cs"/>
          <w:b/>
          <w:bCs/>
          <w:color w:val="000000"/>
          <w:rtl/>
        </w:rPr>
        <w:t>نسبة الأفراد (10 سنوات فأكثر) الذين يستخدمون الانترنت حسب الفئات العمرية في فلسطين، 2019</w:t>
      </w:r>
    </w:p>
    <w:p w:rsidR="00484D96" w:rsidRDefault="00D31A68" w:rsidP="00740B36">
      <w:pPr>
        <w:jc w:val="center"/>
        <w:rPr>
          <w:rFonts w:cs="Simplified Arabic"/>
          <w:rtl/>
        </w:rPr>
      </w:pPr>
      <w:r>
        <w:rPr>
          <w:rFonts w:cs="Simplified Arabic"/>
          <w:noProof/>
          <w:lang w:eastAsia="en-US"/>
        </w:rPr>
        <w:drawing>
          <wp:inline distT="0" distB="0" distL="0" distR="0">
            <wp:extent cx="2967355" cy="2001520"/>
            <wp:effectExtent l="0" t="0" r="0" b="0"/>
            <wp:docPr id="4" name="Char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C2266" w:rsidRPr="00EC2266" w:rsidRDefault="00EC2266" w:rsidP="00451FA1">
      <w:pPr>
        <w:jc w:val="lowKashida"/>
        <w:rPr>
          <w:rFonts w:cs="Simplified Arabic"/>
          <w:sz w:val="20"/>
          <w:szCs w:val="20"/>
          <w:rtl/>
        </w:rPr>
      </w:pPr>
    </w:p>
    <w:p w:rsidR="00192648" w:rsidRPr="00740B36" w:rsidRDefault="0047259F" w:rsidP="00AB7933">
      <w:pPr>
        <w:jc w:val="lowKashida"/>
        <w:rPr>
          <w:rFonts w:cs="Simplified Arabic"/>
          <w:color w:val="000000"/>
          <w:sz w:val="26"/>
          <w:szCs w:val="26"/>
          <w:rtl/>
        </w:rPr>
      </w:pPr>
      <w:r w:rsidRPr="00740B36">
        <w:rPr>
          <w:rFonts w:cs="Simplified Arabic" w:hint="cs"/>
          <w:color w:val="000000"/>
          <w:sz w:val="26"/>
          <w:szCs w:val="26"/>
          <w:rtl/>
        </w:rPr>
        <w:t xml:space="preserve">كما </w:t>
      </w:r>
      <w:r w:rsidR="00451FA1" w:rsidRPr="00740B36">
        <w:rPr>
          <w:rFonts w:cs="Simplified Arabic" w:hint="cs"/>
          <w:color w:val="000000"/>
          <w:sz w:val="26"/>
          <w:szCs w:val="26"/>
          <w:rtl/>
        </w:rPr>
        <w:t xml:space="preserve">أظهرت نتائج المسح أن نسبة الأفراد (10 سنوات فأكثر) الذين يستخدمون شبكات </w:t>
      </w:r>
      <w:r w:rsidR="00192648" w:rsidRPr="00740B36">
        <w:rPr>
          <w:rFonts w:cs="Simplified Arabic" w:hint="cs"/>
          <w:color w:val="000000"/>
          <w:sz w:val="26"/>
          <w:szCs w:val="26"/>
          <w:rtl/>
        </w:rPr>
        <w:t>التواصل الاجتماعي</w:t>
      </w:r>
      <w:r w:rsidR="00451FA1" w:rsidRPr="00740B36">
        <w:rPr>
          <w:rFonts w:cs="Simplified Arabic" w:hint="cs"/>
          <w:color w:val="000000"/>
          <w:sz w:val="26"/>
          <w:szCs w:val="26"/>
          <w:rtl/>
        </w:rPr>
        <w:t xml:space="preserve"> أو المهني في فلسطين بلغت 86% بواقع 90% في الضفة الغربية و79% في قطاع غزة.  وعلى صعيد الجنس فقد بلغت هذه النسبة بين الإناث 84% وبين الذكور 88%.</w:t>
      </w:r>
    </w:p>
    <w:p w:rsidR="009833B5" w:rsidRPr="00740B36" w:rsidRDefault="009833B5" w:rsidP="009833B5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740B36">
        <w:rPr>
          <w:rFonts w:ascii="Simplified Arabic" w:hAnsi="Simplified Arabic" w:cs="Simplified Arabic" w:hint="cs"/>
          <w:sz w:val="26"/>
          <w:szCs w:val="26"/>
          <w:rtl/>
        </w:rPr>
        <w:t xml:space="preserve">  </w:t>
      </w:r>
    </w:p>
    <w:p w:rsidR="009B5A6E" w:rsidRPr="00740B36" w:rsidRDefault="009B5A6E" w:rsidP="000B3424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40B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فجوة </w:t>
      </w:r>
      <w:r w:rsidR="00EC08B9" w:rsidRPr="00740B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كبيرة </w:t>
      </w:r>
      <w:r w:rsidRPr="00740B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بين </w:t>
      </w:r>
      <w:r w:rsidR="007266BE" w:rsidRPr="00740B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الأسر التي ترأسها إناث و</w:t>
      </w:r>
      <w:r w:rsidRPr="00740B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الأسر</w:t>
      </w:r>
      <w:r w:rsidR="007266BE" w:rsidRPr="00740B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التي يرأسها</w:t>
      </w:r>
      <w:r w:rsidR="000B3424" w:rsidRPr="00740B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740B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ذكور من حيث توفر أدوات تكنولوجيا المعلومات والإتصالات</w:t>
      </w:r>
      <w:r w:rsidR="009833B5" w:rsidRPr="00740B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</w:t>
      </w:r>
    </w:p>
    <w:p w:rsidR="00642F9E" w:rsidRPr="00740B36" w:rsidRDefault="009B5A6E" w:rsidP="00D309B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40B36">
        <w:rPr>
          <w:rFonts w:ascii="Simplified Arabic" w:hAnsi="Simplified Arabic" w:cs="Simplified Arabic" w:hint="cs"/>
          <w:sz w:val="26"/>
          <w:szCs w:val="26"/>
          <w:rtl/>
        </w:rPr>
        <w:t xml:space="preserve">أظهرت بيانات المسح الأسري لتكنولوجيا المعلومات والاتصالات لعام 2019 أن </w:t>
      </w:r>
      <w:r w:rsidR="009833B5" w:rsidRPr="00740B36">
        <w:rPr>
          <w:rFonts w:ascii="Simplified Arabic" w:hAnsi="Simplified Arabic" w:cs="Simplified Arabic"/>
          <w:sz w:val="26"/>
          <w:szCs w:val="26"/>
        </w:rPr>
        <w:t>38</w:t>
      </w:r>
      <w:r w:rsidR="00AE2D64" w:rsidRPr="00740B36">
        <w:rPr>
          <w:rFonts w:ascii="Simplified Arabic" w:hAnsi="Simplified Arabic" w:cs="Simplified Arabic"/>
          <w:sz w:val="26"/>
          <w:szCs w:val="26"/>
          <w:rtl/>
        </w:rPr>
        <w:t xml:space="preserve">% من الأسر التي ترأسها </w:t>
      </w:r>
      <w:r w:rsidR="00A37069" w:rsidRPr="00740B36">
        <w:rPr>
          <w:rFonts w:ascii="Simplified Arabic" w:hAnsi="Simplified Arabic" w:cs="Simplified Arabic" w:hint="cs"/>
          <w:sz w:val="26"/>
          <w:szCs w:val="26"/>
          <w:rtl/>
        </w:rPr>
        <w:t>الإناث</w:t>
      </w:r>
      <w:r w:rsidR="00AE2D64" w:rsidRPr="00740B36">
        <w:rPr>
          <w:rFonts w:ascii="Simplified Arabic" w:hAnsi="Simplified Arabic" w:cs="Simplified Arabic"/>
          <w:sz w:val="26"/>
          <w:szCs w:val="26"/>
          <w:rtl/>
        </w:rPr>
        <w:t xml:space="preserve"> لا يتوفر لدى أحد أفرادها هاتف </w:t>
      </w:r>
      <w:r w:rsidR="003478A1" w:rsidRPr="00740B36">
        <w:rPr>
          <w:rFonts w:ascii="Simplified Arabic" w:hAnsi="Simplified Arabic" w:cs="Simplified Arabic" w:hint="cs"/>
          <w:sz w:val="26"/>
          <w:szCs w:val="26"/>
          <w:rtl/>
        </w:rPr>
        <w:t xml:space="preserve">نقال </w:t>
      </w:r>
      <w:r w:rsidR="00AE2D64" w:rsidRPr="00740B36">
        <w:rPr>
          <w:rFonts w:ascii="Simplified Arabic" w:hAnsi="Simplified Arabic" w:cs="Simplified Arabic"/>
          <w:sz w:val="26"/>
          <w:szCs w:val="26"/>
          <w:rtl/>
        </w:rPr>
        <w:t>ذكي مقارنة مع 11% للأسر التي يرأسها ذك</w:t>
      </w:r>
      <w:r w:rsidR="00AE2D64" w:rsidRPr="00740B36">
        <w:rPr>
          <w:rFonts w:ascii="Simplified Arabic" w:hAnsi="Simplified Arabic" w:cs="Simplified Arabic" w:hint="cs"/>
          <w:sz w:val="26"/>
          <w:szCs w:val="26"/>
          <w:rtl/>
        </w:rPr>
        <w:t xml:space="preserve">ور </w:t>
      </w:r>
      <w:r w:rsidR="00F746F8" w:rsidRPr="00740B36">
        <w:rPr>
          <w:rFonts w:ascii="Simplified Arabic" w:hAnsi="Simplified Arabic" w:cs="Simplified Arabic" w:hint="cs"/>
          <w:sz w:val="26"/>
          <w:szCs w:val="26"/>
          <w:rtl/>
        </w:rPr>
        <w:t>لا ي</w:t>
      </w:r>
      <w:r w:rsidR="006F3255" w:rsidRPr="00740B36">
        <w:rPr>
          <w:rFonts w:ascii="Simplified Arabic" w:hAnsi="Simplified Arabic" w:cs="Simplified Arabic" w:hint="cs"/>
          <w:sz w:val="26"/>
          <w:szCs w:val="26"/>
          <w:rtl/>
        </w:rPr>
        <w:t>ت</w:t>
      </w:r>
      <w:r w:rsidR="00F746F8" w:rsidRPr="00740B36">
        <w:rPr>
          <w:rFonts w:ascii="Simplified Arabic" w:hAnsi="Simplified Arabic" w:cs="Simplified Arabic" w:hint="cs"/>
          <w:sz w:val="26"/>
          <w:szCs w:val="26"/>
          <w:rtl/>
        </w:rPr>
        <w:t xml:space="preserve">وفر لدى أحد أفرادها هاتف </w:t>
      </w:r>
      <w:r w:rsidR="003478A1" w:rsidRPr="00740B36">
        <w:rPr>
          <w:rFonts w:ascii="Simplified Arabic" w:hAnsi="Simplified Arabic" w:cs="Simplified Arabic" w:hint="cs"/>
          <w:sz w:val="26"/>
          <w:szCs w:val="26"/>
          <w:rtl/>
        </w:rPr>
        <w:t xml:space="preserve">نقال </w:t>
      </w:r>
      <w:r w:rsidR="00F746F8" w:rsidRPr="00740B36">
        <w:rPr>
          <w:rFonts w:ascii="Simplified Arabic" w:hAnsi="Simplified Arabic" w:cs="Simplified Arabic" w:hint="cs"/>
          <w:sz w:val="26"/>
          <w:szCs w:val="26"/>
          <w:rtl/>
        </w:rPr>
        <w:t xml:space="preserve">ذكي </w:t>
      </w:r>
      <w:r w:rsidR="00AE2D64" w:rsidRPr="00740B36">
        <w:rPr>
          <w:rFonts w:ascii="Simplified Arabic" w:hAnsi="Simplified Arabic" w:cs="Simplified Arabic" w:hint="cs"/>
          <w:sz w:val="26"/>
          <w:szCs w:val="26"/>
          <w:rtl/>
        </w:rPr>
        <w:t>في فلسطين</w:t>
      </w:r>
      <w:r w:rsidR="00AE2D64" w:rsidRPr="00740B36">
        <w:rPr>
          <w:rFonts w:ascii="Simplified Arabic" w:hAnsi="Simplified Arabic" w:cs="Simplified Arabic"/>
          <w:sz w:val="26"/>
          <w:szCs w:val="26"/>
          <w:rtl/>
        </w:rPr>
        <w:t>.</w:t>
      </w:r>
      <w:r w:rsidRPr="00740B36">
        <w:rPr>
          <w:rFonts w:ascii="Simplified Arabic" w:hAnsi="Simplified Arabic" w:cs="Simplified Arabic" w:hint="cs"/>
          <w:sz w:val="26"/>
          <w:szCs w:val="26"/>
          <w:rtl/>
        </w:rPr>
        <w:t xml:space="preserve">  كما أظهرت بيانات المسح </w:t>
      </w:r>
      <w:r w:rsidR="00AE2D64" w:rsidRPr="00740B36">
        <w:rPr>
          <w:rFonts w:ascii="Simplified Arabic" w:hAnsi="Simplified Arabic" w:cs="Simplified Arabic"/>
          <w:sz w:val="26"/>
          <w:szCs w:val="26"/>
          <w:rtl/>
        </w:rPr>
        <w:t xml:space="preserve">أن </w:t>
      </w:r>
      <w:r w:rsidR="00AE2D64" w:rsidRPr="00740B36">
        <w:rPr>
          <w:rFonts w:ascii="Simplified Arabic" w:hAnsi="Simplified Arabic" w:cs="Simplified Arabic" w:hint="cs"/>
          <w:sz w:val="26"/>
          <w:szCs w:val="26"/>
          <w:rtl/>
        </w:rPr>
        <w:t xml:space="preserve">هناك فجوة كبيرة بين الأسر التي ترأسها </w:t>
      </w:r>
      <w:r w:rsidR="00A37069" w:rsidRPr="00740B36">
        <w:rPr>
          <w:rFonts w:ascii="Simplified Arabic" w:hAnsi="Simplified Arabic" w:cs="Simplified Arabic" w:hint="cs"/>
          <w:sz w:val="26"/>
          <w:szCs w:val="26"/>
          <w:rtl/>
        </w:rPr>
        <w:t>إناث</w:t>
      </w:r>
      <w:r w:rsidR="00AE2D64" w:rsidRPr="00740B36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الأسر التي يرأسها ذكور في توفر الحاسوب لديها، حيث بلغت </w:t>
      </w:r>
      <w:r w:rsidR="00AE2D64" w:rsidRPr="00740B36">
        <w:rPr>
          <w:rFonts w:ascii="Simplified Arabic" w:hAnsi="Simplified Arabic" w:cs="Simplified Arabic"/>
          <w:sz w:val="26"/>
          <w:szCs w:val="26"/>
          <w:rtl/>
        </w:rPr>
        <w:t>نسبة الأسر التي ترأسها إناث وتوفر لديها جهاز حاسوب (</w:t>
      </w:r>
      <w:r w:rsidR="00AE2D64" w:rsidRPr="00740B36">
        <w:rPr>
          <w:rFonts w:ascii="Simplified Arabic" w:hAnsi="Simplified Arabic" w:cs="Simplified Arabic" w:hint="cs"/>
          <w:sz w:val="26"/>
          <w:szCs w:val="26"/>
          <w:rtl/>
        </w:rPr>
        <w:t>ح</w:t>
      </w:r>
      <w:r w:rsidR="00AE2D64" w:rsidRPr="00740B36">
        <w:rPr>
          <w:rFonts w:ascii="Simplified Arabic" w:hAnsi="Simplified Arabic" w:cs="Simplified Arabic"/>
          <w:sz w:val="26"/>
          <w:szCs w:val="26"/>
          <w:rtl/>
        </w:rPr>
        <w:t xml:space="preserve">اسوب مكتبي أو محمول او </w:t>
      </w:r>
      <w:r w:rsidR="00F746F8" w:rsidRPr="00740B36">
        <w:rPr>
          <w:rFonts w:ascii="Simplified Arabic" w:hAnsi="Simplified Arabic" w:cs="Simplified Arabic" w:hint="cs"/>
          <w:sz w:val="26"/>
          <w:szCs w:val="26"/>
          <w:rtl/>
        </w:rPr>
        <w:t>لوحي</w:t>
      </w:r>
      <w:r w:rsidR="00AE2D64" w:rsidRPr="00740B36">
        <w:rPr>
          <w:rFonts w:ascii="Simplified Arabic" w:hAnsi="Simplified Arabic" w:cs="Simplified Arabic"/>
          <w:sz w:val="26"/>
          <w:szCs w:val="26"/>
          <w:rtl/>
        </w:rPr>
        <w:t xml:space="preserve">) 19% مقارنة مع </w:t>
      </w:r>
      <w:r w:rsidR="00D309B3" w:rsidRPr="00740B36">
        <w:rPr>
          <w:rFonts w:ascii="Simplified Arabic" w:hAnsi="Simplified Arabic" w:cs="Simplified Arabic" w:hint="cs"/>
          <w:sz w:val="26"/>
          <w:szCs w:val="26"/>
          <w:rtl/>
        </w:rPr>
        <w:t>35</w:t>
      </w:r>
      <w:r w:rsidR="00AE2D64" w:rsidRPr="00740B36">
        <w:rPr>
          <w:rFonts w:ascii="Simplified Arabic" w:hAnsi="Simplified Arabic" w:cs="Simplified Arabic"/>
          <w:sz w:val="26"/>
          <w:szCs w:val="26"/>
          <w:rtl/>
        </w:rPr>
        <w:t>% للأسر التي يرأسها ذكور في فلسطين.</w:t>
      </w:r>
      <w:r w:rsidR="00E519DD" w:rsidRPr="00740B36">
        <w:rPr>
          <w:rFonts w:ascii="Simplified Arabic" w:hAnsi="Simplified Arabic" w:cs="Simplified Arabic" w:hint="cs"/>
          <w:sz w:val="26"/>
          <w:szCs w:val="26"/>
          <w:rtl/>
        </w:rPr>
        <w:t xml:space="preserve">  </w:t>
      </w:r>
      <w:r w:rsidR="00F25774" w:rsidRPr="00740B36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="00AC727A" w:rsidRPr="00740B3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7102C" w:rsidRPr="00740B36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="00642F9E" w:rsidRPr="00740B36">
        <w:rPr>
          <w:rFonts w:ascii="Simplified Arabic" w:hAnsi="Simplified Arabic" w:cs="Simplified Arabic"/>
          <w:sz w:val="26"/>
          <w:szCs w:val="26"/>
          <w:rtl/>
        </w:rPr>
        <w:t xml:space="preserve">ظهرت </w:t>
      </w:r>
      <w:r w:rsidR="00E519DD" w:rsidRPr="00740B36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="00642F9E" w:rsidRPr="00740B36">
        <w:rPr>
          <w:rFonts w:ascii="Simplified Arabic" w:hAnsi="Simplified Arabic" w:cs="Simplified Arabic"/>
          <w:sz w:val="26"/>
          <w:szCs w:val="26"/>
          <w:rtl/>
        </w:rPr>
        <w:t>نتائج أن 45% من الأسر التي ترأسها إناث لا يتوفر لديهن خدمة الانترنت في المنزل مقارنة مع 17% من الأسر التي يرأسها ذكور</w:t>
      </w:r>
      <w:r w:rsidR="00F746F8" w:rsidRPr="00740B36">
        <w:rPr>
          <w:rFonts w:ascii="Simplified Arabic" w:hAnsi="Simplified Arabic" w:cs="Simplified Arabic" w:hint="cs"/>
          <w:sz w:val="26"/>
          <w:szCs w:val="26"/>
          <w:rtl/>
        </w:rPr>
        <w:t xml:space="preserve"> لا يتوفر لديها خدمة الانترنت في البيت</w:t>
      </w:r>
      <w:r w:rsidR="00642F9E" w:rsidRPr="00740B36">
        <w:rPr>
          <w:rFonts w:ascii="Simplified Arabic" w:hAnsi="Simplified Arabic" w:cs="Simplified Arabic"/>
          <w:sz w:val="26"/>
          <w:szCs w:val="26"/>
          <w:rtl/>
        </w:rPr>
        <w:t xml:space="preserve">. </w:t>
      </w:r>
    </w:p>
    <w:p w:rsidR="00797907" w:rsidRDefault="00797907" w:rsidP="00FC00B1">
      <w:pPr>
        <w:jc w:val="both"/>
        <w:rPr>
          <w:rFonts w:ascii="Simplified Arabic" w:hAnsi="Simplified Arabic" w:cs="Simplified Arabic"/>
          <w:b/>
          <w:bCs/>
          <w:rtl/>
        </w:rPr>
      </w:pPr>
    </w:p>
    <w:p w:rsidR="00797907" w:rsidRPr="00740B36" w:rsidRDefault="00797907" w:rsidP="00797907">
      <w:pPr>
        <w:jc w:val="center"/>
        <w:rPr>
          <w:rFonts w:ascii="Simplified Arabic" w:hAnsi="Simplified Arabic" w:cs="Simplified Arabic"/>
          <w:b/>
          <w:bCs/>
          <w:rtl/>
        </w:rPr>
      </w:pPr>
      <w:r w:rsidRPr="00740B36">
        <w:rPr>
          <w:rFonts w:ascii="Simplified Arabic" w:hAnsi="Simplified Arabic" w:cs="Simplified Arabic" w:hint="cs"/>
          <w:b/>
          <w:bCs/>
          <w:rtl/>
        </w:rPr>
        <w:t>توفر وسائل تكنولوجيا المعلومات والاتصالات في فلسطين حسب جنس رب الأسرة لعام 2019</w:t>
      </w:r>
    </w:p>
    <w:p w:rsidR="00FC00B1" w:rsidRDefault="00D31A68" w:rsidP="00797907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>
        <w:rPr>
          <w:rFonts w:ascii="Simplified Arabic" w:hAnsi="Simplified Arabic" w:cs="Simplified Arabic"/>
          <w:b/>
          <w:bCs/>
          <w:noProof/>
          <w:sz w:val="20"/>
          <w:szCs w:val="20"/>
          <w:lang w:eastAsia="en-US"/>
        </w:rPr>
        <w:drawing>
          <wp:inline distT="0" distB="0" distL="0" distR="0">
            <wp:extent cx="2967355" cy="2096135"/>
            <wp:effectExtent l="0" t="0" r="0" b="0"/>
            <wp:docPr id="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C00B1" w:rsidRDefault="00FC00B1" w:rsidP="00122C21">
      <w:pPr>
        <w:jc w:val="lowKashida"/>
        <w:rPr>
          <w:rFonts w:cs="Simplified Arabic"/>
          <w:b/>
          <w:bCs/>
          <w:rtl/>
        </w:rPr>
      </w:pPr>
    </w:p>
    <w:p w:rsidR="00FC00B1" w:rsidRDefault="00FC00B1" w:rsidP="00122C21">
      <w:pPr>
        <w:jc w:val="lowKashida"/>
        <w:rPr>
          <w:rFonts w:cs="Simplified Arabic"/>
          <w:b/>
          <w:bCs/>
          <w:rtl/>
        </w:rPr>
      </w:pPr>
    </w:p>
    <w:p w:rsidR="00122C21" w:rsidRPr="00740B36" w:rsidRDefault="001842F9" w:rsidP="00122C21">
      <w:pPr>
        <w:jc w:val="lowKashida"/>
        <w:rPr>
          <w:rFonts w:cs="Simplified Arabic"/>
          <w:b/>
          <w:bCs/>
          <w:sz w:val="26"/>
          <w:szCs w:val="26"/>
          <w:rtl/>
        </w:rPr>
      </w:pPr>
      <w:r w:rsidRPr="00740B36">
        <w:rPr>
          <w:rFonts w:cs="Simplified Arabic" w:hint="cs"/>
          <w:b/>
          <w:bCs/>
          <w:sz w:val="26"/>
          <w:szCs w:val="26"/>
          <w:rtl/>
        </w:rPr>
        <w:t>ح</w:t>
      </w:r>
      <w:r w:rsidR="00122C21" w:rsidRPr="00740B36">
        <w:rPr>
          <w:rFonts w:cs="Simplified Arabic" w:hint="cs"/>
          <w:b/>
          <w:bCs/>
          <w:sz w:val="26"/>
          <w:szCs w:val="26"/>
          <w:rtl/>
        </w:rPr>
        <w:t xml:space="preserve">والي 73% من الأفراد </w:t>
      </w:r>
      <w:r w:rsidR="00CF4EA6" w:rsidRPr="00740B36">
        <w:rPr>
          <w:rFonts w:cs="Simplified Arabic" w:hint="cs"/>
          <w:b/>
          <w:bCs/>
          <w:sz w:val="26"/>
          <w:szCs w:val="26"/>
          <w:rtl/>
        </w:rPr>
        <w:t>(</w:t>
      </w:r>
      <w:r w:rsidR="00122C21" w:rsidRPr="00740B36">
        <w:rPr>
          <w:rFonts w:cs="Simplified Arabic" w:hint="cs"/>
          <w:b/>
          <w:bCs/>
          <w:sz w:val="26"/>
          <w:szCs w:val="26"/>
          <w:rtl/>
        </w:rPr>
        <w:t>10 سنوات فأكثر</w:t>
      </w:r>
      <w:r w:rsidR="00CF4EA6" w:rsidRPr="00740B36">
        <w:rPr>
          <w:rFonts w:cs="Simplified Arabic" w:hint="cs"/>
          <w:b/>
          <w:bCs/>
          <w:sz w:val="26"/>
          <w:szCs w:val="26"/>
          <w:rtl/>
        </w:rPr>
        <w:t>)</w:t>
      </w:r>
      <w:r w:rsidR="00122C21" w:rsidRPr="00740B36">
        <w:rPr>
          <w:rFonts w:cs="Simplified Arabic" w:hint="cs"/>
          <w:b/>
          <w:bCs/>
          <w:sz w:val="26"/>
          <w:szCs w:val="26"/>
          <w:rtl/>
        </w:rPr>
        <w:t xml:space="preserve"> يمتلكون المهارات الأساسية لتكنولوجيا المعلومات والاتصالات</w:t>
      </w:r>
    </w:p>
    <w:p w:rsidR="00122C21" w:rsidRDefault="00122C21" w:rsidP="00122C21">
      <w:pPr>
        <w:tabs>
          <w:tab w:val="num" w:pos="1215"/>
        </w:tabs>
        <w:jc w:val="both"/>
        <w:rPr>
          <w:rFonts w:cs="Simplified Arabic" w:hint="cs"/>
          <w:sz w:val="26"/>
          <w:szCs w:val="26"/>
          <w:rtl/>
        </w:rPr>
      </w:pPr>
      <w:r w:rsidRPr="00740B36">
        <w:rPr>
          <w:rFonts w:cs="Simplified Arabic" w:hint="cs"/>
          <w:sz w:val="26"/>
          <w:szCs w:val="26"/>
          <w:rtl/>
        </w:rPr>
        <w:t>أظهرت بيانات المسح الأسري لتكنولوجيا المعلومات والاتصالات لعام 2019 أن حوالي 73% من الأفراد (10 سنوات فأكثر) في فلسطين من الذين استخدموا الحاسوب يمتلكون المهارات الأساسية مثل نسخ الملفات أو المجلدات أو استخدام أدوات النسخ واللصق وإرسال رسائل البريد الإلكتروني، و46% من الأفراد (10 سنوات فأكثر) من الذين استخدموا الحاسوب لديهم المهارات القياسية مثل تثبيت البرمجيات أو تشكيلها أو استخدام الصيغ الحسابية على جداول البيانات.</w:t>
      </w:r>
    </w:p>
    <w:p w:rsidR="00E01952" w:rsidRDefault="00E01952" w:rsidP="00122C21">
      <w:pPr>
        <w:tabs>
          <w:tab w:val="num" w:pos="1215"/>
        </w:tabs>
        <w:jc w:val="both"/>
        <w:rPr>
          <w:rFonts w:cs="Simplified Arabic" w:hint="cs"/>
          <w:sz w:val="26"/>
          <w:szCs w:val="26"/>
          <w:rtl/>
        </w:rPr>
      </w:pPr>
    </w:p>
    <w:p w:rsidR="00E01952" w:rsidRDefault="00E01952" w:rsidP="00122C21">
      <w:pPr>
        <w:tabs>
          <w:tab w:val="num" w:pos="1215"/>
        </w:tabs>
        <w:jc w:val="both"/>
        <w:rPr>
          <w:rFonts w:cs="Simplified Arabic" w:hint="cs"/>
          <w:sz w:val="26"/>
          <w:szCs w:val="26"/>
          <w:rtl/>
        </w:rPr>
      </w:pPr>
    </w:p>
    <w:p w:rsidR="00E01952" w:rsidRDefault="00E01952" w:rsidP="00122C21">
      <w:pPr>
        <w:tabs>
          <w:tab w:val="num" w:pos="1215"/>
        </w:tabs>
        <w:jc w:val="both"/>
        <w:rPr>
          <w:rFonts w:cs="Simplified Arabic" w:hint="cs"/>
          <w:sz w:val="26"/>
          <w:szCs w:val="26"/>
          <w:rtl/>
        </w:rPr>
      </w:pPr>
    </w:p>
    <w:p w:rsidR="00E01952" w:rsidRDefault="00E01952" w:rsidP="00122C21">
      <w:pPr>
        <w:tabs>
          <w:tab w:val="num" w:pos="1215"/>
        </w:tabs>
        <w:jc w:val="both"/>
        <w:rPr>
          <w:rFonts w:cs="Simplified Arabic" w:hint="cs"/>
          <w:sz w:val="26"/>
          <w:szCs w:val="26"/>
          <w:rtl/>
        </w:rPr>
      </w:pPr>
    </w:p>
    <w:p w:rsidR="00E01952" w:rsidRDefault="00E01952" w:rsidP="00122C21">
      <w:pPr>
        <w:tabs>
          <w:tab w:val="num" w:pos="1215"/>
        </w:tabs>
        <w:jc w:val="both"/>
        <w:rPr>
          <w:rFonts w:cs="Simplified Arabic" w:hint="cs"/>
          <w:sz w:val="26"/>
          <w:szCs w:val="26"/>
          <w:rtl/>
        </w:rPr>
      </w:pPr>
    </w:p>
    <w:p w:rsidR="00E01952" w:rsidRPr="00740B36" w:rsidRDefault="00E01952" w:rsidP="00122C21">
      <w:pPr>
        <w:tabs>
          <w:tab w:val="num" w:pos="1215"/>
        </w:tabs>
        <w:jc w:val="both"/>
        <w:rPr>
          <w:rFonts w:cs="Simplified Arabic"/>
          <w:sz w:val="26"/>
          <w:szCs w:val="26"/>
        </w:rPr>
      </w:pPr>
    </w:p>
    <w:p w:rsidR="00122C21" w:rsidRDefault="00122C21" w:rsidP="00122C21">
      <w:pPr>
        <w:tabs>
          <w:tab w:val="num" w:pos="1215"/>
        </w:tabs>
        <w:jc w:val="center"/>
        <w:rPr>
          <w:rFonts w:cs="Simplified Arabic"/>
          <w:b/>
          <w:bCs/>
          <w:rtl/>
        </w:rPr>
      </w:pPr>
    </w:p>
    <w:p w:rsidR="00122C21" w:rsidRPr="00740B36" w:rsidRDefault="00122C21" w:rsidP="00740B36">
      <w:pPr>
        <w:jc w:val="center"/>
        <w:rPr>
          <w:rFonts w:cs="Simplified Arabic"/>
          <w:b/>
          <w:bCs/>
        </w:rPr>
      </w:pPr>
      <w:r w:rsidRPr="00740B36">
        <w:rPr>
          <w:rFonts w:cs="Simplified Arabic" w:hint="cs"/>
          <w:b/>
          <w:bCs/>
          <w:rtl/>
        </w:rPr>
        <w:t xml:space="preserve">نسبة الأفراد (10 سنوات فأكثر) الذين تتوفر لديهم مهارات  تكنولوجيا المعلومات والاتصالات في فلسطين، </w:t>
      </w:r>
      <w:r w:rsidRPr="00740B36">
        <w:rPr>
          <w:rFonts w:cs="Simplified Arabic"/>
          <w:b/>
          <w:bCs/>
        </w:rPr>
        <w:t>2019</w:t>
      </w:r>
    </w:p>
    <w:p w:rsidR="00122C21" w:rsidRDefault="00D31A68" w:rsidP="00740B36">
      <w:pPr>
        <w:tabs>
          <w:tab w:val="num" w:pos="1215"/>
        </w:tabs>
        <w:jc w:val="center"/>
        <w:rPr>
          <w:rFonts w:cs="Simplified Arabic"/>
          <w:rtl/>
        </w:rPr>
      </w:pPr>
      <w:r>
        <w:rPr>
          <w:rFonts w:cs="Simplified Arabic"/>
          <w:noProof/>
          <w:lang w:eastAsia="en-US"/>
        </w:rPr>
        <w:drawing>
          <wp:inline distT="0" distB="0" distL="0" distR="0">
            <wp:extent cx="3226435" cy="2044700"/>
            <wp:effectExtent l="0" t="0" r="0" b="0"/>
            <wp:docPr id="6" name="Char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842F9" w:rsidRDefault="001842F9" w:rsidP="00640508">
      <w:pPr>
        <w:tabs>
          <w:tab w:val="num" w:pos="1215"/>
        </w:tabs>
        <w:jc w:val="both"/>
        <w:rPr>
          <w:rFonts w:cs="Simplified Arabic"/>
          <w:b/>
          <w:bCs/>
          <w:rtl/>
        </w:rPr>
      </w:pPr>
    </w:p>
    <w:p w:rsidR="003568E1" w:rsidRPr="00740B36" w:rsidRDefault="00640508" w:rsidP="00640508">
      <w:pPr>
        <w:tabs>
          <w:tab w:val="num" w:pos="1215"/>
        </w:tabs>
        <w:jc w:val="both"/>
        <w:rPr>
          <w:rFonts w:cs="Simplified Arabic"/>
          <w:b/>
          <w:bCs/>
          <w:sz w:val="26"/>
          <w:szCs w:val="26"/>
          <w:rtl/>
        </w:rPr>
      </w:pPr>
      <w:r w:rsidRPr="00740B36">
        <w:rPr>
          <w:rFonts w:cs="Simplified Arabic" w:hint="cs"/>
          <w:b/>
          <w:bCs/>
          <w:sz w:val="26"/>
          <w:szCs w:val="26"/>
          <w:rtl/>
        </w:rPr>
        <w:t>ح</w:t>
      </w:r>
      <w:r w:rsidR="003568E1" w:rsidRPr="00740B36">
        <w:rPr>
          <w:rFonts w:cs="Simplified Arabic" w:hint="cs"/>
          <w:b/>
          <w:bCs/>
          <w:sz w:val="26"/>
          <w:szCs w:val="26"/>
          <w:rtl/>
        </w:rPr>
        <w:t xml:space="preserve">والي 8% من مستخدمي الإنترنت قاموا بشراء سلع أو خدمات عبر الانترنت </w:t>
      </w:r>
    </w:p>
    <w:p w:rsidR="003568E1" w:rsidRPr="00740B36" w:rsidRDefault="003568E1" w:rsidP="00C63DF0">
      <w:pPr>
        <w:jc w:val="both"/>
        <w:rPr>
          <w:rFonts w:cs="Simplified Arabic"/>
          <w:sz w:val="26"/>
          <w:szCs w:val="26"/>
          <w:rtl/>
        </w:rPr>
      </w:pPr>
      <w:r w:rsidRPr="00740B36">
        <w:rPr>
          <w:rFonts w:cs="Simplified Arabic" w:hint="cs"/>
          <w:sz w:val="26"/>
          <w:szCs w:val="26"/>
          <w:rtl/>
        </w:rPr>
        <w:t xml:space="preserve">أظهرت نتائج المسح الأسري لتكنولوجيا المعلومات </w:t>
      </w:r>
      <w:r w:rsidR="00D33E51" w:rsidRPr="00740B36">
        <w:rPr>
          <w:rFonts w:cs="Simplified Arabic" w:hint="cs"/>
          <w:sz w:val="26"/>
          <w:szCs w:val="26"/>
          <w:rtl/>
        </w:rPr>
        <w:t>والاتصالات</w:t>
      </w:r>
      <w:r w:rsidRPr="00740B36">
        <w:rPr>
          <w:rFonts w:cs="Simplified Arabic" w:hint="cs"/>
          <w:sz w:val="26"/>
          <w:szCs w:val="26"/>
          <w:rtl/>
        </w:rPr>
        <w:t xml:space="preserve"> لعام 2019 أن ما نسبته 8% من مستخدمي الانترنت </w:t>
      </w:r>
      <w:r w:rsidR="008763E5" w:rsidRPr="00740B36">
        <w:rPr>
          <w:rFonts w:cs="Simplified Arabic" w:hint="cs"/>
          <w:sz w:val="26"/>
          <w:szCs w:val="26"/>
          <w:rtl/>
        </w:rPr>
        <w:t xml:space="preserve">قد </w:t>
      </w:r>
      <w:r w:rsidRPr="00740B36">
        <w:rPr>
          <w:rFonts w:cs="Simplified Arabic" w:hint="cs"/>
          <w:sz w:val="26"/>
          <w:szCs w:val="26"/>
          <w:rtl/>
        </w:rPr>
        <w:t>قاموا بشراء سلع أو خدمات عبر الإنترنت في فلسطين بواقع 9% في الضفة الغربية و6% في قطاع غزة.</w:t>
      </w:r>
      <w:r w:rsidR="001D1AE8" w:rsidRPr="00740B36">
        <w:rPr>
          <w:rFonts w:cs="Simplified Arabic" w:hint="cs"/>
          <w:sz w:val="26"/>
          <w:szCs w:val="26"/>
          <w:rtl/>
        </w:rPr>
        <w:t xml:space="preserve">  أما فيما يتعلق </w:t>
      </w:r>
      <w:r w:rsidR="00C63DF0" w:rsidRPr="00740B36">
        <w:rPr>
          <w:rFonts w:cs="Simplified Arabic" w:hint="cs"/>
          <w:sz w:val="26"/>
          <w:szCs w:val="26"/>
          <w:rtl/>
        </w:rPr>
        <w:t>بأبرز أنواع ا</w:t>
      </w:r>
      <w:r w:rsidR="001D1AE8" w:rsidRPr="00740B36">
        <w:rPr>
          <w:rFonts w:cs="Simplified Arabic" w:hint="cs"/>
          <w:sz w:val="26"/>
          <w:szCs w:val="26"/>
          <w:rtl/>
        </w:rPr>
        <w:t>لسلع أو الخدم</w:t>
      </w:r>
      <w:r w:rsidR="00C63DF0" w:rsidRPr="00740B36">
        <w:rPr>
          <w:rFonts w:cs="Simplified Arabic" w:hint="cs"/>
          <w:sz w:val="26"/>
          <w:szCs w:val="26"/>
          <w:rtl/>
        </w:rPr>
        <w:t>ات</w:t>
      </w:r>
      <w:r w:rsidR="001D1AE8" w:rsidRPr="00740B36">
        <w:rPr>
          <w:rFonts w:cs="Simplified Arabic" w:hint="cs"/>
          <w:sz w:val="26"/>
          <w:szCs w:val="26"/>
          <w:rtl/>
        </w:rPr>
        <w:t xml:space="preserve"> </w:t>
      </w:r>
      <w:r w:rsidR="00F6447C" w:rsidRPr="00740B36">
        <w:rPr>
          <w:rFonts w:cs="Simplified Arabic" w:hint="cs"/>
          <w:sz w:val="26"/>
          <w:szCs w:val="26"/>
          <w:rtl/>
        </w:rPr>
        <w:t>المشتراة</w:t>
      </w:r>
      <w:r w:rsidR="001D1AE8" w:rsidRPr="00740B36">
        <w:rPr>
          <w:rFonts w:cs="Simplified Arabic" w:hint="cs"/>
          <w:sz w:val="26"/>
          <w:szCs w:val="26"/>
          <w:rtl/>
        </w:rPr>
        <w:t xml:space="preserve"> عبر الإنترنت أظهرت نتائج المسح بأن 63% من الأفراد (18 سنة فأكثر) الذين قاموا بشراء سلع أو خدمات عبر الإنترنت قاموا بشراء الملابس أو الأحذية أو الملابس الرياضية أو الإكسسوارات يليها مستحضرات التجميل بنسبة 22% ويليها السلع المنزلية </w:t>
      </w:r>
      <w:r w:rsidR="001C0035" w:rsidRPr="00740B36">
        <w:rPr>
          <w:rFonts w:cs="Simplified Arabic" w:hint="cs"/>
          <w:sz w:val="26"/>
          <w:szCs w:val="26"/>
          <w:rtl/>
        </w:rPr>
        <w:t xml:space="preserve">(مثلا الأثاث، والألعاب، وما </w:t>
      </w:r>
      <w:r w:rsidR="00A37069" w:rsidRPr="00740B36">
        <w:rPr>
          <w:rFonts w:cs="Simplified Arabic" w:hint="cs"/>
          <w:sz w:val="26"/>
          <w:szCs w:val="26"/>
          <w:rtl/>
        </w:rPr>
        <w:t>إلى</w:t>
      </w:r>
      <w:r w:rsidR="001C0035" w:rsidRPr="00740B36">
        <w:rPr>
          <w:rFonts w:cs="Simplified Arabic" w:hint="cs"/>
          <w:sz w:val="26"/>
          <w:szCs w:val="26"/>
          <w:rtl/>
        </w:rPr>
        <w:t xml:space="preserve"> ذلك، باستثناء المنتجات الإلكترونية </w:t>
      </w:r>
      <w:r w:rsidR="00A37069" w:rsidRPr="00740B36">
        <w:rPr>
          <w:rFonts w:cs="Simplified Arabic" w:hint="cs"/>
          <w:sz w:val="26"/>
          <w:szCs w:val="26"/>
          <w:rtl/>
        </w:rPr>
        <w:t>الاستهلاكية</w:t>
      </w:r>
      <w:r w:rsidR="001C0035" w:rsidRPr="00740B36">
        <w:rPr>
          <w:rFonts w:cs="Simplified Arabic" w:hint="cs"/>
          <w:sz w:val="26"/>
          <w:szCs w:val="26"/>
          <w:rtl/>
        </w:rPr>
        <w:t>) بنسبة 20%.</w:t>
      </w:r>
    </w:p>
    <w:bookmarkEnd w:id="0"/>
    <w:bookmarkEnd w:id="1"/>
    <w:bookmarkEnd w:id="2"/>
    <w:bookmarkEnd w:id="3"/>
    <w:p w:rsidR="004D799B" w:rsidRPr="00024C06" w:rsidRDefault="004D799B" w:rsidP="00983511">
      <w:pPr>
        <w:spacing w:line="360" w:lineRule="auto"/>
        <w:rPr>
          <w:szCs w:val="22"/>
          <w:rtl/>
        </w:rPr>
      </w:pPr>
    </w:p>
    <w:sectPr w:rsidR="004D799B" w:rsidRPr="00024C06" w:rsidSect="00740B36">
      <w:footerReference w:type="even" r:id="rId14"/>
      <w:footerReference w:type="default" r:id="rId15"/>
      <w:pgSz w:w="11907" w:h="16840" w:code="9"/>
      <w:pgMar w:top="851" w:right="851" w:bottom="851" w:left="851" w:header="284" w:footer="397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365" w:rsidRDefault="000C0365">
      <w:r>
        <w:separator/>
      </w:r>
    </w:p>
  </w:endnote>
  <w:endnote w:type="continuationSeparator" w:id="0">
    <w:p w:rsidR="000C0365" w:rsidRDefault="000C0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361" w:rsidRDefault="00A640A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B6136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61361" w:rsidRDefault="00B61361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361" w:rsidRDefault="00A640A1">
    <w:pPr>
      <w:pStyle w:val="Footer"/>
      <w:jc w:val="center"/>
    </w:pPr>
    <w:fldSimple w:instr=" PAGE   \* MERGEFORMAT ">
      <w:r w:rsidR="00D31A68">
        <w:rPr>
          <w:noProof/>
          <w:rtl/>
        </w:rPr>
        <w:t>1</w:t>
      </w:r>
    </w:fldSimple>
  </w:p>
  <w:p w:rsidR="00B61361" w:rsidRDefault="00B61361" w:rsidP="00A13E94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365" w:rsidRDefault="000C0365">
      <w:r>
        <w:separator/>
      </w:r>
    </w:p>
  </w:footnote>
  <w:footnote w:type="continuationSeparator" w:id="0">
    <w:p w:rsidR="000C0365" w:rsidRDefault="000C03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60B9"/>
    <w:multiLevelType w:val="hybridMultilevel"/>
    <w:tmpl w:val="2FD44D9C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215AE"/>
    <w:multiLevelType w:val="hybridMultilevel"/>
    <w:tmpl w:val="7930ADC2"/>
    <w:lvl w:ilvl="0" w:tplc="CFC66E8C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44738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jIyMDE1trAwMLEwsDRU0lEKTi0uzszPAykwrAUANeez3SwAAAA="/>
  </w:docVars>
  <w:rsids>
    <w:rsidRoot w:val="00521E76"/>
    <w:rsid w:val="0001041E"/>
    <w:rsid w:val="00024C06"/>
    <w:rsid w:val="00025FEA"/>
    <w:rsid w:val="000305F3"/>
    <w:rsid w:val="00031510"/>
    <w:rsid w:val="00031E67"/>
    <w:rsid w:val="000341DD"/>
    <w:rsid w:val="00036FD7"/>
    <w:rsid w:val="00040C46"/>
    <w:rsid w:val="00047E62"/>
    <w:rsid w:val="000508B9"/>
    <w:rsid w:val="00052627"/>
    <w:rsid w:val="0005327F"/>
    <w:rsid w:val="00055465"/>
    <w:rsid w:val="00062FE2"/>
    <w:rsid w:val="00064CC5"/>
    <w:rsid w:val="000708C0"/>
    <w:rsid w:val="0007389B"/>
    <w:rsid w:val="00074288"/>
    <w:rsid w:val="00074FDC"/>
    <w:rsid w:val="00075C63"/>
    <w:rsid w:val="00076F55"/>
    <w:rsid w:val="00081683"/>
    <w:rsid w:val="000835E9"/>
    <w:rsid w:val="00085169"/>
    <w:rsid w:val="000860D7"/>
    <w:rsid w:val="00086F1E"/>
    <w:rsid w:val="0008745E"/>
    <w:rsid w:val="00091412"/>
    <w:rsid w:val="0009222E"/>
    <w:rsid w:val="000952B3"/>
    <w:rsid w:val="000A048D"/>
    <w:rsid w:val="000A48CC"/>
    <w:rsid w:val="000A502D"/>
    <w:rsid w:val="000A6515"/>
    <w:rsid w:val="000A771B"/>
    <w:rsid w:val="000B045F"/>
    <w:rsid w:val="000B2091"/>
    <w:rsid w:val="000B3424"/>
    <w:rsid w:val="000B4B34"/>
    <w:rsid w:val="000C0365"/>
    <w:rsid w:val="000C29E5"/>
    <w:rsid w:val="000C571D"/>
    <w:rsid w:val="000C5DBC"/>
    <w:rsid w:val="000D4CE4"/>
    <w:rsid w:val="000D5046"/>
    <w:rsid w:val="000D51DA"/>
    <w:rsid w:val="000D677E"/>
    <w:rsid w:val="000E4818"/>
    <w:rsid w:val="000F17CE"/>
    <w:rsid w:val="000F2ADC"/>
    <w:rsid w:val="000F61CA"/>
    <w:rsid w:val="000F6943"/>
    <w:rsid w:val="00101DEC"/>
    <w:rsid w:val="00101EBB"/>
    <w:rsid w:val="001025BC"/>
    <w:rsid w:val="00107749"/>
    <w:rsid w:val="00107CDB"/>
    <w:rsid w:val="00110729"/>
    <w:rsid w:val="001110AF"/>
    <w:rsid w:val="00117481"/>
    <w:rsid w:val="00122C21"/>
    <w:rsid w:val="00122CE6"/>
    <w:rsid w:val="00125D77"/>
    <w:rsid w:val="00126FB4"/>
    <w:rsid w:val="00132B67"/>
    <w:rsid w:val="00132FBD"/>
    <w:rsid w:val="00136529"/>
    <w:rsid w:val="00137169"/>
    <w:rsid w:val="00140226"/>
    <w:rsid w:val="0014429B"/>
    <w:rsid w:val="0014538F"/>
    <w:rsid w:val="0014750D"/>
    <w:rsid w:val="001507F2"/>
    <w:rsid w:val="00150A2E"/>
    <w:rsid w:val="00151873"/>
    <w:rsid w:val="00151EB1"/>
    <w:rsid w:val="00152079"/>
    <w:rsid w:val="0015397A"/>
    <w:rsid w:val="00153FDC"/>
    <w:rsid w:val="00156827"/>
    <w:rsid w:val="0016072D"/>
    <w:rsid w:val="00162F47"/>
    <w:rsid w:val="00163587"/>
    <w:rsid w:val="00163E6A"/>
    <w:rsid w:val="00164637"/>
    <w:rsid w:val="00166636"/>
    <w:rsid w:val="00167BC0"/>
    <w:rsid w:val="001802F5"/>
    <w:rsid w:val="0018051C"/>
    <w:rsid w:val="001808A8"/>
    <w:rsid w:val="001842F9"/>
    <w:rsid w:val="00184492"/>
    <w:rsid w:val="00186584"/>
    <w:rsid w:val="001871BE"/>
    <w:rsid w:val="00192648"/>
    <w:rsid w:val="001937D8"/>
    <w:rsid w:val="00194EEF"/>
    <w:rsid w:val="0019696A"/>
    <w:rsid w:val="00197EED"/>
    <w:rsid w:val="001A312D"/>
    <w:rsid w:val="001A3DA3"/>
    <w:rsid w:val="001B1307"/>
    <w:rsid w:val="001B48B7"/>
    <w:rsid w:val="001B6F5E"/>
    <w:rsid w:val="001B7150"/>
    <w:rsid w:val="001C0035"/>
    <w:rsid w:val="001C0110"/>
    <w:rsid w:val="001C2FB6"/>
    <w:rsid w:val="001C398E"/>
    <w:rsid w:val="001C5BC3"/>
    <w:rsid w:val="001C7B91"/>
    <w:rsid w:val="001D089C"/>
    <w:rsid w:val="001D1AE8"/>
    <w:rsid w:val="001D24F3"/>
    <w:rsid w:val="001D6C83"/>
    <w:rsid w:val="001D6D3B"/>
    <w:rsid w:val="001E1281"/>
    <w:rsid w:val="001E2A2C"/>
    <w:rsid w:val="001E58E1"/>
    <w:rsid w:val="001E6DEA"/>
    <w:rsid w:val="001F0091"/>
    <w:rsid w:val="001F0491"/>
    <w:rsid w:val="001F0803"/>
    <w:rsid w:val="001F2833"/>
    <w:rsid w:val="001F35D1"/>
    <w:rsid w:val="001F6554"/>
    <w:rsid w:val="001F6E67"/>
    <w:rsid w:val="002003E8"/>
    <w:rsid w:val="00200A6C"/>
    <w:rsid w:val="00203F99"/>
    <w:rsid w:val="00205622"/>
    <w:rsid w:val="00207E61"/>
    <w:rsid w:val="002130C8"/>
    <w:rsid w:val="002148BF"/>
    <w:rsid w:val="00215353"/>
    <w:rsid w:val="00215471"/>
    <w:rsid w:val="0021586D"/>
    <w:rsid w:val="00220D37"/>
    <w:rsid w:val="0022193D"/>
    <w:rsid w:val="002234D5"/>
    <w:rsid w:val="00224B0F"/>
    <w:rsid w:val="0022727E"/>
    <w:rsid w:val="00227564"/>
    <w:rsid w:val="00231DCA"/>
    <w:rsid w:val="00232BD0"/>
    <w:rsid w:val="0024065B"/>
    <w:rsid w:val="002431A5"/>
    <w:rsid w:val="002433FE"/>
    <w:rsid w:val="002443F2"/>
    <w:rsid w:val="00246E1C"/>
    <w:rsid w:val="00252645"/>
    <w:rsid w:val="00254D6F"/>
    <w:rsid w:val="0026125C"/>
    <w:rsid w:val="002617E4"/>
    <w:rsid w:val="002622A7"/>
    <w:rsid w:val="002634E1"/>
    <w:rsid w:val="00265DF6"/>
    <w:rsid w:val="00266F4F"/>
    <w:rsid w:val="00270E50"/>
    <w:rsid w:val="00271904"/>
    <w:rsid w:val="002720E9"/>
    <w:rsid w:val="0027324F"/>
    <w:rsid w:val="00277D27"/>
    <w:rsid w:val="00283E5D"/>
    <w:rsid w:val="002861FF"/>
    <w:rsid w:val="00286656"/>
    <w:rsid w:val="00286945"/>
    <w:rsid w:val="00287F9B"/>
    <w:rsid w:val="00293098"/>
    <w:rsid w:val="002936BA"/>
    <w:rsid w:val="00294EC5"/>
    <w:rsid w:val="00295523"/>
    <w:rsid w:val="00295B6E"/>
    <w:rsid w:val="00296553"/>
    <w:rsid w:val="002A330E"/>
    <w:rsid w:val="002A3612"/>
    <w:rsid w:val="002A4212"/>
    <w:rsid w:val="002A7A61"/>
    <w:rsid w:val="002B0281"/>
    <w:rsid w:val="002B0676"/>
    <w:rsid w:val="002B1D8D"/>
    <w:rsid w:val="002B34FB"/>
    <w:rsid w:val="002C1A53"/>
    <w:rsid w:val="002D3178"/>
    <w:rsid w:val="002D4837"/>
    <w:rsid w:val="002D5688"/>
    <w:rsid w:val="002D66B7"/>
    <w:rsid w:val="002E321B"/>
    <w:rsid w:val="002F3D28"/>
    <w:rsid w:val="002F4B1C"/>
    <w:rsid w:val="002F5747"/>
    <w:rsid w:val="002F633C"/>
    <w:rsid w:val="002F639D"/>
    <w:rsid w:val="002F6AC3"/>
    <w:rsid w:val="002F7008"/>
    <w:rsid w:val="002F7494"/>
    <w:rsid w:val="00300056"/>
    <w:rsid w:val="00301417"/>
    <w:rsid w:val="00301508"/>
    <w:rsid w:val="003052CD"/>
    <w:rsid w:val="003052EC"/>
    <w:rsid w:val="00305FED"/>
    <w:rsid w:val="00310302"/>
    <w:rsid w:val="00310849"/>
    <w:rsid w:val="00316360"/>
    <w:rsid w:val="0031744E"/>
    <w:rsid w:val="0032682B"/>
    <w:rsid w:val="00330B13"/>
    <w:rsid w:val="00331C51"/>
    <w:rsid w:val="00334B9E"/>
    <w:rsid w:val="003368C6"/>
    <w:rsid w:val="00341B38"/>
    <w:rsid w:val="003423E7"/>
    <w:rsid w:val="00343ACD"/>
    <w:rsid w:val="0034583D"/>
    <w:rsid w:val="003478A1"/>
    <w:rsid w:val="00350049"/>
    <w:rsid w:val="003531A4"/>
    <w:rsid w:val="00353BF5"/>
    <w:rsid w:val="003568E1"/>
    <w:rsid w:val="00371274"/>
    <w:rsid w:val="00373E2B"/>
    <w:rsid w:val="0037605C"/>
    <w:rsid w:val="00376624"/>
    <w:rsid w:val="0037714F"/>
    <w:rsid w:val="003830E6"/>
    <w:rsid w:val="003843AB"/>
    <w:rsid w:val="00384619"/>
    <w:rsid w:val="00385E28"/>
    <w:rsid w:val="0038614E"/>
    <w:rsid w:val="00387347"/>
    <w:rsid w:val="003903E4"/>
    <w:rsid w:val="00390F6E"/>
    <w:rsid w:val="0039222A"/>
    <w:rsid w:val="0039265B"/>
    <w:rsid w:val="00392A81"/>
    <w:rsid w:val="0039368A"/>
    <w:rsid w:val="00396359"/>
    <w:rsid w:val="003979A1"/>
    <w:rsid w:val="003A09B6"/>
    <w:rsid w:val="003A4D43"/>
    <w:rsid w:val="003A5C00"/>
    <w:rsid w:val="003C14C9"/>
    <w:rsid w:val="003C20EC"/>
    <w:rsid w:val="003C48AB"/>
    <w:rsid w:val="003D0EFF"/>
    <w:rsid w:val="003D28A7"/>
    <w:rsid w:val="003D2C14"/>
    <w:rsid w:val="003D559B"/>
    <w:rsid w:val="003E1C11"/>
    <w:rsid w:val="003E2020"/>
    <w:rsid w:val="003E264A"/>
    <w:rsid w:val="003E3647"/>
    <w:rsid w:val="003E3F0F"/>
    <w:rsid w:val="003E7BA8"/>
    <w:rsid w:val="003F5FCD"/>
    <w:rsid w:val="003F6FC3"/>
    <w:rsid w:val="003F7691"/>
    <w:rsid w:val="0040089C"/>
    <w:rsid w:val="004009CD"/>
    <w:rsid w:val="00403B41"/>
    <w:rsid w:val="004105F2"/>
    <w:rsid w:val="004164B3"/>
    <w:rsid w:val="00417C63"/>
    <w:rsid w:val="00421EA2"/>
    <w:rsid w:val="004235C6"/>
    <w:rsid w:val="00426E0E"/>
    <w:rsid w:val="0042783B"/>
    <w:rsid w:val="00430AF3"/>
    <w:rsid w:val="004322D4"/>
    <w:rsid w:val="0043290C"/>
    <w:rsid w:val="00433774"/>
    <w:rsid w:val="00434CDF"/>
    <w:rsid w:val="00435838"/>
    <w:rsid w:val="0044079A"/>
    <w:rsid w:val="004417FE"/>
    <w:rsid w:val="00451FA1"/>
    <w:rsid w:val="004569AE"/>
    <w:rsid w:val="004577F6"/>
    <w:rsid w:val="00461C50"/>
    <w:rsid w:val="004627DE"/>
    <w:rsid w:val="00462A4B"/>
    <w:rsid w:val="00464825"/>
    <w:rsid w:val="00464E22"/>
    <w:rsid w:val="00467EA3"/>
    <w:rsid w:val="0047259F"/>
    <w:rsid w:val="00473E51"/>
    <w:rsid w:val="004767B8"/>
    <w:rsid w:val="00484D96"/>
    <w:rsid w:val="00490F72"/>
    <w:rsid w:val="00491B56"/>
    <w:rsid w:val="00496774"/>
    <w:rsid w:val="004977DD"/>
    <w:rsid w:val="004A14DB"/>
    <w:rsid w:val="004A4A2E"/>
    <w:rsid w:val="004A720F"/>
    <w:rsid w:val="004B4FC4"/>
    <w:rsid w:val="004B5FFE"/>
    <w:rsid w:val="004B6EB4"/>
    <w:rsid w:val="004B7C1C"/>
    <w:rsid w:val="004C115A"/>
    <w:rsid w:val="004C11B9"/>
    <w:rsid w:val="004C3A5A"/>
    <w:rsid w:val="004C52A0"/>
    <w:rsid w:val="004C60D0"/>
    <w:rsid w:val="004C6C17"/>
    <w:rsid w:val="004D1006"/>
    <w:rsid w:val="004D1A7F"/>
    <w:rsid w:val="004D2B2C"/>
    <w:rsid w:val="004D38BD"/>
    <w:rsid w:val="004D61B3"/>
    <w:rsid w:val="004D62B6"/>
    <w:rsid w:val="004D799B"/>
    <w:rsid w:val="004D7C31"/>
    <w:rsid w:val="004E2D73"/>
    <w:rsid w:val="004E2DBA"/>
    <w:rsid w:val="004E3D3E"/>
    <w:rsid w:val="004E3FC3"/>
    <w:rsid w:val="004E46AD"/>
    <w:rsid w:val="004E5AB1"/>
    <w:rsid w:val="004E78EC"/>
    <w:rsid w:val="004E7C4E"/>
    <w:rsid w:val="004F32C0"/>
    <w:rsid w:val="004F3FC6"/>
    <w:rsid w:val="00500F42"/>
    <w:rsid w:val="005018C8"/>
    <w:rsid w:val="005028B0"/>
    <w:rsid w:val="00503436"/>
    <w:rsid w:val="00503814"/>
    <w:rsid w:val="00504B87"/>
    <w:rsid w:val="00505B70"/>
    <w:rsid w:val="005069BE"/>
    <w:rsid w:val="005154D3"/>
    <w:rsid w:val="00515A1B"/>
    <w:rsid w:val="00517D0C"/>
    <w:rsid w:val="005202E8"/>
    <w:rsid w:val="00521E76"/>
    <w:rsid w:val="00522080"/>
    <w:rsid w:val="00522FA0"/>
    <w:rsid w:val="00523E19"/>
    <w:rsid w:val="00524FBB"/>
    <w:rsid w:val="0052584C"/>
    <w:rsid w:val="00527819"/>
    <w:rsid w:val="00530096"/>
    <w:rsid w:val="005318AF"/>
    <w:rsid w:val="00531FE2"/>
    <w:rsid w:val="00532685"/>
    <w:rsid w:val="00533A10"/>
    <w:rsid w:val="00533DCA"/>
    <w:rsid w:val="00542919"/>
    <w:rsid w:val="00543125"/>
    <w:rsid w:val="00546DC4"/>
    <w:rsid w:val="00547573"/>
    <w:rsid w:val="0055026E"/>
    <w:rsid w:val="00551140"/>
    <w:rsid w:val="005520E4"/>
    <w:rsid w:val="00553EBC"/>
    <w:rsid w:val="00562750"/>
    <w:rsid w:val="005643B3"/>
    <w:rsid w:val="00567142"/>
    <w:rsid w:val="005705D6"/>
    <w:rsid w:val="00573945"/>
    <w:rsid w:val="00573DC7"/>
    <w:rsid w:val="00580A07"/>
    <w:rsid w:val="005831C2"/>
    <w:rsid w:val="00583E8E"/>
    <w:rsid w:val="005840C2"/>
    <w:rsid w:val="00584684"/>
    <w:rsid w:val="00585F70"/>
    <w:rsid w:val="0058614B"/>
    <w:rsid w:val="00591A36"/>
    <w:rsid w:val="00593E1B"/>
    <w:rsid w:val="0059639A"/>
    <w:rsid w:val="00596F8F"/>
    <w:rsid w:val="005A1C43"/>
    <w:rsid w:val="005B00AE"/>
    <w:rsid w:val="005B2B9F"/>
    <w:rsid w:val="005B3605"/>
    <w:rsid w:val="005B5784"/>
    <w:rsid w:val="005C0FD3"/>
    <w:rsid w:val="005C1A1B"/>
    <w:rsid w:val="005C2612"/>
    <w:rsid w:val="005C2F4B"/>
    <w:rsid w:val="005C4358"/>
    <w:rsid w:val="005D1F7E"/>
    <w:rsid w:val="005D3B09"/>
    <w:rsid w:val="005D417B"/>
    <w:rsid w:val="005D5B1F"/>
    <w:rsid w:val="005E1CE9"/>
    <w:rsid w:val="005E3FD6"/>
    <w:rsid w:val="005E5672"/>
    <w:rsid w:val="005F11F1"/>
    <w:rsid w:val="005F58B9"/>
    <w:rsid w:val="005F6F9C"/>
    <w:rsid w:val="005F7E41"/>
    <w:rsid w:val="005F7FB4"/>
    <w:rsid w:val="006009DF"/>
    <w:rsid w:val="00603D25"/>
    <w:rsid w:val="00616BC9"/>
    <w:rsid w:val="00620152"/>
    <w:rsid w:val="00622547"/>
    <w:rsid w:val="006264D6"/>
    <w:rsid w:val="00631741"/>
    <w:rsid w:val="0063199C"/>
    <w:rsid w:val="00635CDE"/>
    <w:rsid w:val="00640508"/>
    <w:rsid w:val="00642B83"/>
    <w:rsid w:val="00642F9E"/>
    <w:rsid w:val="00644EB1"/>
    <w:rsid w:val="00645CBF"/>
    <w:rsid w:val="00645FF2"/>
    <w:rsid w:val="006461B2"/>
    <w:rsid w:val="00646CD1"/>
    <w:rsid w:val="00647B80"/>
    <w:rsid w:val="006528EC"/>
    <w:rsid w:val="006529B8"/>
    <w:rsid w:val="00652CB8"/>
    <w:rsid w:val="00652D1D"/>
    <w:rsid w:val="00655A8A"/>
    <w:rsid w:val="00655F34"/>
    <w:rsid w:val="00660423"/>
    <w:rsid w:val="00664674"/>
    <w:rsid w:val="006708FE"/>
    <w:rsid w:val="00673C48"/>
    <w:rsid w:val="00675790"/>
    <w:rsid w:val="00676886"/>
    <w:rsid w:val="00676EAC"/>
    <w:rsid w:val="00677798"/>
    <w:rsid w:val="006803A5"/>
    <w:rsid w:val="0068333A"/>
    <w:rsid w:val="00684B2C"/>
    <w:rsid w:val="006851B0"/>
    <w:rsid w:val="00686297"/>
    <w:rsid w:val="00686780"/>
    <w:rsid w:val="00687AEB"/>
    <w:rsid w:val="006909D3"/>
    <w:rsid w:val="006935F3"/>
    <w:rsid w:val="0069568C"/>
    <w:rsid w:val="00696B74"/>
    <w:rsid w:val="00697B15"/>
    <w:rsid w:val="00697BB5"/>
    <w:rsid w:val="006A06A3"/>
    <w:rsid w:val="006A3779"/>
    <w:rsid w:val="006A458B"/>
    <w:rsid w:val="006A4B0D"/>
    <w:rsid w:val="006A5DD2"/>
    <w:rsid w:val="006A7786"/>
    <w:rsid w:val="006B0DDB"/>
    <w:rsid w:val="006B384D"/>
    <w:rsid w:val="006B69D3"/>
    <w:rsid w:val="006C1039"/>
    <w:rsid w:val="006C4268"/>
    <w:rsid w:val="006C595B"/>
    <w:rsid w:val="006C7B58"/>
    <w:rsid w:val="006D289D"/>
    <w:rsid w:val="006D2EA7"/>
    <w:rsid w:val="006D6073"/>
    <w:rsid w:val="006D6239"/>
    <w:rsid w:val="006E0E27"/>
    <w:rsid w:val="006E11C2"/>
    <w:rsid w:val="006E2FB1"/>
    <w:rsid w:val="006E6663"/>
    <w:rsid w:val="006E7B64"/>
    <w:rsid w:val="006F0093"/>
    <w:rsid w:val="006F1199"/>
    <w:rsid w:val="006F21D2"/>
    <w:rsid w:val="006F31BB"/>
    <w:rsid w:val="006F3255"/>
    <w:rsid w:val="006F4FDB"/>
    <w:rsid w:val="006F50A6"/>
    <w:rsid w:val="006F6382"/>
    <w:rsid w:val="00701F28"/>
    <w:rsid w:val="00704578"/>
    <w:rsid w:val="00704A97"/>
    <w:rsid w:val="00705826"/>
    <w:rsid w:val="00706CE2"/>
    <w:rsid w:val="00707277"/>
    <w:rsid w:val="007105A5"/>
    <w:rsid w:val="0071401C"/>
    <w:rsid w:val="00716C2D"/>
    <w:rsid w:val="0072082C"/>
    <w:rsid w:val="00720FD9"/>
    <w:rsid w:val="0072313D"/>
    <w:rsid w:val="00724170"/>
    <w:rsid w:val="00724F06"/>
    <w:rsid w:val="00725112"/>
    <w:rsid w:val="007266BE"/>
    <w:rsid w:val="0072690C"/>
    <w:rsid w:val="00726FF2"/>
    <w:rsid w:val="00731F56"/>
    <w:rsid w:val="007322BA"/>
    <w:rsid w:val="00735005"/>
    <w:rsid w:val="00735452"/>
    <w:rsid w:val="007361A9"/>
    <w:rsid w:val="007364A5"/>
    <w:rsid w:val="00740B36"/>
    <w:rsid w:val="00741C30"/>
    <w:rsid w:val="0074250C"/>
    <w:rsid w:val="007447F8"/>
    <w:rsid w:val="00745CB7"/>
    <w:rsid w:val="00761420"/>
    <w:rsid w:val="0076507A"/>
    <w:rsid w:val="0076554C"/>
    <w:rsid w:val="007712A5"/>
    <w:rsid w:val="007751B1"/>
    <w:rsid w:val="00777997"/>
    <w:rsid w:val="007838BF"/>
    <w:rsid w:val="00784676"/>
    <w:rsid w:val="00786EA6"/>
    <w:rsid w:val="00787336"/>
    <w:rsid w:val="00790D85"/>
    <w:rsid w:val="00791320"/>
    <w:rsid w:val="00791E59"/>
    <w:rsid w:val="007928E4"/>
    <w:rsid w:val="00795A31"/>
    <w:rsid w:val="00797907"/>
    <w:rsid w:val="00797BBA"/>
    <w:rsid w:val="007A107D"/>
    <w:rsid w:val="007A2454"/>
    <w:rsid w:val="007A3C95"/>
    <w:rsid w:val="007A747E"/>
    <w:rsid w:val="007B74D7"/>
    <w:rsid w:val="007C0417"/>
    <w:rsid w:val="007C411D"/>
    <w:rsid w:val="007C4AE9"/>
    <w:rsid w:val="007C5CF4"/>
    <w:rsid w:val="007D1461"/>
    <w:rsid w:val="007D57BA"/>
    <w:rsid w:val="007D7AA8"/>
    <w:rsid w:val="007E1B8A"/>
    <w:rsid w:val="007E3796"/>
    <w:rsid w:val="007E4058"/>
    <w:rsid w:val="007E5E3F"/>
    <w:rsid w:val="007E67A6"/>
    <w:rsid w:val="007E6BBF"/>
    <w:rsid w:val="007F0B07"/>
    <w:rsid w:val="007F13A5"/>
    <w:rsid w:val="007F3D46"/>
    <w:rsid w:val="007F3DE3"/>
    <w:rsid w:val="007F6F1F"/>
    <w:rsid w:val="008012A8"/>
    <w:rsid w:val="00802260"/>
    <w:rsid w:val="008036B2"/>
    <w:rsid w:val="00805513"/>
    <w:rsid w:val="008105C9"/>
    <w:rsid w:val="00811B89"/>
    <w:rsid w:val="00814234"/>
    <w:rsid w:val="00814A36"/>
    <w:rsid w:val="00814B02"/>
    <w:rsid w:val="008159DD"/>
    <w:rsid w:val="008163EE"/>
    <w:rsid w:val="00821707"/>
    <w:rsid w:val="00822417"/>
    <w:rsid w:val="008268BE"/>
    <w:rsid w:val="008325FA"/>
    <w:rsid w:val="0083326D"/>
    <w:rsid w:val="00833465"/>
    <w:rsid w:val="008338A3"/>
    <w:rsid w:val="008340C9"/>
    <w:rsid w:val="00836880"/>
    <w:rsid w:val="00842E01"/>
    <w:rsid w:val="00846B26"/>
    <w:rsid w:val="008515C7"/>
    <w:rsid w:val="008544CE"/>
    <w:rsid w:val="00854666"/>
    <w:rsid w:val="008604BA"/>
    <w:rsid w:val="00862510"/>
    <w:rsid w:val="0086312E"/>
    <w:rsid w:val="00865AAC"/>
    <w:rsid w:val="00870EAD"/>
    <w:rsid w:val="00873A8D"/>
    <w:rsid w:val="008763E5"/>
    <w:rsid w:val="00883364"/>
    <w:rsid w:val="0088396B"/>
    <w:rsid w:val="0088657F"/>
    <w:rsid w:val="008872FB"/>
    <w:rsid w:val="00890D13"/>
    <w:rsid w:val="008929FD"/>
    <w:rsid w:val="00892DCA"/>
    <w:rsid w:val="00894273"/>
    <w:rsid w:val="00894B3D"/>
    <w:rsid w:val="008A0412"/>
    <w:rsid w:val="008A6ED4"/>
    <w:rsid w:val="008B071E"/>
    <w:rsid w:val="008B1438"/>
    <w:rsid w:val="008B1A07"/>
    <w:rsid w:val="008B2CD5"/>
    <w:rsid w:val="008B3262"/>
    <w:rsid w:val="008B361F"/>
    <w:rsid w:val="008B49D1"/>
    <w:rsid w:val="008B56B2"/>
    <w:rsid w:val="008B6950"/>
    <w:rsid w:val="008C3778"/>
    <w:rsid w:val="008C70C5"/>
    <w:rsid w:val="008D5F51"/>
    <w:rsid w:val="008E0DA9"/>
    <w:rsid w:val="008E42F2"/>
    <w:rsid w:val="008E4B30"/>
    <w:rsid w:val="008E4EB8"/>
    <w:rsid w:val="008E6201"/>
    <w:rsid w:val="008E76E1"/>
    <w:rsid w:val="008F00A3"/>
    <w:rsid w:val="008F27E7"/>
    <w:rsid w:val="008F46FD"/>
    <w:rsid w:val="008F475D"/>
    <w:rsid w:val="00900038"/>
    <w:rsid w:val="00903EC6"/>
    <w:rsid w:val="009044CC"/>
    <w:rsid w:val="00906E54"/>
    <w:rsid w:val="0091058D"/>
    <w:rsid w:val="0091224E"/>
    <w:rsid w:val="00912DF9"/>
    <w:rsid w:val="0092166E"/>
    <w:rsid w:val="00921E9B"/>
    <w:rsid w:val="00922D98"/>
    <w:rsid w:val="00924878"/>
    <w:rsid w:val="009355F9"/>
    <w:rsid w:val="00937327"/>
    <w:rsid w:val="00937B13"/>
    <w:rsid w:val="00937C6D"/>
    <w:rsid w:val="00940B15"/>
    <w:rsid w:val="00942DAC"/>
    <w:rsid w:val="0094355D"/>
    <w:rsid w:val="00943714"/>
    <w:rsid w:val="009437EB"/>
    <w:rsid w:val="00947305"/>
    <w:rsid w:val="00956335"/>
    <w:rsid w:val="009569A8"/>
    <w:rsid w:val="009570AE"/>
    <w:rsid w:val="00966587"/>
    <w:rsid w:val="009705D3"/>
    <w:rsid w:val="0097102C"/>
    <w:rsid w:val="0097107B"/>
    <w:rsid w:val="00973FD6"/>
    <w:rsid w:val="00982C25"/>
    <w:rsid w:val="009833B5"/>
    <w:rsid w:val="00983511"/>
    <w:rsid w:val="009841F2"/>
    <w:rsid w:val="009913C8"/>
    <w:rsid w:val="0099312F"/>
    <w:rsid w:val="00993824"/>
    <w:rsid w:val="00997959"/>
    <w:rsid w:val="00997EFA"/>
    <w:rsid w:val="009A0307"/>
    <w:rsid w:val="009A1A7B"/>
    <w:rsid w:val="009A43F3"/>
    <w:rsid w:val="009A51CC"/>
    <w:rsid w:val="009A6BA2"/>
    <w:rsid w:val="009A79C0"/>
    <w:rsid w:val="009B393F"/>
    <w:rsid w:val="009B518B"/>
    <w:rsid w:val="009B5A6E"/>
    <w:rsid w:val="009B60B6"/>
    <w:rsid w:val="009B6ACC"/>
    <w:rsid w:val="009C050F"/>
    <w:rsid w:val="009C4B52"/>
    <w:rsid w:val="009C5193"/>
    <w:rsid w:val="009C51A1"/>
    <w:rsid w:val="009C7A48"/>
    <w:rsid w:val="009D0811"/>
    <w:rsid w:val="009D5386"/>
    <w:rsid w:val="009D7E8F"/>
    <w:rsid w:val="009E1504"/>
    <w:rsid w:val="009E2A4E"/>
    <w:rsid w:val="009E3B98"/>
    <w:rsid w:val="009E4ECE"/>
    <w:rsid w:val="009F1780"/>
    <w:rsid w:val="009F356F"/>
    <w:rsid w:val="009F79F3"/>
    <w:rsid w:val="00A0158A"/>
    <w:rsid w:val="00A041D2"/>
    <w:rsid w:val="00A06D77"/>
    <w:rsid w:val="00A10BC2"/>
    <w:rsid w:val="00A10D52"/>
    <w:rsid w:val="00A10E7F"/>
    <w:rsid w:val="00A13E94"/>
    <w:rsid w:val="00A14E40"/>
    <w:rsid w:val="00A1568B"/>
    <w:rsid w:val="00A16F3A"/>
    <w:rsid w:val="00A1722D"/>
    <w:rsid w:val="00A21067"/>
    <w:rsid w:val="00A21F67"/>
    <w:rsid w:val="00A22CBE"/>
    <w:rsid w:val="00A24D24"/>
    <w:rsid w:val="00A25E40"/>
    <w:rsid w:val="00A27723"/>
    <w:rsid w:val="00A27EB5"/>
    <w:rsid w:val="00A328B8"/>
    <w:rsid w:val="00A34E40"/>
    <w:rsid w:val="00A358F3"/>
    <w:rsid w:val="00A35DF1"/>
    <w:rsid w:val="00A37042"/>
    <w:rsid w:val="00A37069"/>
    <w:rsid w:val="00A37088"/>
    <w:rsid w:val="00A40224"/>
    <w:rsid w:val="00A40DDD"/>
    <w:rsid w:val="00A41EC6"/>
    <w:rsid w:val="00A42B82"/>
    <w:rsid w:val="00A46182"/>
    <w:rsid w:val="00A503A0"/>
    <w:rsid w:val="00A51794"/>
    <w:rsid w:val="00A52053"/>
    <w:rsid w:val="00A523DD"/>
    <w:rsid w:val="00A55A3A"/>
    <w:rsid w:val="00A640A1"/>
    <w:rsid w:val="00A64C39"/>
    <w:rsid w:val="00A71B95"/>
    <w:rsid w:val="00A72E60"/>
    <w:rsid w:val="00A73D61"/>
    <w:rsid w:val="00A75CC0"/>
    <w:rsid w:val="00A76FC6"/>
    <w:rsid w:val="00A80ED4"/>
    <w:rsid w:val="00A817C7"/>
    <w:rsid w:val="00A82465"/>
    <w:rsid w:val="00A8537B"/>
    <w:rsid w:val="00A86B51"/>
    <w:rsid w:val="00A92FCA"/>
    <w:rsid w:val="00A93D54"/>
    <w:rsid w:val="00A94DA0"/>
    <w:rsid w:val="00A96102"/>
    <w:rsid w:val="00AA42ED"/>
    <w:rsid w:val="00AB2068"/>
    <w:rsid w:val="00AB412F"/>
    <w:rsid w:val="00AB5AD3"/>
    <w:rsid w:val="00AB7933"/>
    <w:rsid w:val="00AC2855"/>
    <w:rsid w:val="00AC727A"/>
    <w:rsid w:val="00AD0EAE"/>
    <w:rsid w:val="00AD40E7"/>
    <w:rsid w:val="00AE19FF"/>
    <w:rsid w:val="00AE26C9"/>
    <w:rsid w:val="00AE2D64"/>
    <w:rsid w:val="00AE7E15"/>
    <w:rsid w:val="00AF0518"/>
    <w:rsid w:val="00AF71E2"/>
    <w:rsid w:val="00B02259"/>
    <w:rsid w:val="00B024FA"/>
    <w:rsid w:val="00B02673"/>
    <w:rsid w:val="00B02FCE"/>
    <w:rsid w:val="00B04EBD"/>
    <w:rsid w:val="00B05C9F"/>
    <w:rsid w:val="00B06BA3"/>
    <w:rsid w:val="00B06F85"/>
    <w:rsid w:val="00B07F09"/>
    <w:rsid w:val="00B1157C"/>
    <w:rsid w:val="00B11D6E"/>
    <w:rsid w:val="00B12437"/>
    <w:rsid w:val="00B205E1"/>
    <w:rsid w:val="00B21896"/>
    <w:rsid w:val="00B21AB2"/>
    <w:rsid w:val="00B221CD"/>
    <w:rsid w:val="00B22A57"/>
    <w:rsid w:val="00B23404"/>
    <w:rsid w:val="00B25563"/>
    <w:rsid w:val="00B2627E"/>
    <w:rsid w:val="00B30353"/>
    <w:rsid w:val="00B32391"/>
    <w:rsid w:val="00B34385"/>
    <w:rsid w:val="00B41F96"/>
    <w:rsid w:val="00B43D61"/>
    <w:rsid w:val="00B4494C"/>
    <w:rsid w:val="00B46195"/>
    <w:rsid w:val="00B54967"/>
    <w:rsid w:val="00B57353"/>
    <w:rsid w:val="00B57AEF"/>
    <w:rsid w:val="00B61361"/>
    <w:rsid w:val="00B617DB"/>
    <w:rsid w:val="00B619F2"/>
    <w:rsid w:val="00B62025"/>
    <w:rsid w:val="00B629CE"/>
    <w:rsid w:val="00B7134B"/>
    <w:rsid w:val="00B75875"/>
    <w:rsid w:val="00B777A7"/>
    <w:rsid w:val="00B77C59"/>
    <w:rsid w:val="00B845A9"/>
    <w:rsid w:val="00B84630"/>
    <w:rsid w:val="00B85F70"/>
    <w:rsid w:val="00B86FA2"/>
    <w:rsid w:val="00B8786A"/>
    <w:rsid w:val="00B91739"/>
    <w:rsid w:val="00B9232E"/>
    <w:rsid w:val="00B930F4"/>
    <w:rsid w:val="00B950E2"/>
    <w:rsid w:val="00BA37F9"/>
    <w:rsid w:val="00BA63C1"/>
    <w:rsid w:val="00BA69B7"/>
    <w:rsid w:val="00BB0A5D"/>
    <w:rsid w:val="00BB2B89"/>
    <w:rsid w:val="00BB2DDD"/>
    <w:rsid w:val="00BB6BFF"/>
    <w:rsid w:val="00BB6C08"/>
    <w:rsid w:val="00BB7DA3"/>
    <w:rsid w:val="00BC08BA"/>
    <w:rsid w:val="00BC154E"/>
    <w:rsid w:val="00BC413E"/>
    <w:rsid w:val="00BC6964"/>
    <w:rsid w:val="00BC6AA9"/>
    <w:rsid w:val="00BC7356"/>
    <w:rsid w:val="00BC7908"/>
    <w:rsid w:val="00BC7ADA"/>
    <w:rsid w:val="00BD46D9"/>
    <w:rsid w:val="00BD6765"/>
    <w:rsid w:val="00BD6FC1"/>
    <w:rsid w:val="00BD7FC9"/>
    <w:rsid w:val="00BE1EB0"/>
    <w:rsid w:val="00BE525B"/>
    <w:rsid w:val="00BE6433"/>
    <w:rsid w:val="00BE7B35"/>
    <w:rsid w:val="00BF02B9"/>
    <w:rsid w:val="00BF12DC"/>
    <w:rsid w:val="00BF2F4A"/>
    <w:rsid w:val="00BF301C"/>
    <w:rsid w:val="00BF49EA"/>
    <w:rsid w:val="00BF5512"/>
    <w:rsid w:val="00C0406C"/>
    <w:rsid w:val="00C10791"/>
    <w:rsid w:val="00C108AE"/>
    <w:rsid w:val="00C1606E"/>
    <w:rsid w:val="00C208B5"/>
    <w:rsid w:val="00C20E69"/>
    <w:rsid w:val="00C211B0"/>
    <w:rsid w:val="00C222CD"/>
    <w:rsid w:val="00C23E60"/>
    <w:rsid w:val="00C3599B"/>
    <w:rsid w:val="00C37D0A"/>
    <w:rsid w:val="00C42361"/>
    <w:rsid w:val="00C42B6B"/>
    <w:rsid w:val="00C46385"/>
    <w:rsid w:val="00C47C7A"/>
    <w:rsid w:val="00C54CCC"/>
    <w:rsid w:val="00C600E0"/>
    <w:rsid w:val="00C6017D"/>
    <w:rsid w:val="00C63DF0"/>
    <w:rsid w:val="00C64D45"/>
    <w:rsid w:val="00C6603E"/>
    <w:rsid w:val="00C7052E"/>
    <w:rsid w:val="00C71F04"/>
    <w:rsid w:val="00C75115"/>
    <w:rsid w:val="00C7623F"/>
    <w:rsid w:val="00C77079"/>
    <w:rsid w:val="00C81B3E"/>
    <w:rsid w:val="00C8254A"/>
    <w:rsid w:val="00C83679"/>
    <w:rsid w:val="00C86681"/>
    <w:rsid w:val="00C86776"/>
    <w:rsid w:val="00C876EB"/>
    <w:rsid w:val="00C87D57"/>
    <w:rsid w:val="00C919E8"/>
    <w:rsid w:val="00C93B40"/>
    <w:rsid w:val="00C94F2F"/>
    <w:rsid w:val="00C97A41"/>
    <w:rsid w:val="00CA0C96"/>
    <w:rsid w:val="00CA12D5"/>
    <w:rsid w:val="00CA1F12"/>
    <w:rsid w:val="00CA474A"/>
    <w:rsid w:val="00CA6D6D"/>
    <w:rsid w:val="00CB62B2"/>
    <w:rsid w:val="00CC0139"/>
    <w:rsid w:val="00CC4400"/>
    <w:rsid w:val="00CC45BE"/>
    <w:rsid w:val="00CD27A6"/>
    <w:rsid w:val="00CD5BE3"/>
    <w:rsid w:val="00CE2F5A"/>
    <w:rsid w:val="00CE708A"/>
    <w:rsid w:val="00CF0FCD"/>
    <w:rsid w:val="00CF10E0"/>
    <w:rsid w:val="00CF1406"/>
    <w:rsid w:val="00CF1E3D"/>
    <w:rsid w:val="00CF4EA6"/>
    <w:rsid w:val="00CF6239"/>
    <w:rsid w:val="00D02993"/>
    <w:rsid w:val="00D03BB6"/>
    <w:rsid w:val="00D03C29"/>
    <w:rsid w:val="00D047CC"/>
    <w:rsid w:val="00D055D6"/>
    <w:rsid w:val="00D10C22"/>
    <w:rsid w:val="00D1196E"/>
    <w:rsid w:val="00D122CE"/>
    <w:rsid w:val="00D12551"/>
    <w:rsid w:val="00D16B87"/>
    <w:rsid w:val="00D21C45"/>
    <w:rsid w:val="00D21C76"/>
    <w:rsid w:val="00D22C97"/>
    <w:rsid w:val="00D22E4A"/>
    <w:rsid w:val="00D23EED"/>
    <w:rsid w:val="00D309B3"/>
    <w:rsid w:val="00D31A68"/>
    <w:rsid w:val="00D33E51"/>
    <w:rsid w:val="00D34CD4"/>
    <w:rsid w:val="00D3552D"/>
    <w:rsid w:val="00D35D2A"/>
    <w:rsid w:val="00D404F5"/>
    <w:rsid w:val="00D408EA"/>
    <w:rsid w:val="00D42893"/>
    <w:rsid w:val="00D43074"/>
    <w:rsid w:val="00D45A7C"/>
    <w:rsid w:val="00D45DC6"/>
    <w:rsid w:val="00D46164"/>
    <w:rsid w:val="00D516A2"/>
    <w:rsid w:val="00D551E7"/>
    <w:rsid w:val="00D63508"/>
    <w:rsid w:val="00D66AFF"/>
    <w:rsid w:val="00D67C5C"/>
    <w:rsid w:val="00D71EEB"/>
    <w:rsid w:val="00D725D9"/>
    <w:rsid w:val="00D75195"/>
    <w:rsid w:val="00D76E9D"/>
    <w:rsid w:val="00D80414"/>
    <w:rsid w:val="00D8319B"/>
    <w:rsid w:val="00D83BE9"/>
    <w:rsid w:val="00D83FA6"/>
    <w:rsid w:val="00D870EA"/>
    <w:rsid w:val="00D9058E"/>
    <w:rsid w:val="00D94EC6"/>
    <w:rsid w:val="00D94ECD"/>
    <w:rsid w:val="00D95524"/>
    <w:rsid w:val="00DA42E9"/>
    <w:rsid w:val="00DA6683"/>
    <w:rsid w:val="00DA71B7"/>
    <w:rsid w:val="00DA72CF"/>
    <w:rsid w:val="00DB159C"/>
    <w:rsid w:val="00DB1E1C"/>
    <w:rsid w:val="00DB2C37"/>
    <w:rsid w:val="00DB628C"/>
    <w:rsid w:val="00DB6409"/>
    <w:rsid w:val="00DB78CF"/>
    <w:rsid w:val="00DB7F18"/>
    <w:rsid w:val="00DC30F1"/>
    <w:rsid w:val="00DC32BA"/>
    <w:rsid w:val="00DC615C"/>
    <w:rsid w:val="00DC6C0E"/>
    <w:rsid w:val="00DC7EC8"/>
    <w:rsid w:val="00DD03BD"/>
    <w:rsid w:val="00DD18D8"/>
    <w:rsid w:val="00DD2418"/>
    <w:rsid w:val="00DE00E6"/>
    <w:rsid w:val="00DF359E"/>
    <w:rsid w:val="00DF5122"/>
    <w:rsid w:val="00DF5629"/>
    <w:rsid w:val="00DF79DD"/>
    <w:rsid w:val="00E00CF7"/>
    <w:rsid w:val="00E01952"/>
    <w:rsid w:val="00E02293"/>
    <w:rsid w:val="00E02CA2"/>
    <w:rsid w:val="00E04B22"/>
    <w:rsid w:val="00E10566"/>
    <w:rsid w:val="00E13150"/>
    <w:rsid w:val="00E1494E"/>
    <w:rsid w:val="00E15FCF"/>
    <w:rsid w:val="00E17376"/>
    <w:rsid w:val="00E20DDC"/>
    <w:rsid w:val="00E222FC"/>
    <w:rsid w:val="00E25977"/>
    <w:rsid w:val="00E276FB"/>
    <w:rsid w:val="00E3068D"/>
    <w:rsid w:val="00E344C6"/>
    <w:rsid w:val="00E35501"/>
    <w:rsid w:val="00E36E7F"/>
    <w:rsid w:val="00E439F8"/>
    <w:rsid w:val="00E44772"/>
    <w:rsid w:val="00E47D38"/>
    <w:rsid w:val="00E505DF"/>
    <w:rsid w:val="00E50B7F"/>
    <w:rsid w:val="00E519DD"/>
    <w:rsid w:val="00E57F79"/>
    <w:rsid w:val="00E61DCD"/>
    <w:rsid w:val="00E6366A"/>
    <w:rsid w:val="00E639DD"/>
    <w:rsid w:val="00E6556C"/>
    <w:rsid w:val="00E67F68"/>
    <w:rsid w:val="00E706D5"/>
    <w:rsid w:val="00E732E8"/>
    <w:rsid w:val="00E75805"/>
    <w:rsid w:val="00E777EE"/>
    <w:rsid w:val="00E812EB"/>
    <w:rsid w:val="00E82C93"/>
    <w:rsid w:val="00E86094"/>
    <w:rsid w:val="00E9048A"/>
    <w:rsid w:val="00E90B88"/>
    <w:rsid w:val="00E90BCC"/>
    <w:rsid w:val="00E922E8"/>
    <w:rsid w:val="00E97899"/>
    <w:rsid w:val="00EA1159"/>
    <w:rsid w:val="00EA2B72"/>
    <w:rsid w:val="00EA320F"/>
    <w:rsid w:val="00EA3916"/>
    <w:rsid w:val="00EA7E6E"/>
    <w:rsid w:val="00EB1E98"/>
    <w:rsid w:val="00EB4388"/>
    <w:rsid w:val="00EB589B"/>
    <w:rsid w:val="00EB6713"/>
    <w:rsid w:val="00EB76D1"/>
    <w:rsid w:val="00EC08B9"/>
    <w:rsid w:val="00EC2266"/>
    <w:rsid w:val="00EC48EF"/>
    <w:rsid w:val="00EC605E"/>
    <w:rsid w:val="00ED07FE"/>
    <w:rsid w:val="00ED0F98"/>
    <w:rsid w:val="00ED12FA"/>
    <w:rsid w:val="00ED18BA"/>
    <w:rsid w:val="00ED35B2"/>
    <w:rsid w:val="00ED450F"/>
    <w:rsid w:val="00ED5342"/>
    <w:rsid w:val="00ED6467"/>
    <w:rsid w:val="00ED6DA5"/>
    <w:rsid w:val="00ED7591"/>
    <w:rsid w:val="00ED7803"/>
    <w:rsid w:val="00EE06FE"/>
    <w:rsid w:val="00EE1AC6"/>
    <w:rsid w:val="00EE1F39"/>
    <w:rsid w:val="00EE1F56"/>
    <w:rsid w:val="00EE5D37"/>
    <w:rsid w:val="00EF12BC"/>
    <w:rsid w:val="00EF144C"/>
    <w:rsid w:val="00EF3F93"/>
    <w:rsid w:val="00EF4E12"/>
    <w:rsid w:val="00EF56B0"/>
    <w:rsid w:val="00EF6A77"/>
    <w:rsid w:val="00F0133C"/>
    <w:rsid w:val="00F10DC0"/>
    <w:rsid w:val="00F1327A"/>
    <w:rsid w:val="00F16496"/>
    <w:rsid w:val="00F1730A"/>
    <w:rsid w:val="00F25774"/>
    <w:rsid w:val="00F26539"/>
    <w:rsid w:val="00F35097"/>
    <w:rsid w:val="00F42603"/>
    <w:rsid w:val="00F44BDE"/>
    <w:rsid w:val="00F44F45"/>
    <w:rsid w:val="00F468E2"/>
    <w:rsid w:val="00F51AF0"/>
    <w:rsid w:val="00F52EA3"/>
    <w:rsid w:val="00F53D39"/>
    <w:rsid w:val="00F54460"/>
    <w:rsid w:val="00F562C5"/>
    <w:rsid w:val="00F611E9"/>
    <w:rsid w:val="00F616A3"/>
    <w:rsid w:val="00F63FF8"/>
    <w:rsid w:val="00F6447C"/>
    <w:rsid w:val="00F64728"/>
    <w:rsid w:val="00F65964"/>
    <w:rsid w:val="00F65EAA"/>
    <w:rsid w:val="00F67C5D"/>
    <w:rsid w:val="00F70F76"/>
    <w:rsid w:val="00F71979"/>
    <w:rsid w:val="00F723F8"/>
    <w:rsid w:val="00F72F23"/>
    <w:rsid w:val="00F746F8"/>
    <w:rsid w:val="00F76438"/>
    <w:rsid w:val="00F816C8"/>
    <w:rsid w:val="00F81CDB"/>
    <w:rsid w:val="00F8270A"/>
    <w:rsid w:val="00F8463F"/>
    <w:rsid w:val="00F848DB"/>
    <w:rsid w:val="00F84F54"/>
    <w:rsid w:val="00F87E9D"/>
    <w:rsid w:val="00F90582"/>
    <w:rsid w:val="00F9137F"/>
    <w:rsid w:val="00F917E6"/>
    <w:rsid w:val="00F9318A"/>
    <w:rsid w:val="00F933AD"/>
    <w:rsid w:val="00F93B1C"/>
    <w:rsid w:val="00F94DEF"/>
    <w:rsid w:val="00F951E3"/>
    <w:rsid w:val="00F961A3"/>
    <w:rsid w:val="00F963CF"/>
    <w:rsid w:val="00FA1CC7"/>
    <w:rsid w:val="00FA2220"/>
    <w:rsid w:val="00FA36BC"/>
    <w:rsid w:val="00FA49F4"/>
    <w:rsid w:val="00FA54F8"/>
    <w:rsid w:val="00FA5657"/>
    <w:rsid w:val="00FA5ACF"/>
    <w:rsid w:val="00FB0FCD"/>
    <w:rsid w:val="00FB170E"/>
    <w:rsid w:val="00FB6EF9"/>
    <w:rsid w:val="00FC00B1"/>
    <w:rsid w:val="00FC0A74"/>
    <w:rsid w:val="00FC1D2F"/>
    <w:rsid w:val="00FC5E04"/>
    <w:rsid w:val="00FC6595"/>
    <w:rsid w:val="00FC775D"/>
    <w:rsid w:val="00FD2DB7"/>
    <w:rsid w:val="00FD3337"/>
    <w:rsid w:val="00FD3CEC"/>
    <w:rsid w:val="00FD5E85"/>
    <w:rsid w:val="00FD6A87"/>
    <w:rsid w:val="00FE2B01"/>
    <w:rsid w:val="00FE377A"/>
    <w:rsid w:val="00FE57C5"/>
    <w:rsid w:val="00FF1CB4"/>
    <w:rsid w:val="00FF2070"/>
    <w:rsid w:val="00FF6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47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3F2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2443F2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2443F2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2443F2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59E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qFormat/>
    <w:rsid w:val="002443F2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2443F2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443F2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semiHidden/>
    <w:rsid w:val="002443F2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2443F2"/>
    <w:rPr>
      <w:vertAlign w:val="superscript"/>
    </w:rPr>
  </w:style>
  <w:style w:type="paragraph" w:styleId="BodyText">
    <w:name w:val="Body Text"/>
    <w:basedOn w:val="Normal"/>
    <w:semiHidden/>
    <w:rsid w:val="002443F2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2443F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2443F2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2443F2"/>
  </w:style>
  <w:style w:type="paragraph" w:styleId="BodyText2">
    <w:name w:val="Body Text 2"/>
    <w:basedOn w:val="Normal"/>
    <w:link w:val="BodyText2Char"/>
    <w:uiPriority w:val="99"/>
    <w:semiHidden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6C08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D77"/>
    <w:rPr>
      <w:rFonts w:ascii="Tahoma" w:hAnsi="Tahoma" w:cs="Tahoma"/>
      <w:sz w:val="16"/>
      <w:szCs w:val="16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4B0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4B02"/>
    <w:rPr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814B02"/>
    <w:rPr>
      <w:vertAlign w:val="superscri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59E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4F32C0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A40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408EA"/>
    <w:rPr>
      <w:b/>
      <w:bCs/>
    </w:rPr>
  </w:style>
  <w:style w:type="paragraph" w:styleId="ListParagraph">
    <w:name w:val="List Paragraph"/>
    <w:basedOn w:val="Normal"/>
    <w:uiPriority w:val="34"/>
    <w:qFormat/>
    <w:rsid w:val="00301508"/>
    <w:pPr>
      <w:ind w:left="720"/>
      <w:contextualSpacing/>
    </w:pPr>
  </w:style>
  <w:style w:type="character" w:styleId="Hyperlink">
    <w:name w:val="Hyperlink"/>
    <w:basedOn w:val="DefaultParagraphFont"/>
    <w:semiHidden/>
    <w:rsid w:val="00822417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655F34"/>
    <w:rPr>
      <w:rFonts w:cs="Traditional Arabic"/>
      <w:snapToGrid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D33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E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E51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E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5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6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ar-SA"/>
  <c:chart>
    <c:title>
      <c:tx>
        <c:rich>
          <a:bodyPr/>
          <a:lstStyle/>
          <a:p>
            <a:pPr algn="ctr">
              <a:defRPr lang="en-GB"/>
            </a:pPr>
            <a:r>
              <a:rPr lang="ar-SA" sz="1000">
                <a:latin typeface="Simplified Arabic" pitchFamily="18" charset="-78"/>
                <a:cs typeface="Simplified Arabic" pitchFamily="18" charset="-78"/>
              </a:rPr>
              <a:t>اجمالي عدد خطوط الهواتف الخلوية النقالة في فلسطين   </a:t>
            </a:r>
            <a:r>
              <a:rPr lang="en-US" sz="1000">
                <a:latin typeface="Simplified Arabic" pitchFamily="18" charset="-78"/>
                <a:cs typeface="Simplified Arabic" pitchFamily="18" charset="-78"/>
              </a:rPr>
              <a:t>2010</a:t>
            </a:r>
            <a:r>
              <a:rPr lang="ar-SA" sz="100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en-US" sz="1000">
                <a:latin typeface="Simplified Arabic" pitchFamily="18" charset="-78"/>
                <a:cs typeface="Simplified Arabic" pitchFamily="18" charset="-78"/>
              </a:rPr>
              <a:t>2019</a:t>
            </a:r>
            <a:r>
              <a:rPr lang="ar-SA" sz="1000">
                <a:latin typeface="Simplified Arabic" pitchFamily="18" charset="-78"/>
                <a:cs typeface="Simplified Arabic" pitchFamily="18" charset="-78"/>
              </a:rPr>
              <a:t> (</a:t>
            </a:r>
            <a:r>
              <a:rPr lang="ar-SA" sz="1000">
                <a:solidFill>
                  <a:sysClr val="windowText" lastClr="000000"/>
                </a:solidFill>
                <a:latin typeface="Simplified Arabic" pitchFamily="18" charset="-78"/>
                <a:cs typeface="Simplified Arabic" pitchFamily="18" charset="-78"/>
              </a:rPr>
              <a:t>بالألف</a:t>
            </a:r>
            <a:r>
              <a:rPr lang="ar-SA" sz="1000">
                <a:latin typeface="Simplified Arabic" pitchFamily="18" charset="-78"/>
                <a:cs typeface="Simplified Arabic" pitchFamily="18" charset="-78"/>
              </a:rPr>
              <a:t>)</a:t>
            </a:r>
          </a:p>
        </c:rich>
      </c:tx>
      <c:layout>
        <c:manualLayout>
          <c:xMode val="edge"/>
          <c:yMode val="edge"/>
          <c:x val="0.23550420986980591"/>
          <c:y val="3.5045075887253255E-3"/>
        </c:manualLayout>
      </c:layout>
    </c:title>
    <c:plotArea>
      <c:layout>
        <c:manualLayout>
          <c:layoutTarget val="inner"/>
          <c:xMode val="edge"/>
          <c:yMode val="edge"/>
          <c:x val="0.22492232692586842"/>
          <c:y val="0.19025749175465442"/>
          <c:w val="0.74825668782447963"/>
          <c:h val="0.59761066901486959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خط الهاتف النقال</c:v>
                </c:pt>
              </c:strCache>
            </c:strRef>
          </c:tx>
          <c:dLbls>
            <c:dLbl>
              <c:idx val="0"/>
              <c:layout>
                <c:manualLayout>
                  <c:x val="-7.4559003099464116E-2"/>
                  <c:y val="-6.6981437168738972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8.6542893220617728E-2"/>
                  <c:y val="-6.8168989408193534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8.8109563088375767E-2"/>
                  <c:y val="-7.0984733070794073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8.6307669736898754E-2"/>
                  <c:y val="-7.127730602989521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8.0968299610417002E-2"/>
                  <c:y val="-6.3758062607314619E-2"/>
                </c:manualLayout>
              </c:layout>
              <c:dLblPos val="r"/>
              <c:showVal val="1"/>
            </c:dLbl>
            <c:dLbl>
              <c:idx val="5"/>
              <c:layout>
                <c:manualLayout>
                  <c:x val="-9.0511002895588846E-2"/>
                  <c:y val="-6.5554793713020823E-2"/>
                </c:manualLayout>
              </c:layout>
              <c:dLblPos val="r"/>
              <c:showVal val="1"/>
            </c:dLbl>
            <c:dLbl>
              <c:idx val="6"/>
              <c:layout>
                <c:manualLayout>
                  <c:x val="-8.7676949627570208E-2"/>
                  <c:y val="-6.4014861857311894E-2"/>
                </c:manualLayout>
              </c:layout>
              <c:dLblPos val="r"/>
              <c:showVal val="1"/>
            </c:dLbl>
            <c:dLbl>
              <c:idx val="7"/>
              <c:layout>
                <c:manualLayout>
                  <c:x val="-8.8208082102080101E-2"/>
                  <c:y val="-6.3371028072470317E-2"/>
                </c:manualLayout>
              </c:layout>
              <c:dLblPos val="r"/>
              <c:showVal val="1"/>
            </c:dLbl>
            <c:dLbl>
              <c:idx val="8"/>
              <c:layout>
                <c:manualLayout>
                  <c:x val="-7.8215677755378812E-2"/>
                  <c:y val="-4.8232052835044913E-2"/>
                </c:manualLayout>
              </c:layout>
              <c:dLblPos val="r"/>
              <c:showVal val="1"/>
            </c:dLbl>
            <c:dLbl>
              <c:idx val="9"/>
              <c:layout>
                <c:manualLayout>
                  <c:x val="0"/>
                  <c:y val="-5.4371845461449277E-2"/>
                </c:manualLayout>
              </c:layout>
              <c:dLblPos val="r"/>
              <c:showVal val="1"/>
            </c:dLbl>
            <c:txPr>
              <a:bodyPr rot="1560000" vert="horz"/>
              <a:lstStyle/>
              <a:p>
                <a:pPr>
                  <a:defRPr lang="en-GB" sz="900"/>
                </a:pPr>
                <a:endParaRPr lang="ar-SA"/>
              </a:p>
            </c:txPr>
            <c:showVal val="1"/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Sheet1!$B$2:$B$11</c:f>
              <c:numCache>
                <c:formatCode>#,##0</c:formatCode>
                <c:ptCount val="10"/>
                <c:pt idx="0">
                  <c:v>2604</c:v>
                </c:pt>
                <c:pt idx="1">
                  <c:v>2885</c:v>
                </c:pt>
                <c:pt idx="2">
                  <c:v>3190</c:v>
                </c:pt>
                <c:pt idx="3">
                  <c:v>3268</c:v>
                </c:pt>
                <c:pt idx="4">
                  <c:v>3291</c:v>
                </c:pt>
                <c:pt idx="5">
                  <c:v>3551</c:v>
                </c:pt>
                <c:pt idx="6">
                  <c:v>3708</c:v>
                </c:pt>
                <c:pt idx="7">
                  <c:v>3997</c:v>
                </c:pt>
                <c:pt idx="8">
                  <c:v>4294</c:v>
                </c:pt>
                <c:pt idx="9">
                  <c:v>4239</c:v>
                </c:pt>
              </c:numCache>
            </c:numRef>
          </c:val>
        </c:ser>
        <c:marker val="1"/>
        <c:axId val="168775680"/>
        <c:axId val="168777600"/>
      </c:lineChart>
      <c:catAx>
        <c:axId val="16877568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Simplified Arabic"/>
                    <a:ea typeface="Simplified Arabic"/>
                    <a:cs typeface="Simplified Arabic"/>
                  </a:defRPr>
                </a:pPr>
                <a:r>
                  <a:rPr lang="ar-SA"/>
                  <a:t>السنة</a:t>
                </a:r>
              </a:p>
            </c:rich>
          </c:tx>
        </c:title>
        <c:numFmt formatCode="General" sourceLinked="1"/>
        <c:tickLblPos val="nextTo"/>
        <c:txPr>
          <a:bodyPr rot="2460000"/>
          <a:lstStyle/>
          <a:p>
            <a:pPr>
              <a:defRPr lang="en-GB"/>
            </a:pPr>
            <a:endParaRPr lang="ar-SA"/>
          </a:p>
        </c:txPr>
        <c:crossAx val="168777600"/>
        <c:crosses val="autoZero"/>
        <c:auto val="1"/>
        <c:lblAlgn val="ctr"/>
        <c:lblOffset val="100"/>
      </c:catAx>
      <c:valAx>
        <c:axId val="168777600"/>
        <c:scaling>
          <c:orientation val="minMax"/>
          <c:max val="5000"/>
        </c:scaling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Simplified Arabic"/>
                    <a:ea typeface="Simplified Arabic"/>
                    <a:cs typeface="Simplified Arabic"/>
                  </a:defRPr>
                </a:pPr>
                <a:r>
                  <a:rPr lang="ar-SA"/>
                  <a:t>العدد (ألف)</a:t>
                </a:r>
              </a:p>
            </c:rich>
          </c:tx>
        </c:title>
        <c:numFmt formatCode="[$-1000000]0" sourceLinked="0"/>
        <c:tickLblPos val="nextTo"/>
        <c:txPr>
          <a:bodyPr/>
          <a:lstStyle/>
          <a:p>
            <a:pPr>
              <a:defRPr lang="en-GB"/>
            </a:pPr>
            <a:endParaRPr lang="ar-SA"/>
          </a:p>
        </c:txPr>
        <c:crossAx val="168775680"/>
        <c:crosses val="autoZero"/>
        <c:crossBetween val="between"/>
        <c:majorUnit val="500"/>
      </c:valAx>
    </c:plotArea>
    <c:plotVisOnly val="1"/>
    <c:dispBlanksAs val="gap"/>
  </c:chart>
  <c:spPr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ar-SA"/>
  <c:chart>
    <c:title>
      <c:tx>
        <c:rich>
          <a:bodyPr/>
          <a:lstStyle/>
          <a:p>
            <a:pPr>
              <a:defRPr lang="en-GB"/>
            </a:pPr>
            <a:r>
              <a:rPr lang="ar-SA" sz="1001">
                <a:latin typeface="Simplified Arabic" pitchFamily="18" charset="-78"/>
                <a:cs typeface="Simplified Arabic" pitchFamily="18" charset="-78"/>
              </a:rPr>
              <a:t>عدد</a:t>
            </a:r>
            <a:r>
              <a:rPr lang="ar-SA" sz="1001" baseline="0">
                <a:latin typeface="Simplified Arabic" pitchFamily="18" charset="-78"/>
                <a:cs typeface="Simplified Arabic" pitchFamily="18" charset="-78"/>
              </a:rPr>
              <a:t> مشترك</a:t>
            </a:r>
            <a:r>
              <a:rPr lang="ar-SA" sz="1001" baseline="0">
                <a:solidFill>
                  <a:sysClr val="windowText" lastClr="000000"/>
                </a:solidFill>
                <a:latin typeface="Simplified Arabic" pitchFamily="18" charset="-78"/>
                <a:cs typeface="Simplified Arabic" pitchFamily="18" charset="-78"/>
              </a:rPr>
              <a:t>ي</a:t>
            </a:r>
            <a:r>
              <a:rPr lang="ar-SA" sz="1001" baseline="0">
                <a:latin typeface="Simplified Arabic" pitchFamily="18" charset="-78"/>
                <a:cs typeface="Simplified Arabic" pitchFamily="18" charset="-78"/>
              </a:rPr>
              <a:t> الانترنت فائق السرعة في فلسطين     </a:t>
            </a:r>
            <a:r>
              <a:rPr lang="en-US" sz="1001" baseline="0">
                <a:latin typeface="Simplified Arabic" pitchFamily="18" charset="-78"/>
                <a:cs typeface="Simplified Arabic" pitchFamily="18" charset="-78"/>
              </a:rPr>
              <a:t>2010</a:t>
            </a:r>
            <a:r>
              <a:rPr lang="ar-SA" sz="1001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en-US" sz="1001" baseline="0">
                <a:latin typeface="Simplified Arabic" pitchFamily="18" charset="-78"/>
                <a:cs typeface="Simplified Arabic" pitchFamily="18" charset="-78"/>
              </a:rPr>
              <a:t>2019</a:t>
            </a:r>
            <a:r>
              <a:rPr lang="ar-SA" sz="1001" baseline="0">
                <a:latin typeface="Simplified Arabic" pitchFamily="18" charset="-78"/>
                <a:cs typeface="Simplified Arabic" pitchFamily="18" charset="-78"/>
              </a:rPr>
              <a:t> (بالألف)</a:t>
            </a:r>
            <a:endParaRPr lang="en-US" sz="10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1997982528303364"/>
          <c:y val="1.8648179181683929E-2"/>
        </c:manualLayout>
      </c:layout>
    </c:title>
    <c:plotArea>
      <c:layout>
        <c:manualLayout>
          <c:layoutTarget val="inner"/>
          <c:xMode val="edge"/>
          <c:yMode val="edge"/>
          <c:x val="0.18469474510041844"/>
          <c:y val="0.18948222381293514"/>
          <c:w val="0.76677188924190065"/>
          <c:h val="0.57866674008406249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dLbl>
              <c:idx val="1"/>
              <c:layout>
                <c:manualLayout>
                  <c:x val="-4.0040040040040074E-3"/>
                  <c:y val="1.3986013986013989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0"/>
                  <c:y val="2.3310023310023308E-2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8.0080080080080097E-3"/>
                  <c:y val="9.3240093240094454E-3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1.2012012012012015E-2"/>
                  <c:y val="2.331002331002327E-2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4.0036887280981833E-3"/>
                  <c:y val="1.8648018648018901E-2"/>
                </c:manualLayout>
              </c:layout>
              <c:dLblPos val="outEnd"/>
              <c:showVal val="1"/>
            </c:dLbl>
            <c:dLbl>
              <c:idx val="6"/>
              <c:layout>
                <c:manualLayout>
                  <c:x val="4.0040040040039302E-3"/>
                  <c:y val="1.8648018648018901E-2"/>
                </c:manualLayout>
              </c:layout>
              <c:dLblPos val="outEnd"/>
              <c:showVal val="1"/>
            </c:dLbl>
            <c:dLbl>
              <c:idx val="7"/>
              <c:layout>
                <c:manualLayout>
                  <c:x val="-4.0040040040040074E-3"/>
                  <c:y val="1.9154598682157936E-2"/>
                </c:manualLayout>
              </c:layout>
              <c:numFmt formatCode="[$-1000000]0" sourceLinked="0"/>
              <c:spPr/>
              <c:txPr>
                <a:bodyPr/>
                <a:lstStyle/>
                <a:p>
                  <a:pPr>
                    <a:defRPr lang="ar-SA" baseline="0"/>
                  </a:pPr>
                  <a:endParaRPr lang="ar-SA"/>
                </a:p>
              </c:txPr>
              <c:dLblPos val="outEnd"/>
              <c:showVal val="1"/>
            </c:dLbl>
            <c:dLbl>
              <c:idx val="8"/>
              <c:layout>
                <c:manualLayout>
                  <c:x val="4.0040040040040074E-3"/>
                  <c:y val="1.3986013986013989E-2"/>
                </c:manualLayout>
              </c:layout>
              <c:dLblPos val="outEnd"/>
              <c:showVal val="1"/>
            </c:dLbl>
            <c:dLbl>
              <c:idx val="9"/>
              <c:layout>
                <c:manualLayout>
                  <c:x val="1.2012012012012015E-2"/>
                  <c:y val="9.3240093240094454E-3"/>
                </c:manualLayout>
              </c:layout>
              <c:numFmt formatCode="[$-1000000]0" sourceLinked="0"/>
              <c:spPr/>
              <c:txPr>
                <a:bodyPr/>
                <a:lstStyle/>
                <a:p>
                  <a:pPr>
                    <a:defRPr lang="ar-SA" baseline="0"/>
                  </a:pPr>
                  <a:endParaRPr lang="ar-SA"/>
                </a:p>
              </c:txPr>
              <c:dLblPos val="outEnd"/>
              <c:showVal val="1"/>
            </c:dLbl>
            <c:numFmt formatCode="[$-1000000]0" sourceLinked="0"/>
            <c:txPr>
              <a:bodyPr/>
              <a:lstStyle/>
              <a:p>
                <a:pPr>
                  <a:defRPr lang="ar-SA"/>
                </a:pPr>
                <a:endParaRPr lang="ar-SA"/>
              </a:p>
            </c:txPr>
            <c:showVal val="1"/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Sheet1!$B$2:$B$11</c:f>
              <c:numCache>
                <c:formatCode>#,##0</c:formatCode>
                <c:ptCount val="10"/>
                <c:pt idx="0">
                  <c:v>119488</c:v>
                </c:pt>
                <c:pt idx="1">
                  <c:v>155964</c:v>
                </c:pt>
                <c:pt idx="2">
                  <c:v>185473</c:v>
                </c:pt>
                <c:pt idx="3">
                  <c:v>213085</c:v>
                </c:pt>
                <c:pt idx="4">
                  <c:v>235142</c:v>
                </c:pt>
                <c:pt idx="5">
                  <c:v>274500</c:v>
                </c:pt>
                <c:pt idx="6">
                  <c:v>320500</c:v>
                </c:pt>
                <c:pt idx="7">
                  <c:v>357071</c:v>
                </c:pt>
                <c:pt idx="8">
                  <c:v>360805</c:v>
                </c:pt>
                <c:pt idx="9">
                  <c:v>362736</c:v>
                </c:pt>
              </c:numCache>
            </c:numRef>
          </c:val>
        </c:ser>
        <c:axId val="98773632"/>
        <c:axId val="180593408"/>
      </c:barChart>
      <c:catAx>
        <c:axId val="9877363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01" b="1" i="0" u="none" strike="noStrike" baseline="0">
                    <a:solidFill>
                      <a:srgbClr val="000000"/>
                    </a:solidFill>
                    <a:latin typeface="Simplified Arabic"/>
                    <a:ea typeface="Simplified Arabic"/>
                    <a:cs typeface="Simplified Arabic"/>
                  </a:defRPr>
                </a:pPr>
                <a:r>
                  <a:t>السنة</a:t>
                </a:r>
              </a:p>
            </c:rich>
          </c:tx>
        </c:title>
        <c:numFmt formatCode="General" sourceLinked="1"/>
        <c:tickLblPos val="nextTo"/>
        <c:txPr>
          <a:bodyPr rot="2700000"/>
          <a:lstStyle/>
          <a:p>
            <a:pPr>
              <a:defRPr lang="en-GB">
                <a:solidFill>
                  <a:sysClr val="windowText" lastClr="000000"/>
                </a:solidFill>
              </a:defRPr>
            </a:pPr>
            <a:endParaRPr lang="ar-SA"/>
          </a:p>
        </c:txPr>
        <c:crossAx val="180593408"/>
        <c:crosses val="autoZero"/>
        <c:auto val="1"/>
        <c:lblAlgn val="ctr"/>
        <c:lblOffset val="100"/>
      </c:catAx>
      <c:valAx>
        <c:axId val="180593408"/>
        <c:scaling>
          <c:orientation val="minMax"/>
          <c:max val="400000"/>
          <c:min val="0"/>
        </c:scaling>
        <c:axPos val="l"/>
        <c:numFmt formatCode="#,##0" sourceLinked="1"/>
        <c:tickLblPos val="nextTo"/>
        <c:txPr>
          <a:bodyPr/>
          <a:lstStyle/>
          <a:p>
            <a:pPr>
              <a:defRPr lang="en-GB"/>
            </a:pPr>
            <a:endParaRPr lang="ar-SA"/>
          </a:p>
        </c:txPr>
        <c:crossAx val="98773632"/>
        <c:crosses val="autoZero"/>
        <c:crossBetween val="between"/>
        <c:majorUnit val="50000"/>
        <c:dispUnits>
          <c:builtInUnit val="thousands"/>
          <c:dispUnitsLbl>
            <c:layout>
              <c:manualLayout>
                <c:xMode val="edge"/>
                <c:yMode val="edge"/>
                <c:x val="8.2804063906427462E-3"/>
                <c:y val="0.37636877558137855"/>
              </c:manualLayout>
            </c:layout>
            <c:tx>
              <c:rich>
                <a:bodyPr rot="-5400000" vert="horz"/>
                <a:lstStyle/>
                <a:p>
                  <a:pPr algn="ctr">
                    <a:defRPr sz="1001" b="1" i="0" u="none" strike="noStrike" baseline="0">
                      <a:solidFill>
                        <a:srgbClr val="000000"/>
                      </a:solidFill>
                      <a:latin typeface="Simplified Arabic"/>
                      <a:ea typeface="Simplified Arabic"/>
                      <a:cs typeface="Simplified Arabic"/>
                    </a:defRPr>
                  </a:pPr>
                  <a:r>
                    <a:t>العدد (ألف)</a:t>
                  </a:r>
                </a:p>
              </c:rich>
            </c:tx>
          </c:dispUnitsLbl>
        </c:dispUnits>
      </c:valAx>
    </c:plotArea>
    <c:plotVisOnly val="1"/>
    <c:dispBlanksAs val="gap"/>
  </c:chart>
  <c:spPr>
    <a:ln>
      <a:noFill/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789097516656572"/>
          <c:y val="0.1662567179102612"/>
          <c:w val="0.80262374007982762"/>
          <c:h val="0.60614573178354381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ذكور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2.2695035460994099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-7.8346673280132111E-17"/>
                  <c:y val="2.2695035460994117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lang="ar-SA"/>
                </a:pPr>
                <a:endParaRPr lang="ar-SA"/>
              </a:p>
            </c:txPr>
            <c:showVal val="1"/>
          </c:dLbls>
          <c:cat>
            <c:strRef>
              <c:f>Sheet1!$A$2:$A$3</c:f>
              <c:strCache>
                <c:ptCount val="2"/>
                <c:pt idx="0">
                  <c:v>امتلاك هاتف نقال</c:v>
                </c:pt>
                <c:pt idx="1">
                  <c:v>استخدام هاتف نقال</c:v>
                </c:pt>
              </c:strCache>
            </c:strRef>
          </c:cat>
          <c:val>
            <c:numRef>
              <c:f>Sheet1!$B$2:$B$3</c:f>
              <c:numCache>
                <c:formatCode>0.0</c:formatCode>
                <c:ptCount val="2"/>
                <c:pt idx="0">
                  <c:v>79.2</c:v>
                </c:pt>
                <c:pt idx="1">
                  <c:v>87.5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إناث</c:v>
                </c:pt>
              </c:strCache>
            </c:strRef>
          </c:tx>
          <c:dLbls>
            <c:dLbl>
              <c:idx val="1"/>
              <c:layout>
                <c:manualLayout>
                  <c:x val="4.0774719673802263E-3"/>
                  <c:y val="2.8368794326241127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lang="ar-SA"/>
                </a:pPr>
                <a:endParaRPr lang="ar-SA"/>
              </a:p>
            </c:txPr>
            <c:showVal val="1"/>
          </c:dLbls>
          <c:cat>
            <c:strRef>
              <c:f>Sheet1!$A$2:$A$3</c:f>
              <c:strCache>
                <c:ptCount val="2"/>
                <c:pt idx="0">
                  <c:v>امتلاك هاتف نقال</c:v>
                </c:pt>
                <c:pt idx="1">
                  <c:v>استخدام هاتف نقال</c:v>
                </c:pt>
              </c:strCache>
            </c:strRef>
          </c:cat>
          <c:val>
            <c:numRef>
              <c:f>Sheet1!$C$2:$C$3</c:f>
              <c:numCache>
                <c:formatCode>0.0</c:formatCode>
                <c:ptCount val="2"/>
                <c:pt idx="0">
                  <c:v>70.5</c:v>
                </c:pt>
                <c:pt idx="1">
                  <c:v>84.6</c:v>
                </c:pt>
              </c:numCache>
            </c:numRef>
          </c:val>
        </c:ser>
        <c:axId val="180791168"/>
        <c:axId val="180792704"/>
      </c:barChart>
      <c:catAx>
        <c:axId val="18079116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180792704"/>
        <c:crossesAt val="0"/>
        <c:auto val="1"/>
        <c:lblAlgn val="ctr"/>
        <c:lblOffset val="100"/>
      </c:catAx>
      <c:valAx>
        <c:axId val="180792704"/>
        <c:scaling>
          <c:orientation val="minMax"/>
          <c:max val="100"/>
          <c:min val="0"/>
        </c:scaling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نسبة</a:t>
                </a:r>
              </a:p>
            </c:rich>
          </c:tx>
          <c:layout>
            <c:manualLayout>
              <c:xMode val="edge"/>
              <c:yMode val="edge"/>
              <c:x val="8.1548170449282139E-3"/>
              <c:y val="0.39791081179161308"/>
            </c:manualLayout>
          </c:layout>
        </c:title>
        <c:numFmt formatCode="[$-1000000]0" sourceLinked="0"/>
        <c:tickLblPos val="nextTo"/>
        <c:txPr>
          <a:bodyPr/>
          <a:lstStyle/>
          <a:p>
            <a:pPr>
              <a:defRPr lang="ar-SA" baseline="0"/>
            </a:pPr>
            <a:endParaRPr lang="ar-SA"/>
          </a:p>
        </c:txPr>
        <c:crossAx val="180791168"/>
        <c:crosses val="autoZero"/>
        <c:crossBetween val="between"/>
        <c:majorUnit val="20"/>
        <c:minorUnit val="5"/>
      </c:valAx>
    </c:plotArea>
    <c:legend>
      <c:legendPos val="r"/>
      <c:layout>
        <c:manualLayout>
          <c:xMode val="edge"/>
          <c:yMode val="edge"/>
          <c:x val="0.36585365853658525"/>
          <c:y val="3.4188034188034191E-2"/>
          <c:w val="0.25304878048780488"/>
          <c:h val="0.10256410256410259"/>
        </c:manualLayout>
      </c:layout>
      <c:txPr>
        <a:bodyPr/>
        <a:lstStyle/>
        <a:p>
          <a:pPr>
            <a:defRPr lang="ar-SA"/>
          </a:pPr>
          <a:endParaRPr lang="ar-SA"/>
        </a:p>
      </c:txPr>
    </c:legend>
    <c:plotVisOnly val="1"/>
    <c:dispBlanksAs val="gap"/>
  </c:chart>
  <c:spPr>
    <a:ln>
      <a:noFill/>
    </a:ln>
  </c:sp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6898810340197154"/>
          <c:y val="4.5838069811649104E-2"/>
          <c:w val="0.78393502650560065"/>
          <c:h val="0.69362447346724465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txPr>
              <a:bodyPr/>
              <a:lstStyle/>
              <a:p>
                <a:pPr>
                  <a:defRPr lang="en-US"/>
                </a:pPr>
                <a:endParaRPr lang="ar-SA"/>
              </a:p>
            </c:txPr>
            <c:showVal val="1"/>
          </c:dLbls>
          <c:cat>
            <c:strRef>
              <c:f>Sheet1!$A$2:$A$7</c:f>
              <c:strCache>
                <c:ptCount val="6"/>
                <c:pt idx="0">
                  <c:v>10-17</c:v>
                </c:pt>
                <c:pt idx="1">
                  <c:v>18-29</c:v>
                </c:pt>
                <c:pt idx="2">
                  <c:v>30-39</c:v>
                </c:pt>
                <c:pt idx="3">
                  <c:v>40-49</c:v>
                </c:pt>
                <c:pt idx="4">
                  <c:v>50-59</c:v>
                </c:pt>
                <c:pt idx="5">
                  <c:v>60+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65.7</c:v>
                </c:pt>
                <c:pt idx="1">
                  <c:v>85.9</c:v>
                </c:pt>
                <c:pt idx="2">
                  <c:v>79.599999999999994</c:v>
                </c:pt>
                <c:pt idx="3">
                  <c:v>68.5</c:v>
                </c:pt>
                <c:pt idx="4" formatCode="0.0">
                  <c:v>55</c:v>
                </c:pt>
                <c:pt idx="5">
                  <c:v>23.6</c:v>
                </c:pt>
              </c:numCache>
            </c:numRef>
          </c:val>
        </c:ser>
        <c:axId val="168852480"/>
        <c:axId val="168858752"/>
      </c:barChart>
      <c:catAx>
        <c:axId val="16885248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الفئة العمرية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ar-SA"/>
          </a:p>
        </c:txPr>
        <c:crossAx val="168858752"/>
        <c:crosses val="autoZero"/>
        <c:auto val="1"/>
        <c:lblAlgn val="ctr"/>
        <c:lblOffset val="100"/>
      </c:catAx>
      <c:valAx>
        <c:axId val="168858752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نسبة</a:t>
                </a:r>
              </a:p>
            </c:rich>
          </c:tx>
          <c:layout>
            <c:manualLayout>
              <c:xMode val="edge"/>
              <c:yMode val="edge"/>
              <c:x val="1.2839195100612428E-2"/>
              <c:y val="0.3175642201351338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ar-SA"/>
          </a:p>
        </c:txPr>
        <c:crossAx val="168852480"/>
        <c:crosses val="autoZero"/>
        <c:crossBetween val="between"/>
      </c:valAx>
      <c:spPr>
        <a:ln>
          <a:noFill/>
        </a:ln>
      </c:spPr>
    </c:plotArea>
    <c:plotVisOnly val="1"/>
    <c:dispBlanksAs val="gap"/>
  </c:chart>
  <c:spPr>
    <a:noFill/>
    <a:ln>
      <a:noFill/>
    </a:ln>
  </c:sp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ar-SA"/>
  <c:chart>
    <c:plotArea>
      <c:layout>
        <c:manualLayout>
          <c:layoutTarget val="inner"/>
          <c:xMode val="edge"/>
          <c:yMode val="edge"/>
          <c:x val="0.15169661014326721"/>
          <c:y val="0.12232915793445202"/>
          <c:w val="0.84830338985672837"/>
          <c:h val="0.64285411018600991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ذكور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2.205576200269801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dLblPos val="outEnd"/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توفر هاتف خلوي ذكي</c:v>
                </c:pt>
                <c:pt idx="1">
                  <c:v>توفر حاسوب</c:v>
                </c:pt>
                <c:pt idx="2">
                  <c:v>توفر خدمة الانترنت في البيت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89.3</c:v>
                </c:pt>
                <c:pt idx="1">
                  <c:v>34.9</c:v>
                </c:pt>
                <c:pt idx="2">
                  <c:v>82.7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إناث</c:v>
                </c:pt>
              </c:strCache>
            </c:strRef>
          </c:tx>
          <c:dLbls>
            <c:showVal val="1"/>
          </c:dLbls>
          <c:cat>
            <c:strRef>
              <c:f>Sheet1!$A$2:$A$4</c:f>
              <c:strCache>
                <c:ptCount val="3"/>
                <c:pt idx="0">
                  <c:v>توفر هاتف خلوي ذكي</c:v>
                </c:pt>
                <c:pt idx="1">
                  <c:v>توفر حاسوب</c:v>
                </c:pt>
                <c:pt idx="2">
                  <c:v>توفر خدمة الانترنت في البيت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61.9</c:v>
                </c:pt>
                <c:pt idx="1">
                  <c:v>19.2</c:v>
                </c:pt>
                <c:pt idx="2">
                  <c:v>54.7</c:v>
                </c:pt>
              </c:numCache>
            </c:numRef>
          </c:val>
        </c:ser>
        <c:axId val="180750592"/>
        <c:axId val="205283328"/>
      </c:barChart>
      <c:catAx>
        <c:axId val="180750592"/>
        <c:scaling>
          <c:orientation val="minMax"/>
        </c:scaling>
        <c:axPos val="b"/>
        <c:numFmt formatCode="General" sourceLinked="1"/>
        <c:tickLblPos val="nextTo"/>
        <c:crossAx val="205283328"/>
        <c:crosses val="autoZero"/>
        <c:auto val="1"/>
        <c:lblAlgn val="ctr"/>
        <c:lblOffset val="100"/>
      </c:catAx>
      <c:valAx>
        <c:axId val="205283328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9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نسبة</a:t>
                </a:r>
              </a:p>
            </c:rich>
          </c:tx>
        </c:title>
        <c:numFmt formatCode="General" sourceLinked="1"/>
        <c:tickLblPos val="nextTo"/>
        <c:crossAx val="180750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5430463576158938"/>
          <c:y val="3.6082474226804134E-2"/>
          <c:w val="0.27483443708609284"/>
          <c:h val="0.12371134020618563"/>
        </c:manualLayout>
      </c:layout>
    </c:legend>
    <c:plotVisOnly val="1"/>
    <c:dispBlanksAs val="gap"/>
  </c:chart>
  <c:spPr>
    <a:ln>
      <a:noFill/>
    </a:ln>
  </c:sp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6340324716048077"/>
          <c:y val="6.1680664916885432E-2"/>
          <c:w val="0.79174443902476865"/>
          <c:h val="0.76643963254594893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txPr>
              <a:bodyPr rot="0"/>
              <a:lstStyle/>
              <a:p>
                <a:pPr>
                  <a:defRPr lang="ar-SA"/>
                </a:pPr>
                <a:endParaRPr lang="ar-SA"/>
              </a:p>
            </c:txPr>
            <c:showVal val="1"/>
          </c:dLbls>
          <c:cat>
            <c:strRef>
              <c:f>Sheet1!$A$2:$A$4</c:f>
              <c:strCache>
                <c:ptCount val="3"/>
                <c:pt idx="0">
                  <c:v>المهارات الأساسية</c:v>
                </c:pt>
                <c:pt idx="1">
                  <c:v>المهارات القياسية</c:v>
                </c:pt>
                <c:pt idx="2">
                  <c:v>المهارات المتقدمة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73.3</c:v>
                </c:pt>
                <c:pt idx="1">
                  <c:v>46.1</c:v>
                </c:pt>
                <c:pt idx="2">
                  <c:v>10.7</c:v>
                </c:pt>
              </c:numCache>
            </c:numRef>
          </c:val>
        </c:ser>
        <c:dLbls>
          <c:showVal val="1"/>
        </c:dLbls>
        <c:axId val="205553664"/>
        <c:axId val="205555200"/>
      </c:barChart>
      <c:catAx>
        <c:axId val="20555366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lang="ar-SA"/>
            </a:pPr>
            <a:endParaRPr lang="ar-SA"/>
          </a:p>
        </c:txPr>
        <c:crossAx val="205555200"/>
        <c:crosses val="autoZero"/>
        <c:auto val="1"/>
        <c:lblAlgn val="ctr"/>
        <c:lblOffset val="100"/>
      </c:catAx>
      <c:valAx>
        <c:axId val="205555200"/>
        <c:scaling>
          <c:orientation val="minMax"/>
          <c:max val="100"/>
        </c:scaling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نسبة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205553664"/>
        <c:crosses val="autoZero"/>
        <c:crossBetween val="between"/>
        <c:majorUnit val="20"/>
      </c:valAx>
    </c:plotArea>
    <c:plotVisOnly val="1"/>
    <c:dispBlanksAs val="gap"/>
  </c:chart>
  <c:spPr>
    <a:ln>
      <a:noFill/>
    </a:ln>
  </c:sp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594AD-88F4-4A75-8A19-A0F6DD4D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adwikat</cp:lastModifiedBy>
  <cp:revision>2</cp:revision>
  <cp:lastPrinted>2019-05-15T06:26:00Z</cp:lastPrinted>
  <dcterms:created xsi:type="dcterms:W3CDTF">2020-05-17T08:44:00Z</dcterms:created>
  <dcterms:modified xsi:type="dcterms:W3CDTF">2020-05-17T08:44:00Z</dcterms:modified>
</cp:coreProperties>
</file>