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C38" w:rsidRDefault="002D1C38" w:rsidP="002D1C38">
      <w:pPr>
        <w:bidi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bookmarkStart w:id="0" w:name="OLE_LINK6"/>
    </w:p>
    <w:p w:rsidR="002D1C38" w:rsidRDefault="002D1C38" w:rsidP="002D1C38">
      <w:pPr>
        <w:bidi/>
        <w:jc w:val="center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2D1C38" w:rsidRDefault="002D1C38" w:rsidP="002D1C38">
      <w:pPr>
        <w:bidi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2D1C38" w:rsidRPr="002D1C38" w:rsidRDefault="002D1C38" w:rsidP="002D1C38">
      <w:pPr>
        <w:bidi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2D1C38" w:rsidRDefault="002D1C38" w:rsidP="002D1C38">
      <w:pPr>
        <w:bidi/>
        <w:jc w:val="center"/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الإحصاء الفلسطيني يعلن الرقم القياسي لأسعار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الجملة في فلسطين للربع الثالث </w:t>
      </w:r>
      <w:bookmarkEnd w:id="0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2017</w:t>
      </w:r>
    </w:p>
    <w:p w:rsidR="00FB52CA" w:rsidRPr="002D1C38" w:rsidRDefault="00FB52CA" w:rsidP="00FB52CA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FB52CA" w:rsidRPr="002D1C38" w:rsidRDefault="00FB52CA" w:rsidP="00FB52CA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25"/>
          <w:szCs w:val="25"/>
        </w:rPr>
      </w:pPr>
      <w:r w:rsidRPr="002D1C38">
        <w:rPr>
          <w:rFonts w:ascii="Simplified Arabic" w:hAnsi="Simplified Arabic" w:cs="Simplified Arabic" w:hint="cs"/>
          <w:b/>
          <w:bCs/>
          <w:color w:val="000000"/>
          <w:sz w:val="25"/>
          <w:szCs w:val="25"/>
          <w:rtl/>
        </w:rPr>
        <w:t>ارتفاع</w:t>
      </w:r>
      <w:r w:rsidRPr="002D1C38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 xml:space="preserve"> </w:t>
      </w:r>
      <w:r w:rsidR="00A0752E" w:rsidRPr="002D1C38">
        <w:rPr>
          <w:rFonts w:ascii="Simplified Arabic" w:hAnsi="Simplified Arabic" w:cs="Simplified Arabic" w:hint="cs"/>
          <w:b/>
          <w:bCs/>
          <w:color w:val="000000"/>
          <w:sz w:val="25"/>
          <w:szCs w:val="25"/>
          <w:rtl/>
        </w:rPr>
        <w:t xml:space="preserve">في </w:t>
      </w:r>
      <w:r w:rsidRPr="002D1C38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>أسعار الجملة</w:t>
      </w:r>
      <w:r w:rsidRPr="002D1C38">
        <w:rPr>
          <w:rStyle w:val="FootnoteReference"/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footnoteReference w:customMarkFollows="1" w:id="1"/>
        <w:t>1</w:t>
      </w:r>
      <w:r w:rsidRPr="002D1C38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 xml:space="preserve"> خلال الربع </w:t>
      </w:r>
      <w:r w:rsidRPr="002D1C38">
        <w:rPr>
          <w:rFonts w:ascii="Simplified Arabic" w:hAnsi="Simplified Arabic" w:cs="Simplified Arabic" w:hint="cs"/>
          <w:b/>
          <w:bCs/>
          <w:color w:val="000000"/>
          <w:sz w:val="25"/>
          <w:szCs w:val="25"/>
          <w:rtl/>
        </w:rPr>
        <w:t>الثالث</w:t>
      </w:r>
      <w:r w:rsidRPr="002D1C38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 xml:space="preserve"> من العام </w:t>
      </w:r>
      <w:r w:rsidRPr="002D1C38">
        <w:rPr>
          <w:rFonts w:ascii="Simplified Arabic" w:hAnsi="Simplified Arabic" w:cs="Simplified Arabic"/>
          <w:b/>
          <w:bCs/>
          <w:color w:val="000000"/>
          <w:sz w:val="25"/>
          <w:szCs w:val="25"/>
        </w:rPr>
        <w:t>2017</w:t>
      </w:r>
      <w:r w:rsidRPr="002D1C38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 xml:space="preserve"> </w:t>
      </w:r>
    </w:p>
    <w:p w:rsidR="00FB52CA" w:rsidRPr="00FB52CA" w:rsidRDefault="00FB52CA" w:rsidP="00FB52CA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rtl/>
        </w:rPr>
      </w:pPr>
      <w:r w:rsidRPr="00FB52CA">
        <w:rPr>
          <w:rFonts w:ascii="Simplified Arabic" w:hAnsi="Simplified Arabic" w:cs="Simplified Arabic"/>
          <w:color w:val="000000"/>
          <w:rtl/>
        </w:rPr>
        <w:t xml:space="preserve">سجل الرقم القياسي العام لأسعار الجملة </w:t>
      </w:r>
      <w:r>
        <w:rPr>
          <w:rFonts w:ascii="Simplified Arabic" w:hAnsi="Simplified Arabic" w:cs="Simplified Arabic" w:hint="cs"/>
          <w:color w:val="000000"/>
          <w:rtl/>
        </w:rPr>
        <w:t>ارتفاعاً</w:t>
      </w:r>
      <w:r w:rsidRPr="00FB52CA">
        <w:rPr>
          <w:rFonts w:ascii="Simplified Arabic" w:hAnsi="Simplified Arabic" w:cs="Simplified Arabic"/>
          <w:color w:val="000000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rtl/>
        </w:rPr>
        <w:t>نسبته</w:t>
      </w:r>
      <w:r w:rsidRPr="00FB52CA">
        <w:rPr>
          <w:rFonts w:ascii="Simplified Arabic" w:hAnsi="Simplified Arabic" w:cs="Simplified Arabic"/>
          <w:color w:val="000000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rtl/>
        </w:rPr>
        <w:t>2.06</w:t>
      </w:r>
      <w:r w:rsidRPr="00FB52CA">
        <w:rPr>
          <w:rFonts w:ascii="Simplified Arabic" w:hAnsi="Simplified Arabic" w:cs="Simplified Arabic"/>
          <w:color w:val="000000"/>
          <w:rtl/>
        </w:rPr>
        <w:t xml:space="preserve">% خلال الربع </w:t>
      </w:r>
      <w:r>
        <w:rPr>
          <w:rFonts w:ascii="Simplified Arabic" w:hAnsi="Simplified Arabic" w:cs="Simplified Arabic" w:hint="cs"/>
          <w:color w:val="000000"/>
          <w:rtl/>
        </w:rPr>
        <w:t>الثالث</w:t>
      </w:r>
      <w:r w:rsidRPr="00FB52CA">
        <w:rPr>
          <w:rFonts w:ascii="Simplified Arabic" w:hAnsi="Simplified Arabic" w:cs="Simplified Arabic"/>
          <w:color w:val="000000"/>
          <w:rtl/>
        </w:rPr>
        <w:t xml:space="preserve"> 2017 مقارنة بالربع </w:t>
      </w:r>
      <w:r>
        <w:rPr>
          <w:rFonts w:ascii="Simplified Arabic" w:hAnsi="Simplified Arabic" w:cs="Simplified Arabic" w:hint="cs"/>
          <w:color w:val="000000"/>
          <w:rtl/>
        </w:rPr>
        <w:t>الثاني</w:t>
      </w:r>
      <w:r w:rsidRPr="00FB52CA">
        <w:rPr>
          <w:rFonts w:ascii="Simplified Arabic" w:hAnsi="Simplified Arabic" w:cs="Simplified Arabic"/>
          <w:color w:val="000000"/>
          <w:rtl/>
        </w:rPr>
        <w:t xml:space="preserve"> 2017، حيث بلغ الرقم القياسي العام لأسعار الجملة </w:t>
      </w:r>
      <w:r>
        <w:rPr>
          <w:rFonts w:ascii="Simplified Arabic" w:hAnsi="Simplified Arabic" w:cs="Simplified Arabic" w:hint="cs"/>
          <w:color w:val="000000"/>
          <w:rtl/>
        </w:rPr>
        <w:t>124.51</w:t>
      </w:r>
      <w:r w:rsidRPr="00FB52CA">
        <w:rPr>
          <w:rFonts w:ascii="Simplified Arabic" w:hAnsi="Simplified Arabic" w:cs="Simplified Arabic"/>
          <w:color w:val="000000"/>
          <w:rtl/>
        </w:rPr>
        <w:t xml:space="preserve"> خلال الربع </w:t>
      </w:r>
      <w:r>
        <w:rPr>
          <w:rFonts w:ascii="Simplified Arabic" w:hAnsi="Simplified Arabic" w:cs="Simplified Arabic" w:hint="cs"/>
          <w:color w:val="000000"/>
          <w:rtl/>
        </w:rPr>
        <w:t>الثالث</w:t>
      </w:r>
      <w:r w:rsidRPr="00FB52CA">
        <w:rPr>
          <w:rFonts w:ascii="Simplified Arabic" w:hAnsi="Simplified Arabic" w:cs="Simplified Arabic"/>
          <w:color w:val="000000"/>
          <w:rtl/>
        </w:rPr>
        <w:t xml:space="preserve"> 2017 مقارنة بـ </w:t>
      </w:r>
      <w:r>
        <w:rPr>
          <w:rFonts w:ascii="Simplified Arabic" w:hAnsi="Simplified Arabic" w:cs="Simplified Arabic" w:hint="cs"/>
          <w:color w:val="000000"/>
          <w:rtl/>
        </w:rPr>
        <w:t>122.00</w:t>
      </w:r>
      <w:r w:rsidRPr="00FB52CA">
        <w:rPr>
          <w:rFonts w:ascii="Simplified Arabic" w:hAnsi="Simplified Arabic" w:cs="Simplified Arabic"/>
          <w:color w:val="000000"/>
          <w:rtl/>
        </w:rPr>
        <w:t xml:space="preserve"> خلال الربع السابق (سنة الأساس 2007=100).</w:t>
      </w:r>
    </w:p>
    <w:p w:rsidR="00FB52CA" w:rsidRPr="002D1C38" w:rsidRDefault="00FB52CA" w:rsidP="00FB52CA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FB52CA" w:rsidRPr="002D1C38" w:rsidRDefault="00FB52CA" w:rsidP="00FB52CA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</w:pPr>
      <w:r w:rsidRPr="002D1C38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>الرقم القياسي لأسعار الجملة للسلع المحلية</w:t>
      </w:r>
    </w:p>
    <w:p w:rsidR="00FB52CA" w:rsidRPr="00FB52CA" w:rsidRDefault="00FB52CA" w:rsidP="00FB52CA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rtl/>
        </w:rPr>
      </w:pPr>
      <w:r w:rsidRPr="00FB52CA">
        <w:rPr>
          <w:rFonts w:ascii="Simplified Arabic" w:hAnsi="Simplified Arabic" w:cs="Simplified Arabic"/>
          <w:color w:val="000000"/>
          <w:rtl/>
        </w:rPr>
        <w:t xml:space="preserve">سجل الرقم القياسي لأسعار الجملة للسلع المحلية </w:t>
      </w:r>
      <w:r>
        <w:rPr>
          <w:rFonts w:ascii="Simplified Arabic" w:hAnsi="Simplified Arabic" w:cs="Simplified Arabic" w:hint="cs"/>
          <w:color w:val="000000"/>
          <w:rtl/>
        </w:rPr>
        <w:t>ارتفاعاً</w:t>
      </w:r>
      <w:r w:rsidRPr="00FB52CA">
        <w:rPr>
          <w:rFonts w:ascii="Simplified Arabic" w:hAnsi="Simplified Arabic" w:cs="Simplified Arabic"/>
          <w:color w:val="000000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rtl/>
        </w:rPr>
        <w:t>نسبته</w:t>
      </w:r>
      <w:r w:rsidRPr="00FB52CA">
        <w:rPr>
          <w:rFonts w:ascii="Simplified Arabic" w:hAnsi="Simplified Arabic" w:cs="Simplified Arabic"/>
          <w:color w:val="000000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rtl/>
        </w:rPr>
        <w:t>3.22</w:t>
      </w:r>
      <w:r w:rsidRPr="00FB52CA">
        <w:rPr>
          <w:rFonts w:ascii="Simplified Arabic" w:hAnsi="Simplified Arabic" w:cs="Simplified Arabic"/>
          <w:color w:val="000000"/>
          <w:rtl/>
        </w:rPr>
        <w:t xml:space="preserve">%، حيث بلغ الرقم القياسي لأسعار الجملة للسلع المحلية </w:t>
      </w:r>
      <w:r>
        <w:rPr>
          <w:rFonts w:ascii="Simplified Arabic" w:hAnsi="Simplified Arabic" w:cs="Simplified Arabic" w:hint="cs"/>
          <w:color w:val="000000"/>
          <w:rtl/>
        </w:rPr>
        <w:t>127.32</w:t>
      </w:r>
      <w:r w:rsidRPr="00FB52CA">
        <w:rPr>
          <w:rFonts w:ascii="Simplified Arabic" w:hAnsi="Simplified Arabic" w:cs="Simplified Arabic"/>
          <w:color w:val="000000"/>
          <w:rtl/>
        </w:rPr>
        <w:t xml:space="preserve"> خلال الربع </w:t>
      </w:r>
      <w:r>
        <w:rPr>
          <w:rFonts w:ascii="Simplified Arabic" w:hAnsi="Simplified Arabic" w:cs="Simplified Arabic" w:hint="cs"/>
          <w:color w:val="000000"/>
          <w:rtl/>
        </w:rPr>
        <w:t>الثالث</w:t>
      </w:r>
      <w:r w:rsidRPr="00FB52CA">
        <w:rPr>
          <w:rFonts w:ascii="Simplified Arabic" w:hAnsi="Simplified Arabic" w:cs="Simplified Arabic"/>
          <w:color w:val="000000"/>
          <w:rtl/>
        </w:rPr>
        <w:t xml:space="preserve"> 2017 مقارنة بـ </w:t>
      </w:r>
      <w:r>
        <w:rPr>
          <w:rFonts w:ascii="Simplified Arabic" w:hAnsi="Simplified Arabic" w:cs="Simplified Arabic" w:hint="cs"/>
          <w:color w:val="000000"/>
          <w:rtl/>
        </w:rPr>
        <w:t>123.34</w:t>
      </w:r>
      <w:r w:rsidRPr="00FB52CA">
        <w:rPr>
          <w:rFonts w:ascii="Simplified Arabic" w:hAnsi="Simplified Arabic" w:cs="Simplified Arabic"/>
          <w:color w:val="000000"/>
          <w:rtl/>
        </w:rPr>
        <w:t xml:space="preserve"> خلال الربع السابق (سنة الأساس 2007=100).</w:t>
      </w:r>
    </w:p>
    <w:p w:rsidR="00FB52CA" w:rsidRPr="002D1C38" w:rsidRDefault="00FB52CA" w:rsidP="00FB52CA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FB52CA" w:rsidRPr="002D1C38" w:rsidRDefault="00FB52CA" w:rsidP="00FB52CA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</w:pPr>
      <w:r w:rsidRPr="002D1C38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>الرقم القياسي لأسعار الجملة للسلع المستوردة</w:t>
      </w:r>
    </w:p>
    <w:p w:rsidR="00FB52CA" w:rsidRPr="00FB52CA" w:rsidRDefault="00FB52CA" w:rsidP="00FB52CA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color w:val="000000"/>
          <w:rtl/>
        </w:rPr>
      </w:pPr>
      <w:r w:rsidRPr="00FB52CA">
        <w:rPr>
          <w:rFonts w:ascii="Simplified Arabic" w:hAnsi="Simplified Arabic" w:cs="Simplified Arabic"/>
          <w:color w:val="000000"/>
          <w:rtl/>
        </w:rPr>
        <w:t>سجل الرقم القياسي لأسعار</w:t>
      </w:r>
      <w:r>
        <w:rPr>
          <w:rFonts w:ascii="Simplified Arabic" w:hAnsi="Simplified Arabic" w:cs="Simplified Arabic"/>
          <w:color w:val="000000"/>
          <w:rtl/>
        </w:rPr>
        <w:t xml:space="preserve"> الجملة للسلع المستوردة ا</w:t>
      </w:r>
      <w:r>
        <w:rPr>
          <w:rFonts w:ascii="Simplified Arabic" w:hAnsi="Simplified Arabic" w:cs="Simplified Arabic" w:hint="cs"/>
          <w:color w:val="000000"/>
          <w:rtl/>
        </w:rPr>
        <w:t>رتفاعاً طفيفاً</w:t>
      </w:r>
      <w:r w:rsidRPr="00FB52CA">
        <w:rPr>
          <w:rFonts w:ascii="Simplified Arabic" w:hAnsi="Simplified Arabic" w:cs="Simplified Arabic"/>
          <w:color w:val="000000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rtl/>
        </w:rPr>
        <w:t>نسبته</w:t>
      </w:r>
      <w:r w:rsidRPr="00FB52CA">
        <w:rPr>
          <w:rFonts w:ascii="Simplified Arabic" w:hAnsi="Simplified Arabic" w:cs="Simplified Arabic"/>
          <w:color w:val="000000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rtl/>
        </w:rPr>
        <w:t>0.08</w:t>
      </w:r>
      <w:r w:rsidRPr="00FB52CA">
        <w:rPr>
          <w:rFonts w:ascii="Simplified Arabic" w:hAnsi="Simplified Arabic" w:cs="Simplified Arabic"/>
          <w:color w:val="000000"/>
          <w:rtl/>
        </w:rPr>
        <w:t xml:space="preserve">%، حيث بلغ الرقم القياسي لأسعار الجملة للسلع المستوردة </w:t>
      </w:r>
      <w:r>
        <w:rPr>
          <w:rFonts w:ascii="Simplified Arabic" w:hAnsi="Simplified Arabic" w:cs="Simplified Arabic" w:hint="cs"/>
          <w:color w:val="000000"/>
          <w:rtl/>
        </w:rPr>
        <w:t>122.01</w:t>
      </w:r>
      <w:r w:rsidRPr="00FB52CA">
        <w:rPr>
          <w:rFonts w:ascii="Simplified Arabic" w:hAnsi="Simplified Arabic" w:cs="Simplified Arabic"/>
          <w:color w:val="000000"/>
          <w:rtl/>
        </w:rPr>
        <w:t xml:space="preserve"> خلال الربع </w:t>
      </w:r>
      <w:r>
        <w:rPr>
          <w:rFonts w:ascii="Simplified Arabic" w:hAnsi="Simplified Arabic" w:cs="Simplified Arabic" w:hint="cs"/>
          <w:color w:val="000000"/>
          <w:rtl/>
        </w:rPr>
        <w:t>الثالث</w:t>
      </w:r>
      <w:r>
        <w:rPr>
          <w:rFonts w:ascii="Simplified Arabic" w:hAnsi="Simplified Arabic" w:cs="Simplified Arabic"/>
          <w:color w:val="000000"/>
          <w:rtl/>
        </w:rPr>
        <w:t xml:space="preserve"> 2017 مقارنة</w:t>
      </w:r>
      <w:r>
        <w:rPr>
          <w:rFonts w:ascii="Simplified Arabic" w:hAnsi="Simplified Arabic" w:cs="Simplified Arabic" w:hint="cs"/>
          <w:color w:val="000000"/>
          <w:rtl/>
        </w:rPr>
        <w:t xml:space="preserve"> </w:t>
      </w:r>
      <w:r w:rsidRPr="00FB52CA">
        <w:rPr>
          <w:rFonts w:ascii="Simplified Arabic" w:hAnsi="Simplified Arabic" w:cs="Simplified Arabic"/>
          <w:color w:val="000000"/>
          <w:rtl/>
        </w:rPr>
        <w:t xml:space="preserve">بـ </w:t>
      </w:r>
      <w:r>
        <w:rPr>
          <w:rFonts w:ascii="Simplified Arabic" w:hAnsi="Simplified Arabic" w:cs="Simplified Arabic" w:hint="cs"/>
          <w:color w:val="000000"/>
          <w:rtl/>
        </w:rPr>
        <w:t>121.91</w:t>
      </w:r>
      <w:r w:rsidRPr="00FB52CA">
        <w:rPr>
          <w:rFonts w:ascii="Simplified Arabic" w:hAnsi="Simplified Arabic" w:cs="Simplified Arabic"/>
          <w:color w:val="000000"/>
          <w:rtl/>
        </w:rPr>
        <w:t xml:space="preserve"> خلال الربع السابق (سنة الأساس 2007=100).</w:t>
      </w:r>
    </w:p>
    <w:p w:rsidR="00FB52CA" w:rsidRPr="002D1C38" w:rsidRDefault="00FB52CA" w:rsidP="00FB52CA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FB52CA" w:rsidRPr="002D1C38" w:rsidRDefault="00FB52CA" w:rsidP="00FB52CA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</w:pPr>
      <w:r w:rsidRPr="002D1C38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 xml:space="preserve">حركة أسعار الجملة ضمن الأنشطة الرئيسية </w:t>
      </w:r>
    </w:p>
    <w:p w:rsidR="00FB52CA" w:rsidRPr="00FB52CA" w:rsidRDefault="00FB52CA" w:rsidP="00FB52CA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ارتفعت</w:t>
      </w:r>
      <w:r w:rsidRPr="00FB52CA">
        <w:rPr>
          <w:rFonts w:ascii="Simplified Arabic" w:hAnsi="Simplified Arabic" w:cs="Simplified Arabic"/>
          <w:sz w:val="24"/>
          <w:szCs w:val="24"/>
          <w:rtl/>
        </w:rPr>
        <w:t xml:space="preserve"> أسعار السلع ضمن</w:t>
      </w:r>
      <w:r w:rsidRPr="00FB52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نشاط</w:t>
      </w:r>
      <w:r w:rsidRPr="00FB52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B52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الزراعة </w:t>
      </w:r>
      <w:r w:rsidRPr="00FB52CA">
        <w:rPr>
          <w:rFonts w:ascii="Simplified Arabic" w:hAnsi="Simplified Arabic" w:cs="Simplified Arabic"/>
          <w:sz w:val="24"/>
          <w:szCs w:val="24"/>
          <w:rtl/>
        </w:rPr>
        <w:t>ب</w:t>
      </w:r>
      <w:r>
        <w:rPr>
          <w:rFonts w:ascii="Simplified Arabic" w:hAnsi="Simplified Arabic" w:cs="Simplified Arabic" w:hint="cs"/>
          <w:sz w:val="24"/>
          <w:szCs w:val="24"/>
          <w:rtl/>
        </w:rPr>
        <w:t>نسبة</w:t>
      </w:r>
      <w:r w:rsidRPr="00FB52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6.26</w:t>
      </w:r>
      <w:r w:rsidRPr="00FB52CA">
        <w:rPr>
          <w:rFonts w:ascii="Simplified Arabic" w:hAnsi="Simplified Arabic" w:cs="Simplified Arabic"/>
          <w:sz w:val="24"/>
          <w:szCs w:val="24"/>
          <w:rtl/>
        </w:rPr>
        <w:t xml:space="preserve">%، وذلك </w:t>
      </w:r>
      <w:r>
        <w:rPr>
          <w:rFonts w:ascii="Simplified Arabic" w:hAnsi="Simplified Arabic" w:cs="Simplified Arabic" w:hint="cs"/>
          <w:sz w:val="24"/>
          <w:szCs w:val="24"/>
          <w:rtl/>
        </w:rPr>
        <w:t>لارتفاع</w:t>
      </w:r>
      <w:r w:rsidRPr="00FB52CA">
        <w:rPr>
          <w:rFonts w:ascii="Simplified Arabic" w:hAnsi="Simplified Arabic" w:cs="Simplified Arabic"/>
          <w:sz w:val="24"/>
          <w:szCs w:val="24"/>
          <w:rtl/>
        </w:rPr>
        <w:t xml:space="preserve"> أسعار السلع ضمن نشاط </w:t>
      </w:r>
      <w:r w:rsidRPr="00FB52CA">
        <w:rPr>
          <w:rFonts w:ascii="Simplified Arabic" w:hAnsi="Simplified Arabic" w:cs="Simplified Arabic"/>
          <w:b/>
          <w:bCs/>
          <w:sz w:val="24"/>
          <w:szCs w:val="24"/>
          <w:rtl/>
        </w:rPr>
        <w:t>زراعة المحاصيل</w:t>
      </w:r>
      <w:r w:rsidRPr="00FB52CA">
        <w:rPr>
          <w:rFonts w:ascii="Simplified Arabic" w:hAnsi="Simplified Arabic" w:cs="Simplified Arabic"/>
          <w:sz w:val="24"/>
          <w:szCs w:val="24"/>
          <w:rtl/>
        </w:rPr>
        <w:t xml:space="preserve"> ب</w:t>
      </w:r>
      <w:r>
        <w:rPr>
          <w:rFonts w:ascii="Simplified Arabic" w:hAnsi="Simplified Arabic" w:cs="Simplified Arabic" w:hint="cs"/>
          <w:sz w:val="24"/>
          <w:szCs w:val="24"/>
          <w:rtl/>
        </w:rPr>
        <w:t>نسبة</w:t>
      </w:r>
      <w:r w:rsidRPr="00FB52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7.53</w:t>
      </w:r>
      <w:r w:rsidRPr="00FB52CA">
        <w:rPr>
          <w:rFonts w:ascii="Simplified Arabic" w:hAnsi="Simplified Arabic" w:cs="Simplified Arabic"/>
          <w:sz w:val="24"/>
          <w:szCs w:val="24"/>
          <w:rtl/>
        </w:rPr>
        <w:t xml:space="preserve">%، حيث </w:t>
      </w:r>
      <w:r>
        <w:rPr>
          <w:rFonts w:ascii="Simplified Arabic" w:hAnsi="Simplified Arabic" w:cs="Simplified Arabic" w:hint="cs"/>
          <w:sz w:val="24"/>
          <w:szCs w:val="24"/>
          <w:rtl/>
        </w:rPr>
        <w:t>ارتفعت</w:t>
      </w:r>
      <w:r w:rsidRPr="00FB52CA">
        <w:rPr>
          <w:rFonts w:ascii="Simplified Arabic" w:hAnsi="Simplified Arabic" w:cs="Simplified Arabic"/>
          <w:sz w:val="24"/>
          <w:szCs w:val="24"/>
          <w:rtl/>
        </w:rPr>
        <w:t xml:space="preserve"> أسعار الخضروات الطازجة والمجففة </w:t>
      </w:r>
      <w:r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Pr="00FB52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17.10</w:t>
      </w:r>
      <w:r w:rsidRPr="00FB52CA">
        <w:rPr>
          <w:rFonts w:ascii="Simplified Arabic" w:hAnsi="Simplified Arabic" w:cs="Simplified Arabic"/>
          <w:sz w:val="24"/>
          <w:szCs w:val="24"/>
          <w:rtl/>
        </w:rPr>
        <w:t>%، كما سجلت أسعار السلع</w:t>
      </w:r>
      <w:r w:rsidRPr="00FB52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FB52CA">
        <w:rPr>
          <w:rFonts w:ascii="Simplified Arabic" w:hAnsi="Simplified Arabic" w:cs="Simplified Arabic"/>
          <w:sz w:val="24"/>
          <w:szCs w:val="24"/>
          <w:rtl/>
        </w:rPr>
        <w:t>ضمن</w:t>
      </w:r>
      <w:r w:rsidRPr="00FB52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نشاط تربية الحيوان</w:t>
      </w:r>
      <w:r w:rsidRPr="00FB52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ارتفاعاً</w:t>
      </w:r>
      <w:r w:rsidRPr="00FB52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نسبته</w:t>
      </w:r>
      <w:r w:rsidRPr="00FB52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3.57</w:t>
      </w:r>
      <w:r w:rsidRPr="00FB52CA">
        <w:rPr>
          <w:rFonts w:ascii="Simplified Arabic" w:hAnsi="Simplified Arabic" w:cs="Simplified Arabic"/>
          <w:sz w:val="24"/>
          <w:szCs w:val="24"/>
          <w:rtl/>
        </w:rPr>
        <w:t xml:space="preserve">%، حيث </w:t>
      </w:r>
      <w:r>
        <w:rPr>
          <w:rFonts w:ascii="Simplified Arabic" w:hAnsi="Simplified Arabic" w:cs="Simplified Arabic" w:hint="cs"/>
          <w:sz w:val="24"/>
          <w:szCs w:val="24"/>
          <w:rtl/>
        </w:rPr>
        <w:t>ارتفعت</w:t>
      </w:r>
      <w:r w:rsidRPr="00FB52CA">
        <w:rPr>
          <w:rFonts w:ascii="Simplified Arabic" w:hAnsi="Simplified Arabic" w:cs="Simplified Arabic"/>
          <w:sz w:val="24"/>
          <w:szCs w:val="24"/>
          <w:rtl/>
        </w:rPr>
        <w:t xml:space="preserve"> أسعار </w:t>
      </w:r>
      <w:r>
        <w:rPr>
          <w:rFonts w:ascii="Simplified Arabic" w:hAnsi="Simplified Arabic" w:cs="Simplified Arabic" w:hint="cs"/>
          <w:sz w:val="24"/>
          <w:szCs w:val="24"/>
          <w:rtl/>
        </w:rPr>
        <w:t>الحيوانات</w:t>
      </w:r>
      <w:r w:rsidRPr="00FB52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الحية</w:t>
      </w:r>
      <w:r w:rsidRPr="00FB52CA">
        <w:rPr>
          <w:rFonts w:ascii="Simplified Arabic" w:hAnsi="Simplified Arabic" w:cs="Simplified Arabic"/>
          <w:sz w:val="24"/>
          <w:szCs w:val="24"/>
          <w:rtl/>
        </w:rPr>
        <w:t xml:space="preserve"> ب</w:t>
      </w:r>
      <w:r>
        <w:rPr>
          <w:rFonts w:ascii="Simplified Arabic" w:hAnsi="Simplified Arabic" w:cs="Simplified Arabic" w:hint="cs"/>
          <w:sz w:val="24"/>
          <w:szCs w:val="24"/>
          <w:rtl/>
        </w:rPr>
        <w:t>نسبة</w:t>
      </w:r>
      <w:r w:rsidRPr="00FB52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5.16</w:t>
      </w:r>
      <w:r w:rsidRPr="00FB52CA">
        <w:rPr>
          <w:rFonts w:ascii="Simplified Arabic" w:hAnsi="Simplified Arabic" w:cs="Simplified Arabic"/>
          <w:sz w:val="24"/>
          <w:szCs w:val="24"/>
          <w:rtl/>
        </w:rPr>
        <w:t>%.</w:t>
      </w:r>
    </w:p>
    <w:p w:rsidR="00FB52CA" w:rsidRPr="002D1C38" w:rsidRDefault="00FB52CA" w:rsidP="00FB52CA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FB52CA" w:rsidRPr="00FB52CA" w:rsidRDefault="00FB52CA" w:rsidP="00FA594F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FB52CA">
        <w:rPr>
          <w:rFonts w:ascii="Simplified Arabic" w:hAnsi="Simplified Arabic" w:cs="Simplified Arabic"/>
          <w:sz w:val="24"/>
          <w:szCs w:val="24"/>
          <w:rtl/>
        </w:rPr>
        <w:t>كما سجلت أسعار</w:t>
      </w:r>
      <w:r w:rsidRPr="00FB52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منتجات</w:t>
      </w:r>
      <w:r w:rsidRPr="00FB52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B52CA">
        <w:rPr>
          <w:rFonts w:ascii="Simplified Arabic" w:hAnsi="Simplified Arabic" w:cs="Simplified Arabic"/>
          <w:b/>
          <w:bCs/>
          <w:sz w:val="24"/>
          <w:szCs w:val="24"/>
          <w:rtl/>
        </w:rPr>
        <w:t>الصناعات التحويلية</w:t>
      </w:r>
      <w:r w:rsidRPr="00FB52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ارتفاعاً</w:t>
      </w:r>
      <w:r w:rsidRPr="00FB52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نسبته</w:t>
      </w:r>
      <w:r w:rsidRPr="00FB52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0.31</w:t>
      </w:r>
      <w:r w:rsidRPr="00FB52CA">
        <w:rPr>
          <w:rFonts w:ascii="Simplified Arabic" w:hAnsi="Simplified Arabic" w:cs="Simplified Arabic"/>
          <w:sz w:val="24"/>
          <w:szCs w:val="24"/>
          <w:rtl/>
        </w:rPr>
        <w:t xml:space="preserve">%، نتيجة </w:t>
      </w:r>
      <w:r>
        <w:rPr>
          <w:rFonts w:ascii="Simplified Arabic" w:hAnsi="Simplified Arabic" w:cs="Simplified Arabic" w:hint="cs"/>
          <w:sz w:val="24"/>
          <w:szCs w:val="24"/>
          <w:rtl/>
        </w:rPr>
        <w:t>لارتفاع</w:t>
      </w:r>
      <w:r w:rsidRPr="00FB52CA">
        <w:rPr>
          <w:rFonts w:ascii="Simplified Arabic" w:hAnsi="Simplified Arabic" w:cs="Simplified Arabic"/>
          <w:sz w:val="24"/>
          <w:szCs w:val="24"/>
          <w:rtl/>
        </w:rPr>
        <w:t xml:space="preserve"> أسعار </w:t>
      </w:r>
      <w:r w:rsidR="007C562E">
        <w:rPr>
          <w:rFonts w:ascii="Simplified Arabic" w:hAnsi="Simplified Arabic" w:cs="Simplified Arabic" w:hint="cs"/>
          <w:sz w:val="24"/>
          <w:szCs w:val="24"/>
          <w:rtl/>
        </w:rPr>
        <w:t>السلع ضمن بعض الأنشطة كنشاط صنع منتجات المعادن الافلزية الأخرى بنسبة 3.10%، وصناعة الجلد ومنتجاته بنسبة 2.96%، وصناعة الاسمنت والجير والجبس بنسبة 2.14%، وصنع المواد والمنتجات الكيماوية بنسبة 1.91%</w:t>
      </w:r>
      <w:r w:rsidR="00A0752E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FB52CA">
        <w:rPr>
          <w:rFonts w:ascii="Simplified Arabic" w:hAnsi="Simplified Arabic" w:cs="Simplified Arabic"/>
          <w:sz w:val="24"/>
          <w:szCs w:val="24"/>
          <w:rtl/>
        </w:rPr>
        <w:t xml:space="preserve"> في المقابل </w:t>
      </w:r>
      <w:r w:rsidR="007C562E">
        <w:rPr>
          <w:rFonts w:ascii="Simplified Arabic" w:hAnsi="Simplified Arabic" w:cs="Simplified Arabic" w:hint="cs"/>
          <w:sz w:val="24"/>
          <w:szCs w:val="24"/>
          <w:rtl/>
        </w:rPr>
        <w:t xml:space="preserve">انخفضت أسعار السلع ضمن بعض الأنشطة كنشاط صناعة منتجات المطاط والبلاستيك بمقدار 2.48%، </w:t>
      </w:r>
      <w:r w:rsidR="00A0752E">
        <w:rPr>
          <w:rFonts w:ascii="Simplified Arabic" w:hAnsi="Simplified Arabic" w:cs="Simplified Arabic" w:hint="cs"/>
          <w:sz w:val="24"/>
          <w:szCs w:val="24"/>
          <w:rtl/>
        </w:rPr>
        <w:t xml:space="preserve">وصناعة السجائر والتبغ بمقدار 1.79%، </w:t>
      </w:r>
      <w:r w:rsidR="007C562E">
        <w:rPr>
          <w:rFonts w:ascii="Simplified Arabic" w:hAnsi="Simplified Arabic" w:cs="Simplified Arabic" w:hint="cs"/>
          <w:sz w:val="24"/>
          <w:szCs w:val="24"/>
          <w:rtl/>
        </w:rPr>
        <w:t xml:space="preserve">وصناعة المشروبات بمقدار 1.68%، </w:t>
      </w:r>
      <w:r w:rsidR="00A0752E">
        <w:rPr>
          <w:rFonts w:ascii="Simplified Arabic" w:hAnsi="Simplified Arabic" w:cs="Simplified Arabic" w:hint="cs"/>
          <w:sz w:val="24"/>
          <w:szCs w:val="24"/>
          <w:rtl/>
        </w:rPr>
        <w:t xml:space="preserve">وصناعة الألبان بمقدار 1.56%، </w:t>
      </w:r>
      <w:r w:rsidR="007C562E">
        <w:rPr>
          <w:rFonts w:ascii="Simplified Arabic" w:hAnsi="Simplified Arabic" w:cs="Simplified Arabic" w:hint="cs"/>
          <w:sz w:val="24"/>
          <w:szCs w:val="24"/>
          <w:rtl/>
        </w:rPr>
        <w:t xml:space="preserve">وصناعة منتجات الأغذية الأخرى </w:t>
      </w:r>
      <w:r w:rsidR="00A0752E">
        <w:rPr>
          <w:rFonts w:ascii="Simplified Arabic" w:hAnsi="Simplified Arabic" w:cs="Simplified Arabic" w:hint="cs"/>
          <w:sz w:val="24"/>
          <w:szCs w:val="24"/>
          <w:rtl/>
        </w:rPr>
        <w:t xml:space="preserve">         </w:t>
      </w:r>
      <w:r w:rsidR="007C562E">
        <w:rPr>
          <w:rFonts w:ascii="Simplified Arabic" w:hAnsi="Simplified Arabic" w:cs="Simplified Arabic" w:hint="cs"/>
          <w:sz w:val="24"/>
          <w:szCs w:val="24"/>
          <w:rtl/>
        </w:rPr>
        <w:t>بمقدار 1.26%.</w:t>
      </w:r>
    </w:p>
    <w:p w:rsidR="00FB52CA" w:rsidRPr="002D1C38" w:rsidRDefault="00FB52CA" w:rsidP="00FB52CA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FB52CA" w:rsidRPr="00FB52CA" w:rsidRDefault="00FB52CA" w:rsidP="00A0752E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FB52CA">
        <w:rPr>
          <w:rFonts w:ascii="Simplified Arabic" w:hAnsi="Simplified Arabic" w:cs="Simplified Arabic"/>
          <w:sz w:val="24"/>
          <w:szCs w:val="24"/>
          <w:rtl/>
        </w:rPr>
        <w:t xml:space="preserve">بينما شهدت أسعار </w:t>
      </w:r>
      <w:r w:rsidRPr="00FB52CA">
        <w:rPr>
          <w:rFonts w:ascii="Simplified Arabic" w:hAnsi="Simplified Arabic" w:cs="Simplified Arabic"/>
          <w:b/>
          <w:bCs/>
          <w:sz w:val="24"/>
          <w:szCs w:val="24"/>
          <w:rtl/>
        </w:rPr>
        <w:t>منتجات</w:t>
      </w:r>
      <w:r w:rsidRPr="00FB52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B52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صيد الأسماك </w:t>
      </w:r>
      <w:r w:rsidR="00FA594F">
        <w:rPr>
          <w:rFonts w:ascii="Simplified Arabic" w:hAnsi="Simplified Arabic" w:cs="Simplified Arabic" w:hint="cs"/>
          <w:sz w:val="24"/>
          <w:szCs w:val="24"/>
          <w:rtl/>
        </w:rPr>
        <w:t>انخفاض</w:t>
      </w:r>
      <w:r w:rsidRPr="00FB52CA">
        <w:rPr>
          <w:rFonts w:ascii="Simplified Arabic" w:hAnsi="Simplified Arabic" w:cs="Simplified Arabic"/>
          <w:sz w:val="24"/>
          <w:szCs w:val="24"/>
          <w:rtl/>
        </w:rPr>
        <w:t xml:space="preserve">اً </w:t>
      </w:r>
      <w:r w:rsidR="00FA594F">
        <w:rPr>
          <w:rFonts w:ascii="Simplified Arabic" w:hAnsi="Simplified Arabic" w:cs="Simplified Arabic" w:hint="cs"/>
          <w:sz w:val="24"/>
          <w:szCs w:val="24"/>
          <w:rtl/>
        </w:rPr>
        <w:t>مقداره</w:t>
      </w:r>
      <w:r w:rsidRPr="00FB52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FA594F">
        <w:rPr>
          <w:rFonts w:ascii="Simplified Arabic" w:hAnsi="Simplified Arabic" w:cs="Simplified Arabic" w:hint="cs"/>
          <w:sz w:val="24"/>
          <w:szCs w:val="24"/>
          <w:rtl/>
        </w:rPr>
        <w:t>5.96</w:t>
      </w:r>
      <w:r w:rsidRPr="00FB52CA">
        <w:rPr>
          <w:rFonts w:ascii="Simplified Arabic" w:hAnsi="Simplified Arabic" w:cs="Simplified Arabic"/>
          <w:sz w:val="24"/>
          <w:szCs w:val="24"/>
          <w:rtl/>
        </w:rPr>
        <w:t xml:space="preserve">% خلال الربع </w:t>
      </w:r>
      <w:r w:rsidR="00FA594F">
        <w:rPr>
          <w:rFonts w:ascii="Simplified Arabic" w:hAnsi="Simplified Arabic" w:cs="Simplified Arabic" w:hint="cs"/>
          <w:sz w:val="24"/>
          <w:szCs w:val="24"/>
          <w:rtl/>
        </w:rPr>
        <w:t>الثالث</w:t>
      </w:r>
      <w:r w:rsidRPr="00FB52CA">
        <w:rPr>
          <w:rFonts w:ascii="Simplified Arabic" w:hAnsi="Simplified Arabic" w:cs="Simplified Arabic"/>
          <w:sz w:val="24"/>
          <w:szCs w:val="24"/>
          <w:rtl/>
        </w:rPr>
        <w:t xml:space="preserve"> من العام 2017 مقارنة بالربع </w:t>
      </w:r>
      <w:r w:rsidR="00FA594F">
        <w:rPr>
          <w:rFonts w:ascii="Simplified Arabic" w:hAnsi="Simplified Arabic" w:cs="Simplified Arabic" w:hint="cs"/>
          <w:sz w:val="24"/>
          <w:szCs w:val="24"/>
          <w:rtl/>
        </w:rPr>
        <w:t>الثاني</w:t>
      </w:r>
      <w:r w:rsidRPr="00FB52CA">
        <w:rPr>
          <w:rFonts w:ascii="Simplified Arabic" w:hAnsi="Simplified Arabic" w:cs="Simplified Arabic"/>
          <w:sz w:val="24"/>
          <w:szCs w:val="24"/>
          <w:rtl/>
        </w:rPr>
        <w:t xml:space="preserve"> من العام 2017.</w:t>
      </w:r>
    </w:p>
    <w:p w:rsidR="00FB52CA" w:rsidRPr="002D1C38" w:rsidRDefault="00FB52CA" w:rsidP="00FB52CA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4E147E" w:rsidRDefault="00FA594F" w:rsidP="002D1C38">
      <w:pPr>
        <w:bidi/>
        <w:spacing w:line="240" w:lineRule="auto"/>
        <w:jc w:val="both"/>
        <w:rPr>
          <w:rFonts w:ascii="Simplified Arabic" w:hAnsi="Simplified Arabic" w:cs="Simplified Arabic" w:hint="cs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كما </w:t>
      </w:r>
      <w:r w:rsidR="00FB52CA" w:rsidRPr="00FB52CA">
        <w:rPr>
          <w:rFonts w:ascii="Simplified Arabic" w:hAnsi="Simplified Arabic" w:cs="Simplified Arabic"/>
          <w:sz w:val="24"/>
          <w:szCs w:val="24"/>
          <w:rtl/>
        </w:rPr>
        <w:t xml:space="preserve">سجلت أسعار السلع ضمن </w:t>
      </w:r>
      <w:r w:rsidR="00FB52CA" w:rsidRPr="00FB52CA">
        <w:rPr>
          <w:rFonts w:ascii="Simplified Arabic" w:hAnsi="Simplified Arabic" w:cs="Simplified Arabic"/>
          <w:b/>
          <w:bCs/>
          <w:sz w:val="24"/>
          <w:szCs w:val="24"/>
          <w:rtl/>
        </w:rPr>
        <w:t>نشاط</w:t>
      </w:r>
      <w:r w:rsidR="00FB52CA" w:rsidRPr="00FB52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B52CA" w:rsidRPr="00FB52CA">
        <w:rPr>
          <w:rFonts w:ascii="Simplified Arabic" w:hAnsi="Simplified Arabic" w:cs="Simplified Arabic"/>
          <w:b/>
          <w:bCs/>
          <w:sz w:val="24"/>
          <w:szCs w:val="24"/>
          <w:rtl/>
        </w:rPr>
        <w:t>التعدين واستغلال المحاجر</w:t>
      </w:r>
      <w:r w:rsidR="00FB52CA" w:rsidRPr="00FB52CA">
        <w:rPr>
          <w:rFonts w:ascii="Simplified Arabic" w:hAnsi="Simplified Arabic" w:cs="Simplified Arabic"/>
          <w:sz w:val="24"/>
          <w:szCs w:val="24"/>
          <w:rtl/>
        </w:rPr>
        <w:t xml:space="preserve"> ا</w:t>
      </w:r>
      <w:r>
        <w:rPr>
          <w:rFonts w:ascii="Simplified Arabic" w:hAnsi="Simplified Arabic" w:cs="Simplified Arabic" w:hint="cs"/>
          <w:sz w:val="24"/>
          <w:szCs w:val="24"/>
          <w:rtl/>
        </w:rPr>
        <w:t>نخفاض</w:t>
      </w:r>
      <w:r w:rsidR="00FB52CA" w:rsidRPr="00FB52CA">
        <w:rPr>
          <w:rFonts w:ascii="Simplified Arabic" w:hAnsi="Simplified Arabic" w:cs="Simplified Arabic"/>
          <w:sz w:val="24"/>
          <w:szCs w:val="24"/>
          <w:rtl/>
        </w:rPr>
        <w:t xml:space="preserve">اً </w:t>
      </w:r>
      <w:r>
        <w:rPr>
          <w:rFonts w:ascii="Simplified Arabic" w:hAnsi="Simplified Arabic" w:cs="Simplified Arabic" w:hint="cs"/>
          <w:sz w:val="24"/>
          <w:szCs w:val="24"/>
          <w:rtl/>
        </w:rPr>
        <w:t>مقداره</w:t>
      </w:r>
      <w:r w:rsidR="00FB52CA" w:rsidRPr="00FB52C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0.78</w:t>
      </w:r>
      <w:r w:rsidR="00FB52CA" w:rsidRPr="00FB52CA">
        <w:rPr>
          <w:rFonts w:ascii="Simplified Arabic" w:hAnsi="Simplified Arabic" w:cs="Simplified Arabic"/>
          <w:sz w:val="24"/>
          <w:szCs w:val="24"/>
          <w:rtl/>
        </w:rPr>
        <w:t xml:space="preserve">% خلال الربع </w:t>
      </w:r>
      <w:r>
        <w:rPr>
          <w:rFonts w:ascii="Simplified Arabic" w:hAnsi="Simplified Arabic" w:cs="Simplified Arabic" w:hint="cs"/>
          <w:sz w:val="24"/>
          <w:szCs w:val="24"/>
          <w:rtl/>
        </w:rPr>
        <w:t>الثالث</w:t>
      </w:r>
      <w:r w:rsidR="00FB52CA" w:rsidRPr="00FB52CA">
        <w:rPr>
          <w:rFonts w:ascii="Simplified Arabic" w:hAnsi="Simplified Arabic" w:cs="Simplified Arabic"/>
          <w:sz w:val="24"/>
          <w:szCs w:val="24"/>
          <w:rtl/>
        </w:rPr>
        <w:t xml:space="preserve"> من العام 2017 مقارنة بالربع </w:t>
      </w:r>
      <w:r>
        <w:rPr>
          <w:rFonts w:ascii="Simplified Arabic" w:hAnsi="Simplified Arabic" w:cs="Simplified Arabic" w:hint="cs"/>
          <w:sz w:val="24"/>
          <w:szCs w:val="24"/>
          <w:rtl/>
        </w:rPr>
        <w:t>الثاني</w:t>
      </w:r>
      <w:r w:rsidR="00FB52CA" w:rsidRPr="00FB52CA">
        <w:rPr>
          <w:rFonts w:ascii="Simplified Arabic" w:hAnsi="Simplified Arabic" w:cs="Simplified Arabic"/>
          <w:sz w:val="24"/>
          <w:szCs w:val="24"/>
          <w:rtl/>
        </w:rPr>
        <w:t xml:space="preserve"> من العام 2017. </w:t>
      </w:r>
    </w:p>
    <w:p w:rsidR="002D1C38" w:rsidRPr="002D1C38" w:rsidRDefault="002D1C38" w:rsidP="002D1C38">
      <w:pPr>
        <w:bidi/>
        <w:spacing w:line="240" w:lineRule="auto"/>
        <w:jc w:val="both"/>
        <w:rPr>
          <w:rFonts w:ascii="Simplified Arabic" w:hAnsi="Simplified Arabic" w:cs="Simplified Arabic" w:hint="cs"/>
          <w:sz w:val="24"/>
          <w:szCs w:val="24"/>
          <w:rtl/>
        </w:rPr>
      </w:pPr>
    </w:p>
    <w:p w:rsidR="002D1C38" w:rsidRPr="002D1C38" w:rsidRDefault="002D1C38" w:rsidP="002D1C38">
      <w:pPr>
        <w:pStyle w:val="FootnoteText"/>
        <w:jc w:val="lowKashida"/>
        <w:rPr>
          <w:rtl/>
        </w:rPr>
      </w:pPr>
      <w:r w:rsidRPr="002D1C38">
        <w:rPr>
          <w:rStyle w:val="FootnoteReference"/>
        </w:rPr>
        <w:t>1</w:t>
      </w:r>
      <w:r w:rsidRPr="002D1C38">
        <w:rPr>
          <w:rtl/>
        </w:rPr>
        <w:t xml:space="preserve"> </w:t>
      </w:r>
      <w:r w:rsidRPr="002D1C38">
        <w:rPr>
          <w:rFonts w:cs="Simplified Arabic"/>
          <w:color w:val="000000"/>
          <w:rtl/>
        </w:rPr>
        <w:t xml:space="preserve">سعر إعادة البيع للسلع الجديدة أو المستعملة إلى تجار التجزئة سواء بغرض الاستهلاك أو إعادة الاستخدام في المجالات الصناعية أو التجارية أو المؤسسية أو </w:t>
      </w:r>
      <w:proofErr w:type="spellStart"/>
      <w:r w:rsidRPr="002D1C38">
        <w:rPr>
          <w:rFonts w:cs="Simplified Arabic"/>
          <w:color w:val="000000"/>
          <w:rtl/>
        </w:rPr>
        <w:t>المهنية،</w:t>
      </w:r>
      <w:proofErr w:type="spellEnd"/>
      <w:r w:rsidRPr="002D1C38">
        <w:rPr>
          <w:rFonts w:cs="Simplified Arabic"/>
          <w:color w:val="000000"/>
          <w:rtl/>
        </w:rPr>
        <w:t xml:space="preserve"> حيث يشمل سعر الجملة ضريبة القيمة المضافة وأجور النقل.</w:t>
      </w:r>
    </w:p>
    <w:p w:rsidR="002D1C38" w:rsidRDefault="002D1C38" w:rsidP="002D1C38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2D1C38" w:rsidRDefault="002D1C38" w:rsidP="002D1C38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2D1C38" w:rsidRDefault="002D1C38" w:rsidP="002D1C38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2D1C38" w:rsidRDefault="002D1C38" w:rsidP="002D1C38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2D1C38" w:rsidRDefault="002D1C38" w:rsidP="002D1C38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2D1C38" w:rsidRPr="002D1C38" w:rsidRDefault="002D1C38" w:rsidP="002D1C38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2D1C38" w:rsidRDefault="00FB52CA" w:rsidP="002D1C38">
      <w:pPr>
        <w:bidi/>
        <w:spacing w:line="240" w:lineRule="auto"/>
        <w:ind w:left="24"/>
        <w:jc w:val="center"/>
        <w:rPr>
          <w:rFonts w:ascii="Simplified Arabic" w:hAnsi="Simplified Arabic" w:cs="Simplified Arabic" w:hint="cs"/>
          <w:b/>
          <w:bCs/>
          <w:color w:val="auto"/>
          <w:sz w:val="25"/>
          <w:szCs w:val="25"/>
          <w:rtl/>
        </w:rPr>
      </w:pPr>
      <w:r w:rsidRPr="002D1C38">
        <w:rPr>
          <w:rFonts w:ascii="Simplified Arabic" w:hAnsi="Simplified Arabic" w:cs="Simplified Arabic"/>
          <w:b/>
          <w:bCs/>
          <w:color w:val="auto"/>
          <w:sz w:val="25"/>
          <w:szCs w:val="25"/>
          <w:rtl/>
        </w:rPr>
        <w:t xml:space="preserve">الجدول يوضح الأهمية النسبية ونسب التغّير الربعية في الرقم القياسي لأسعار الجملة بحسب الأنشطة الرئيسية في فلسطين </w:t>
      </w:r>
    </w:p>
    <w:p w:rsidR="0091136C" w:rsidRPr="002D1C38" w:rsidRDefault="00FB52CA" w:rsidP="002D1C38">
      <w:pPr>
        <w:bidi/>
        <w:spacing w:line="240" w:lineRule="auto"/>
        <w:ind w:left="24"/>
        <w:jc w:val="center"/>
        <w:rPr>
          <w:rFonts w:ascii="Simplified Arabic" w:hAnsi="Simplified Arabic" w:cs="Simplified Arabic"/>
          <w:b/>
          <w:bCs/>
          <w:color w:val="auto"/>
          <w:sz w:val="25"/>
          <w:szCs w:val="25"/>
          <w:rtl/>
        </w:rPr>
      </w:pPr>
      <w:r w:rsidRPr="002D1C38">
        <w:rPr>
          <w:rFonts w:ascii="Simplified Arabic" w:hAnsi="Simplified Arabic" w:cs="Simplified Arabic"/>
          <w:b/>
          <w:bCs/>
          <w:color w:val="auto"/>
          <w:sz w:val="25"/>
          <w:szCs w:val="25"/>
          <w:rtl/>
        </w:rPr>
        <w:t xml:space="preserve">خلال الربع </w:t>
      </w:r>
      <w:r w:rsidR="0091136C" w:rsidRPr="002D1C38">
        <w:rPr>
          <w:rFonts w:ascii="Simplified Arabic" w:hAnsi="Simplified Arabic" w:cs="Simplified Arabic" w:hint="cs"/>
          <w:b/>
          <w:bCs/>
          <w:color w:val="auto"/>
          <w:sz w:val="25"/>
          <w:szCs w:val="25"/>
          <w:rtl/>
        </w:rPr>
        <w:t xml:space="preserve">الأول </w:t>
      </w:r>
      <w:r w:rsidRPr="002D1C38">
        <w:rPr>
          <w:rFonts w:ascii="Simplified Arabic" w:hAnsi="Simplified Arabic" w:cs="Simplified Arabic"/>
          <w:b/>
          <w:bCs/>
          <w:color w:val="auto"/>
          <w:sz w:val="25"/>
          <w:szCs w:val="25"/>
          <w:rtl/>
        </w:rPr>
        <w:t xml:space="preserve">– الربع </w:t>
      </w:r>
      <w:r w:rsidR="0091136C" w:rsidRPr="002D1C38">
        <w:rPr>
          <w:rFonts w:ascii="Simplified Arabic" w:hAnsi="Simplified Arabic" w:cs="Simplified Arabic" w:hint="cs"/>
          <w:b/>
          <w:bCs/>
          <w:color w:val="auto"/>
          <w:sz w:val="25"/>
          <w:szCs w:val="25"/>
          <w:rtl/>
        </w:rPr>
        <w:t>الثالث</w:t>
      </w:r>
      <w:r w:rsidRPr="002D1C38">
        <w:rPr>
          <w:rFonts w:ascii="Simplified Arabic" w:hAnsi="Simplified Arabic" w:cs="Simplified Arabic"/>
          <w:b/>
          <w:bCs/>
          <w:color w:val="auto"/>
          <w:sz w:val="25"/>
          <w:szCs w:val="25"/>
          <w:rtl/>
        </w:rPr>
        <w:t xml:space="preserve"> 2017:</w:t>
      </w:r>
    </w:p>
    <w:p w:rsidR="00FB52CA" w:rsidRPr="00A0752E" w:rsidRDefault="00FB52CA" w:rsidP="00FB52CA">
      <w:pPr>
        <w:bidi/>
        <w:spacing w:line="240" w:lineRule="auto"/>
        <w:jc w:val="center"/>
        <w:rPr>
          <w:rFonts w:ascii="Simplified Arabic" w:hAnsi="Simplified Arabic" w:cs="Simplified Arabic"/>
          <w:sz w:val="16"/>
          <w:szCs w:val="16"/>
          <w:rtl/>
        </w:rPr>
      </w:pPr>
    </w:p>
    <w:tbl>
      <w:tblPr>
        <w:bidiVisual/>
        <w:tblW w:w="7212" w:type="dxa"/>
        <w:jc w:val="center"/>
        <w:tblInd w:w="-9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2548"/>
        <w:gridCol w:w="850"/>
        <w:gridCol w:w="1171"/>
        <w:gridCol w:w="1134"/>
        <w:gridCol w:w="1509"/>
      </w:tblGrid>
      <w:tr w:rsidR="004342CD" w:rsidRPr="002D1C38" w:rsidTr="002D1C38">
        <w:trPr>
          <w:tblHeader/>
          <w:jc w:val="center"/>
        </w:trPr>
        <w:tc>
          <w:tcPr>
            <w:tcW w:w="2548" w:type="dxa"/>
            <w:vMerge w:val="restart"/>
            <w:vAlign w:val="center"/>
          </w:tcPr>
          <w:p w:rsidR="004342CD" w:rsidRPr="002D1C38" w:rsidRDefault="004342CD" w:rsidP="00FB52CA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D1C3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الأنشطة الرئيسية</w:t>
            </w:r>
          </w:p>
        </w:tc>
        <w:tc>
          <w:tcPr>
            <w:tcW w:w="850" w:type="dxa"/>
            <w:vMerge w:val="restart"/>
            <w:vAlign w:val="center"/>
          </w:tcPr>
          <w:p w:rsidR="004342CD" w:rsidRPr="002D1C38" w:rsidRDefault="004342CD" w:rsidP="00FB52CA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D1C3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الأهمية النسبية</w:t>
            </w:r>
          </w:p>
        </w:tc>
        <w:tc>
          <w:tcPr>
            <w:tcW w:w="3814" w:type="dxa"/>
            <w:gridSpan w:val="3"/>
            <w:vAlign w:val="center"/>
          </w:tcPr>
          <w:p w:rsidR="004342CD" w:rsidRPr="002D1C38" w:rsidRDefault="004342CD" w:rsidP="00FB52CA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D1C3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نسب التغّير الربعية</w:t>
            </w:r>
          </w:p>
        </w:tc>
      </w:tr>
      <w:tr w:rsidR="004342CD" w:rsidRPr="002D1C38" w:rsidTr="002D1C38">
        <w:trPr>
          <w:tblHeader/>
          <w:jc w:val="center"/>
        </w:trPr>
        <w:tc>
          <w:tcPr>
            <w:tcW w:w="2548" w:type="dxa"/>
            <w:vMerge/>
            <w:vAlign w:val="center"/>
          </w:tcPr>
          <w:p w:rsidR="004342CD" w:rsidRPr="002D1C38" w:rsidRDefault="004342CD" w:rsidP="00FB52CA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4342CD" w:rsidRPr="002D1C38" w:rsidRDefault="004342CD" w:rsidP="00FB52CA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14" w:type="dxa"/>
            <w:gridSpan w:val="3"/>
            <w:vAlign w:val="center"/>
          </w:tcPr>
          <w:p w:rsidR="004342CD" w:rsidRPr="002D1C38" w:rsidRDefault="004342CD" w:rsidP="00FB52CA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D1C3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2017</w:t>
            </w:r>
          </w:p>
        </w:tc>
      </w:tr>
      <w:tr w:rsidR="004E147E" w:rsidRPr="002D1C38" w:rsidTr="002D1C38">
        <w:trPr>
          <w:tblHeader/>
          <w:jc w:val="center"/>
        </w:trPr>
        <w:tc>
          <w:tcPr>
            <w:tcW w:w="2548" w:type="dxa"/>
            <w:vMerge/>
            <w:vAlign w:val="center"/>
          </w:tcPr>
          <w:p w:rsidR="0091136C" w:rsidRPr="002D1C38" w:rsidRDefault="0091136C" w:rsidP="00FB52CA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91136C" w:rsidRPr="002D1C38" w:rsidRDefault="0091136C" w:rsidP="00FB52CA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1" w:type="dxa"/>
          </w:tcPr>
          <w:p w:rsidR="0091136C" w:rsidRPr="002D1C38" w:rsidRDefault="0091136C" w:rsidP="00333BAF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D1C3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الربع الأول</w:t>
            </w:r>
          </w:p>
        </w:tc>
        <w:tc>
          <w:tcPr>
            <w:tcW w:w="1134" w:type="dxa"/>
          </w:tcPr>
          <w:p w:rsidR="0091136C" w:rsidRPr="002D1C38" w:rsidRDefault="0091136C" w:rsidP="00333BAF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D1C3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الربع الثاني</w:t>
            </w:r>
          </w:p>
        </w:tc>
        <w:tc>
          <w:tcPr>
            <w:tcW w:w="1509" w:type="dxa"/>
          </w:tcPr>
          <w:p w:rsidR="0091136C" w:rsidRPr="002D1C38" w:rsidRDefault="0091136C" w:rsidP="00FB52CA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D1C3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الربع الثالث</w:t>
            </w:r>
          </w:p>
        </w:tc>
      </w:tr>
      <w:tr w:rsidR="004E147E" w:rsidRPr="002D1C38" w:rsidTr="002D1C38">
        <w:trPr>
          <w:tblHeader/>
          <w:jc w:val="center"/>
        </w:trPr>
        <w:tc>
          <w:tcPr>
            <w:tcW w:w="2548" w:type="dxa"/>
          </w:tcPr>
          <w:p w:rsidR="0091136C" w:rsidRPr="002D1C38" w:rsidRDefault="0091136C" w:rsidP="004E147E">
            <w:pP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1C38">
              <w:rPr>
                <w:rFonts w:asciiTheme="majorBidi" w:hAnsiTheme="majorBidi" w:cstheme="majorBidi"/>
                <w:sz w:val="24"/>
                <w:szCs w:val="24"/>
                <w:rtl/>
              </w:rPr>
              <w:t>الزراعة</w:t>
            </w:r>
          </w:p>
        </w:tc>
        <w:tc>
          <w:tcPr>
            <w:tcW w:w="850" w:type="dxa"/>
            <w:vAlign w:val="center"/>
          </w:tcPr>
          <w:p w:rsidR="0091136C" w:rsidRPr="002D1C38" w:rsidRDefault="0091136C" w:rsidP="00F3352D">
            <w:pP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1C38">
              <w:rPr>
                <w:rFonts w:asciiTheme="majorBidi" w:hAnsiTheme="majorBidi" w:cstheme="majorBidi"/>
                <w:sz w:val="24"/>
                <w:szCs w:val="24"/>
                <w:rtl/>
              </w:rPr>
              <w:t>29%</w:t>
            </w:r>
          </w:p>
        </w:tc>
        <w:tc>
          <w:tcPr>
            <w:tcW w:w="1171" w:type="dxa"/>
            <w:vAlign w:val="center"/>
          </w:tcPr>
          <w:p w:rsidR="0091136C" w:rsidRPr="002D1C38" w:rsidRDefault="0091136C" w:rsidP="00F3352D">
            <w:pP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1C38">
              <w:rPr>
                <w:rFonts w:asciiTheme="majorBidi" w:hAnsiTheme="majorBidi" w:cstheme="majorBidi"/>
                <w:sz w:val="24"/>
                <w:szCs w:val="24"/>
                <w:rtl/>
              </w:rPr>
              <w:t>+2.58</w:t>
            </w:r>
          </w:p>
        </w:tc>
        <w:tc>
          <w:tcPr>
            <w:tcW w:w="1134" w:type="dxa"/>
            <w:vAlign w:val="center"/>
          </w:tcPr>
          <w:p w:rsidR="0091136C" w:rsidRPr="002D1C38" w:rsidRDefault="0091136C" w:rsidP="00F3352D">
            <w:pP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1C38">
              <w:rPr>
                <w:rFonts w:asciiTheme="majorBidi" w:hAnsiTheme="majorBidi" w:cstheme="majorBidi"/>
                <w:sz w:val="24"/>
                <w:szCs w:val="24"/>
                <w:rtl/>
              </w:rPr>
              <w:t>-8.12</w:t>
            </w:r>
          </w:p>
        </w:tc>
        <w:tc>
          <w:tcPr>
            <w:tcW w:w="1509" w:type="dxa"/>
            <w:vAlign w:val="center"/>
          </w:tcPr>
          <w:p w:rsidR="0091136C" w:rsidRPr="002D1C38" w:rsidRDefault="004342CD" w:rsidP="00F3352D">
            <w:pP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1C38">
              <w:rPr>
                <w:rFonts w:asciiTheme="majorBidi" w:hAnsiTheme="majorBidi" w:cstheme="majorBidi"/>
                <w:sz w:val="24"/>
                <w:szCs w:val="24"/>
                <w:rtl/>
              </w:rPr>
              <w:t>+6.26</w:t>
            </w:r>
          </w:p>
        </w:tc>
      </w:tr>
      <w:tr w:rsidR="004E147E" w:rsidRPr="002D1C38" w:rsidTr="002D1C38">
        <w:trPr>
          <w:tblHeader/>
          <w:jc w:val="center"/>
        </w:trPr>
        <w:tc>
          <w:tcPr>
            <w:tcW w:w="2548" w:type="dxa"/>
          </w:tcPr>
          <w:p w:rsidR="0091136C" w:rsidRPr="002D1C38" w:rsidRDefault="0091136C" w:rsidP="004E147E">
            <w:pP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1C38">
              <w:rPr>
                <w:rFonts w:asciiTheme="majorBidi" w:hAnsiTheme="majorBidi" w:cstheme="majorBidi"/>
                <w:sz w:val="24"/>
                <w:szCs w:val="24"/>
                <w:rtl/>
              </w:rPr>
              <w:t>صيد الأسماك</w:t>
            </w:r>
          </w:p>
        </w:tc>
        <w:tc>
          <w:tcPr>
            <w:tcW w:w="850" w:type="dxa"/>
            <w:vAlign w:val="center"/>
          </w:tcPr>
          <w:p w:rsidR="0091136C" w:rsidRPr="002D1C38" w:rsidRDefault="0091136C" w:rsidP="00F3352D">
            <w:pP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1C38">
              <w:rPr>
                <w:rFonts w:asciiTheme="majorBidi" w:hAnsiTheme="majorBidi" w:cstheme="majorBidi"/>
                <w:sz w:val="24"/>
                <w:szCs w:val="24"/>
                <w:rtl/>
              </w:rPr>
              <w:t>0.10%</w:t>
            </w:r>
          </w:p>
        </w:tc>
        <w:tc>
          <w:tcPr>
            <w:tcW w:w="1171" w:type="dxa"/>
            <w:vAlign w:val="center"/>
          </w:tcPr>
          <w:p w:rsidR="0091136C" w:rsidRPr="002D1C38" w:rsidRDefault="0091136C" w:rsidP="00F3352D">
            <w:pP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1C38">
              <w:rPr>
                <w:rFonts w:asciiTheme="majorBidi" w:hAnsiTheme="majorBidi" w:cstheme="majorBidi"/>
                <w:sz w:val="24"/>
                <w:szCs w:val="24"/>
                <w:rtl/>
              </w:rPr>
              <w:t>-24.05</w:t>
            </w:r>
          </w:p>
        </w:tc>
        <w:tc>
          <w:tcPr>
            <w:tcW w:w="1134" w:type="dxa"/>
            <w:vAlign w:val="center"/>
          </w:tcPr>
          <w:p w:rsidR="0091136C" w:rsidRPr="002D1C38" w:rsidRDefault="0091136C" w:rsidP="00F3352D">
            <w:pP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1C38">
              <w:rPr>
                <w:rFonts w:asciiTheme="majorBidi" w:hAnsiTheme="majorBidi" w:cstheme="majorBidi"/>
                <w:sz w:val="24"/>
                <w:szCs w:val="24"/>
                <w:rtl/>
              </w:rPr>
              <w:t>+9.66</w:t>
            </w:r>
          </w:p>
        </w:tc>
        <w:tc>
          <w:tcPr>
            <w:tcW w:w="1509" w:type="dxa"/>
            <w:vAlign w:val="center"/>
          </w:tcPr>
          <w:p w:rsidR="0091136C" w:rsidRPr="002D1C38" w:rsidRDefault="004342CD" w:rsidP="00F3352D">
            <w:pP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1C38">
              <w:rPr>
                <w:rFonts w:asciiTheme="majorBidi" w:hAnsiTheme="majorBidi" w:cstheme="majorBidi"/>
                <w:sz w:val="24"/>
                <w:szCs w:val="24"/>
                <w:rtl/>
              </w:rPr>
              <w:t>-5.96</w:t>
            </w:r>
          </w:p>
        </w:tc>
      </w:tr>
      <w:tr w:rsidR="004E147E" w:rsidRPr="002D1C38" w:rsidTr="002D1C38">
        <w:trPr>
          <w:tblHeader/>
          <w:jc w:val="center"/>
        </w:trPr>
        <w:tc>
          <w:tcPr>
            <w:tcW w:w="2548" w:type="dxa"/>
          </w:tcPr>
          <w:p w:rsidR="004342CD" w:rsidRPr="002D1C38" w:rsidRDefault="004342CD" w:rsidP="004E147E">
            <w:pP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1C38">
              <w:rPr>
                <w:rFonts w:asciiTheme="majorBidi" w:hAnsiTheme="majorBidi" w:cstheme="majorBidi"/>
                <w:sz w:val="24"/>
                <w:szCs w:val="24"/>
                <w:rtl/>
              </w:rPr>
              <w:t>التعدين واستغلال المحاجر</w:t>
            </w:r>
          </w:p>
        </w:tc>
        <w:tc>
          <w:tcPr>
            <w:tcW w:w="850" w:type="dxa"/>
            <w:vAlign w:val="center"/>
          </w:tcPr>
          <w:p w:rsidR="004342CD" w:rsidRPr="002D1C38" w:rsidRDefault="004342CD" w:rsidP="00F3352D">
            <w:pP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1C38">
              <w:rPr>
                <w:rFonts w:asciiTheme="majorBidi" w:hAnsiTheme="majorBidi" w:cstheme="majorBidi"/>
                <w:sz w:val="24"/>
                <w:szCs w:val="24"/>
                <w:rtl/>
              </w:rPr>
              <w:t>0.90%</w:t>
            </w:r>
          </w:p>
        </w:tc>
        <w:tc>
          <w:tcPr>
            <w:tcW w:w="1171" w:type="dxa"/>
            <w:vAlign w:val="center"/>
          </w:tcPr>
          <w:p w:rsidR="004342CD" w:rsidRPr="002D1C38" w:rsidRDefault="004342CD" w:rsidP="00F3352D">
            <w:pP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1C38">
              <w:rPr>
                <w:rFonts w:asciiTheme="majorBidi" w:hAnsiTheme="majorBidi" w:cstheme="majorBidi"/>
                <w:sz w:val="24"/>
                <w:szCs w:val="24"/>
                <w:rtl/>
              </w:rPr>
              <w:t>+4.23</w:t>
            </w:r>
          </w:p>
        </w:tc>
        <w:tc>
          <w:tcPr>
            <w:tcW w:w="1134" w:type="dxa"/>
            <w:vAlign w:val="center"/>
          </w:tcPr>
          <w:p w:rsidR="004342CD" w:rsidRPr="002D1C38" w:rsidRDefault="004342CD" w:rsidP="00F3352D">
            <w:pP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1C38">
              <w:rPr>
                <w:rFonts w:asciiTheme="majorBidi" w:hAnsiTheme="majorBidi" w:cstheme="majorBidi"/>
                <w:sz w:val="24"/>
                <w:szCs w:val="24"/>
                <w:rtl/>
              </w:rPr>
              <w:t>+1.78</w:t>
            </w:r>
          </w:p>
        </w:tc>
        <w:tc>
          <w:tcPr>
            <w:tcW w:w="1509" w:type="dxa"/>
            <w:vAlign w:val="center"/>
          </w:tcPr>
          <w:p w:rsidR="004342CD" w:rsidRPr="002D1C38" w:rsidRDefault="004342CD" w:rsidP="00F3352D">
            <w:pP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1C38">
              <w:rPr>
                <w:rFonts w:asciiTheme="majorBidi" w:hAnsiTheme="majorBidi" w:cstheme="majorBidi"/>
                <w:sz w:val="24"/>
                <w:szCs w:val="24"/>
                <w:rtl/>
              </w:rPr>
              <w:t>-0.78</w:t>
            </w:r>
          </w:p>
        </w:tc>
      </w:tr>
      <w:tr w:rsidR="004E147E" w:rsidRPr="002D1C38" w:rsidTr="002D1C38">
        <w:trPr>
          <w:tblHeader/>
          <w:jc w:val="center"/>
        </w:trPr>
        <w:tc>
          <w:tcPr>
            <w:tcW w:w="2548" w:type="dxa"/>
          </w:tcPr>
          <w:p w:rsidR="004342CD" w:rsidRPr="002D1C38" w:rsidRDefault="004342CD" w:rsidP="004E147E">
            <w:pP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1C38">
              <w:rPr>
                <w:rFonts w:asciiTheme="majorBidi" w:hAnsiTheme="majorBidi" w:cstheme="majorBidi"/>
                <w:sz w:val="24"/>
                <w:szCs w:val="24"/>
                <w:rtl/>
              </w:rPr>
              <w:t>الصناعات التحويلية</w:t>
            </w:r>
          </w:p>
        </w:tc>
        <w:tc>
          <w:tcPr>
            <w:tcW w:w="850" w:type="dxa"/>
            <w:vAlign w:val="center"/>
          </w:tcPr>
          <w:p w:rsidR="004342CD" w:rsidRPr="002D1C38" w:rsidRDefault="004342CD" w:rsidP="00F3352D">
            <w:pP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1C38">
              <w:rPr>
                <w:rFonts w:asciiTheme="majorBidi" w:hAnsiTheme="majorBidi" w:cstheme="majorBidi"/>
                <w:sz w:val="24"/>
                <w:szCs w:val="24"/>
                <w:rtl/>
              </w:rPr>
              <w:t>70%</w:t>
            </w:r>
          </w:p>
        </w:tc>
        <w:tc>
          <w:tcPr>
            <w:tcW w:w="1171" w:type="dxa"/>
            <w:vAlign w:val="center"/>
          </w:tcPr>
          <w:p w:rsidR="004342CD" w:rsidRPr="002D1C38" w:rsidRDefault="004342CD" w:rsidP="00F3352D">
            <w:pP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1C38">
              <w:rPr>
                <w:rFonts w:asciiTheme="majorBidi" w:hAnsiTheme="majorBidi" w:cstheme="majorBidi"/>
                <w:sz w:val="24"/>
                <w:szCs w:val="24"/>
                <w:rtl/>
              </w:rPr>
              <w:t>-0.58</w:t>
            </w:r>
          </w:p>
        </w:tc>
        <w:tc>
          <w:tcPr>
            <w:tcW w:w="1134" w:type="dxa"/>
            <w:vAlign w:val="center"/>
          </w:tcPr>
          <w:p w:rsidR="004342CD" w:rsidRPr="002D1C38" w:rsidRDefault="004342CD" w:rsidP="00F3352D">
            <w:pP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1C38">
              <w:rPr>
                <w:rFonts w:asciiTheme="majorBidi" w:hAnsiTheme="majorBidi" w:cstheme="majorBidi"/>
                <w:sz w:val="24"/>
                <w:szCs w:val="24"/>
                <w:rtl/>
              </w:rPr>
              <w:t>-0.77</w:t>
            </w:r>
          </w:p>
        </w:tc>
        <w:tc>
          <w:tcPr>
            <w:tcW w:w="1509" w:type="dxa"/>
            <w:vAlign w:val="center"/>
          </w:tcPr>
          <w:p w:rsidR="004342CD" w:rsidRPr="002D1C38" w:rsidRDefault="004342CD" w:rsidP="00F3352D">
            <w:pP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1C38">
              <w:rPr>
                <w:rFonts w:asciiTheme="majorBidi" w:hAnsiTheme="majorBidi" w:cstheme="majorBidi"/>
                <w:sz w:val="24"/>
                <w:szCs w:val="24"/>
                <w:rtl/>
              </w:rPr>
              <w:t>+0.31</w:t>
            </w:r>
          </w:p>
        </w:tc>
      </w:tr>
      <w:tr w:rsidR="004E147E" w:rsidRPr="002D1C38" w:rsidTr="002D1C38">
        <w:trPr>
          <w:tblHeader/>
          <w:jc w:val="center"/>
        </w:trPr>
        <w:tc>
          <w:tcPr>
            <w:tcW w:w="2548" w:type="dxa"/>
          </w:tcPr>
          <w:p w:rsidR="004342CD" w:rsidRPr="002D1C38" w:rsidRDefault="004342CD" w:rsidP="004E147E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D1C3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الرقم القياسي العام </w:t>
            </w:r>
          </w:p>
        </w:tc>
        <w:tc>
          <w:tcPr>
            <w:tcW w:w="850" w:type="dxa"/>
            <w:vAlign w:val="center"/>
          </w:tcPr>
          <w:p w:rsidR="004342CD" w:rsidRPr="002D1C38" w:rsidRDefault="004342CD" w:rsidP="00F3352D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D1C3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100%</w:t>
            </w:r>
          </w:p>
        </w:tc>
        <w:tc>
          <w:tcPr>
            <w:tcW w:w="1171" w:type="dxa"/>
            <w:vAlign w:val="center"/>
          </w:tcPr>
          <w:p w:rsidR="004342CD" w:rsidRPr="002D1C38" w:rsidRDefault="004342CD" w:rsidP="00F3352D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D1C3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+0.39</w:t>
            </w:r>
          </w:p>
        </w:tc>
        <w:tc>
          <w:tcPr>
            <w:tcW w:w="1134" w:type="dxa"/>
            <w:vAlign w:val="center"/>
          </w:tcPr>
          <w:p w:rsidR="004342CD" w:rsidRPr="002D1C38" w:rsidRDefault="004342CD" w:rsidP="00F3352D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D1C3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-3.04</w:t>
            </w:r>
          </w:p>
        </w:tc>
        <w:tc>
          <w:tcPr>
            <w:tcW w:w="1509" w:type="dxa"/>
            <w:vAlign w:val="center"/>
          </w:tcPr>
          <w:p w:rsidR="004342CD" w:rsidRPr="002D1C38" w:rsidRDefault="004342CD" w:rsidP="00F3352D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D1C3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+2.06</w:t>
            </w:r>
          </w:p>
        </w:tc>
      </w:tr>
    </w:tbl>
    <w:p w:rsidR="00FB52CA" w:rsidRPr="002D1C38" w:rsidRDefault="00FB52CA" w:rsidP="00FB52CA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FB52CA" w:rsidRPr="002D1C38" w:rsidRDefault="00FB52CA" w:rsidP="00AB032B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2D1C38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الأرقام القياسية لأسعار الجملة في فلسطين: </w:t>
      </w:r>
      <w:r w:rsidR="00AB032B" w:rsidRPr="002D1C38">
        <w:rPr>
          <w:rFonts w:ascii="Simplified Arabic" w:hAnsi="Simplified Arabic" w:cs="Simplified Arabic" w:hint="cs"/>
          <w:b/>
          <w:bCs/>
          <w:sz w:val="25"/>
          <w:szCs w:val="25"/>
          <w:rtl/>
        </w:rPr>
        <w:t xml:space="preserve"> </w:t>
      </w:r>
      <w:r w:rsidRPr="002D1C38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الربع </w:t>
      </w:r>
      <w:r w:rsidR="00AB032B" w:rsidRPr="002D1C38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الثالث</w:t>
      </w:r>
      <w:r w:rsidRPr="002D1C38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2015 – الربع </w:t>
      </w:r>
      <w:r w:rsidR="00AB032B" w:rsidRPr="002D1C38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الثالث</w:t>
      </w:r>
      <w:r w:rsidRPr="002D1C38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2017</w:t>
      </w:r>
    </w:p>
    <w:p w:rsidR="00FB52CA" w:rsidRPr="002D1C38" w:rsidRDefault="00FB52CA" w:rsidP="00FB52CA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2D1C38">
        <w:rPr>
          <w:rFonts w:ascii="Simplified Arabic" w:hAnsi="Simplified Arabic" w:cs="Simplified Arabic"/>
          <w:b/>
          <w:bCs/>
          <w:sz w:val="25"/>
          <w:szCs w:val="25"/>
          <w:rtl/>
        </w:rPr>
        <w:t>(سنة الأساس 2007 = 100)</w:t>
      </w:r>
    </w:p>
    <w:p w:rsidR="00AB032B" w:rsidRPr="00AB032B" w:rsidRDefault="00AB032B" w:rsidP="00FB52CA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tbl>
      <w:tblPr>
        <w:tblStyle w:val="TableGrid"/>
        <w:bidiVisual/>
        <w:tblW w:w="4811" w:type="dxa"/>
        <w:jc w:val="center"/>
        <w:tblLook w:val="04A0"/>
      </w:tblPr>
      <w:tblGrid>
        <w:gridCol w:w="5151"/>
      </w:tblGrid>
      <w:tr w:rsidR="00AB032B" w:rsidTr="002D1C38">
        <w:trPr>
          <w:jc w:val="center"/>
        </w:trPr>
        <w:tc>
          <w:tcPr>
            <w:tcW w:w="4811" w:type="dxa"/>
          </w:tcPr>
          <w:p w:rsidR="00AB032B" w:rsidRDefault="00AB032B" w:rsidP="00FB52CA">
            <w:pPr>
              <w:pStyle w:val="BodyText2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B032B">
              <w:rPr>
                <w:rFonts w:ascii="Simplified Arabic" w:hAnsi="Simplified Arabic" w:cs="Simplified Arabic"/>
                <w:b/>
                <w:bCs/>
                <w:noProof/>
                <w:rtl/>
                <w:lang w:eastAsia="en-US"/>
              </w:rPr>
              <w:drawing>
                <wp:inline distT="0" distB="0" distL="0" distR="0">
                  <wp:extent cx="3133725" cy="2314575"/>
                  <wp:effectExtent l="0" t="0" r="0" b="0"/>
                  <wp:docPr id="1" name="Objec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AB032B" w:rsidRPr="00FB52CA" w:rsidRDefault="00AB032B" w:rsidP="00B22DC5">
      <w:pPr>
        <w:pStyle w:val="BodyText2"/>
        <w:spacing w:after="0" w:line="240" w:lineRule="auto"/>
        <w:rPr>
          <w:rFonts w:ascii="Simplified Arabic" w:hAnsi="Simplified Arabic" w:cs="Simplified Arabic" w:hint="cs"/>
          <w:b/>
          <w:bCs/>
          <w:rtl/>
        </w:rPr>
      </w:pPr>
    </w:p>
    <w:sectPr w:rsidR="00AB032B" w:rsidRPr="00FB52CA" w:rsidSect="002D1C38">
      <w:headerReference w:type="default" r:id="rId8"/>
      <w:footerReference w:type="even" r:id="rId9"/>
      <w:footerReference w:type="default" r:id="rId10"/>
      <w:pgSz w:w="11900" w:h="16840" w:code="9"/>
      <w:pgMar w:top="720" w:right="720" w:bottom="720" w:left="720" w:header="709" w:footer="812" w:gutter="0"/>
      <w:cols w:space="794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5E5" w:rsidRDefault="007F45E5" w:rsidP="0089530C">
      <w:r>
        <w:separator/>
      </w:r>
    </w:p>
  </w:endnote>
  <w:endnote w:type="continuationSeparator" w:id="0">
    <w:p w:rsidR="007F45E5" w:rsidRDefault="007F45E5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62E" w:rsidRDefault="00247714" w:rsidP="00A006D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C56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562E" w:rsidRDefault="00247714" w:rsidP="00A006DA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7C56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562E" w:rsidRDefault="007C562E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62E" w:rsidRDefault="00247714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7C562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1C38">
      <w:rPr>
        <w:rStyle w:val="PageNumber"/>
        <w:noProof/>
      </w:rPr>
      <w:t>1</w:t>
    </w:r>
    <w:r>
      <w:rPr>
        <w:rStyle w:val="PageNumber"/>
      </w:rPr>
      <w:fldChar w:fldCharType="end"/>
    </w:r>
  </w:p>
  <w:p w:rsidR="007C562E" w:rsidRDefault="002D1C38" w:rsidP="002D1C38">
    <w:pPr>
      <w:pStyle w:val="Footer"/>
      <w:tabs>
        <w:tab w:val="clear" w:pos="9360"/>
        <w:tab w:val="left" w:pos="4680"/>
      </w:tabs>
      <w:ind w:firstLine="360"/>
    </w:pPr>
    <w:r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-447675</wp:posOffset>
          </wp:positionH>
          <wp:positionV relativeFrom="paragraph">
            <wp:posOffset>-457200</wp:posOffset>
          </wp:positionV>
          <wp:extent cx="7543800" cy="1076325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771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21pt;margin-top:-16.5pt;width:107.15pt;height:23.25pt;z-index:251662336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CUSnXN8AAAAL&#10;AQAADwAAAGRycy9kb3ducmV2LnhtbEyPzU7DMBCE70h9B2uRuLV2ov4lxKkqEFcQpSBxc+NtEhGv&#10;o9htwtuznOC2uzOa/abYTa4TVxxC60lDslAgkCpvW6o1HN+e5lsQIRqypvOEGr4xwK6c3RQmt36k&#10;V7weYi04hEJuNDQx9rmUoWrQmbDwPRJrZz84E3kdamkHM3K462Sq1Fo60xJ/aEyPDw1WX4eL0/D+&#10;fP78WKqX+tGt+tFPSpLLpNZ3t9P+HkTEKf6Z4Ref0aFkppO/kA2i0zDPlhlbeVhvuRQ70mSTgjjx&#10;JVkpkGUh/3cofwA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AJRKdc3wAAAAsBAAAP&#10;AAAAAAAAAAAAAAAAAM8EAABkcnMvZG93bnJldi54bWxQSwUGAAAAAAQABADzAAAA2wUAAAAA&#10;" filled="f" stroked="f">
          <v:textbox style="mso-next-textbox:#Text Box 5">
            <w:txbxContent>
              <w:p w:rsidR="007C562E" w:rsidRDefault="007C562E" w:rsidP="001964D0">
                <w:pPr>
                  <w:bidi/>
                  <w:rPr>
                    <w:rtl/>
                  </w:rPr>
                </w:pPr>
                <w:r w:rsidRPr="009B7F79">
                  <w:rPr>
                    <w:rFonts w:hint="cs"/>
                    <w:b/>
                    <w:bCs/>
                    <w:rtl/>
                  </w:rPr>
                  <w:t>التاريخ</w:t>
                </w:r>
                <w:r>
                  <w:t>:</w:t>
                </w:r>
                <w:r>
                  <w:rPr>
                    <w:rFonts w:hint="cs"/>
                    <w:rtl/>
                  </w:rPr>
                  <w:t xml:space="preserve"> </w:t>
                </w:r>
                <w:r w:rsidR="001964D0">
                  <w:rPr>
                    <w:rFonts w:hint="cs"/>
                    <w:rtl/>
                  </w:rPr>
                  <w:t>19</w:t>
                </w:r>
                <w:r>
                  <w:rPr>
                    <w:rFonts w:hint="cs"/>
                    <w:rtl/>
                  </w:rPr>
                  <w:t>/</w:t>
                </w:r>
                <w:r w:rsidR="001964D0">
                  <w:rPr>
                    <w:rFonts w:hint="cs"/>
                    <w:rtl/>
                  </w:rPr>
                  <w:t>10</w:t>
                </w:r>
                <w:r>
                  <w:rPr>
                    <w:rFonts w:hint="cs"/>
                    <w:rtl/>
                  </w:rPr>
                  <w:t>/2017</w:t>
                </w:r>
              </w:p>
              <w:p w:rsidR="002D1C38" w:rsidRDefault="002D1C38"/>
            </w:txbxContent>
          </v:textbox>
        </v:shape>
      </w:pic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5E5" w:rsidRDefault="007F45E5" w:rsidP="0089530C">
      <w:r>
        <w:separator/>
      </w:r>
    </w:p>
  </w:footnote>
  <w:footnote w:type="continuationSeparator" w:id="0">
    <w:p w:rsidR="007F45E5" w:rsidRDefault="007F45E5" w:rsidP="0089530C">
      <w:r>
        <w:continuationSeparator/>
      </w:r>
    </w:p>
  </w:footnote>
  <w:footnote w:id="1">
    <w:p w:rsidR="007C562E" w:rsidRDefault="007C562E" w:rsidP="00FB52CA">
      <w:pPr>
        <w:pStyle w:val="FootnoteText"/>
        <w:jc w:val="lowKashida"/>
        <w:rPr>
          <w:rFonts w:hint="cs"/>
          <w:rtl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62E" w:rsidRDefault="007C562E" w:rsidP="009B7F79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-495300</wp:posOffset>
          </wp:positionH>
          <wp:positionV relativeFrom="paragraph">
            <wp:posOffset>-326390</wp:posOffset>
          </wp:positionV>
          <wp:extent cx="7591425" cy="1333500"/>
          <wp:effectExtent l="1905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CBS+Census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7714">
      <w:rPr>
        <w:noProof/>
      </w:rPr>
      <w:pict>
        <v:rect id="Rectangle 2" o:spid="_x0000_s4099" style="position:absolute;margin-left:-35pt;margin-top:-17.1pt;width:84.05pt;height:107.85pt;z-index:251665408;visibility:visible;mso-position-horizontal-relative:text;mso-position-vertical-relative:text;mso-width-relative:margin;mso-height-relative:margin;v-text-anchor:middl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UFioQCAABdBQAADgAAAGRycy9lMm9Eb2MueG1srFRbT9swFH6ftP9g+X0kKW0ZESmqijpNQoCA&#10;iWfj2E0k28ez3abdr9+xkwYGaA/T+uDa5/KdS75zLi73WpGdcL4FU9HiJKdEGA51azYV/fG4/vKV&#10;Eh+YqZkCIyp6EJ5eLj5/uuhsKSbQgKqFIwhifNnZijYh2DLLPG+EZv4ErDColOA0C/h0m6x2rEN0&#10;rbJJns+zDlxtHXDhPUqveiVdJHwpBQ+3UnoRiKoo5hbS6dL5HM9sccHKjWO2afmQBvuHLDRrDQYd&#10;oa5YYGTr2ndQuuUOPMhwwkFnIGXLRaoBqynyN9U8NMyKVAs2x9uxTf7/wfKb3Z0jbV3RCSWGafxE&#10;99g0ZjZKkElsT2d9iVYP9s4NL4/XWOteOh3/sQqyTy09jC0V+0A4Cot8fjY9nVHCUVeczs/n57OI&#10;mr24W+fDNwGaxEtFHYZPrWS7ax9606NJjGZg3SqFclYq84cAMaMkixn3OaZbOCjRW98LiaViVpMU&#10;IJFMrJQjO4b0YJwLE4pe1bBa9OJZjr8h5dEjFaAMAkZkiQmN2ANAJPB77L6cwT66isTR0Tn/W2K9&#10;8+iRIoMJo7NuDbiPABRWNUTu7Y9N6lsTu/QM9QGJ4KCfEG/5usXPcc18uGMORwKHB8c83OIhFXQV&#10;heFGSQPu10fyaI9MRS0lHY5YRf3PLXOCEvXdIIfPi+k0zmR6TGdnE3y415rn1xqz1SvAz1TgQrE8&#10;XaN9UMerdKCfcBssY1RUMcMxdkV5cMfHKvSjj/uEi+UymeEcWhauzYPlETx2NdLtcf/EnB04GZDO&#10;N3AcR1a+oWZvGz0NLLcBZJt4+9LXod84w4k4w76JS+L1O1m9bMXFbwAAAP//AwBQSwMEFAAGAAgA&#10;AAAhANmRMY/fAAAACgEAAA8AAABkcnMvZG93bnJldi54bWxMj8tOwzAQRfdI/IM1SOxaJ+UVQpwK&#10;kBBCXSAK7B17mkTE4yh2Hv17hlXZzWiO7pxbbBfXiQmH0HpSkK4TEEjG25ZqBV+fL6sMRIiarO48&#10;oYIjBtiW52eFzq2f6QOnfawFh1DItYImxj6XMpgGnQ5r3yPx7eAHpyOvQy3toGcOd53cJMmtdLol&#10;/tDoHp8bND/70Sn49oen2ZmK3qbjezu+7gZjsp1SlxfL4wOIiEs8wfCnz+pQslPlR7JBdApWdwl3&#10;iTxcXW9AMHGfpSAqJrP0BmRZyP8Vyl8AAAD//wMAUEsBAi0AFAAGAAgAAAAhAOSZw8D7AAAA4QEA&#10;ABMAAAAAAAAAAAAAAAAAAAAAAFtDb250ZW50X1R5cGVzXS54bWxQSwECLQAUAAYACAAAACEAI7Jq&#10;4dcAAACUAQAACwAAAAAAAAAAAAAAAAAsAQAAX3JlbHMvLnJlbHNQSwECLQAUAAYACAAAACEAiOUF&#10;ioQCAABdBQAADgAAAAAAAAAAAAAAAAAsAgAAZHJzL2Uyb0RvYy54bWxQSwECLQAUAAYACAAAACEA&#10;2ZExj98AAAAKAQAADwAAAAAAAAAAAAAAAADcBAAAZHJzL2Rvd25yZXYueG1sUEsFBgAAAAAEAAQA&#10;8wAAAOgFAAAAAA==&#10;" filled="f" stroked="f" strokeweight="1pt">
          <w10:wrap type="tight"/>
        </v:rect>
      </w:pict>
    </w:r>
    <w:r w:rsidR="00247714">
      <w:rPr>
        <w:noProof/>
      </w:rPr>
      <w:pict>
        <v:rect id="Rectangle 1" o:spid="_x0000_s4098" style="position:absolute;margin-left:-34.75pt;margin-top:-26pt;width:83.35pt;height:126pt;z-index:251660288;visibility:visible;mso-position-horizontal-relative:text;mso-position-vertical-relative:text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R++4ACAABdBQAADgAAAGRycy9lMm9Eb2MueG1srFRbT9swFH6ftP9g+X0kqVoGESmqQEyTECBg&#10;4tk4dhPJ9vFst2n363dsp4EB2sO0PDj2uXzn4u/47HynFdkK53swDa2OSkqE4dD2Zt3QH49XX04o&#10;8YGZlikwoqF74en58vOns8HWYgYdqFY4giDG14NtaBeCrYvC805o5o/ACoNKCU6zgEe3LlrHBkTX&#10;qpiV5XExgGutAy68R+llVtJlwpdS8HArpReBqIZibiGtLq3PcS2WZ6xeO2a7no9psH/IQrPeYNAJ&#10;6pIFRjaufwele+7AgwxHHHQBUvZcpBqwmqp8U81Dx6xItWBzvJ3a5P8fLL/Z3jnSt3h3lBim8Yru&#10;sWnMrJUgVWzPYH2NVg/2zo0nj9tY6046Hf9YBdmllu6nlopdIByFVbk4WcwXlHDUVcdliZcWUYsX&#10;d+t8+CZAk7hpqMPwqZVse+1DNj2YxGgGrnqlUM5qZf4QIGaUFDHjnGPahb0S2fpeSCwVs5qlAIlk&#10;4kI5smVID8a5MKHKqo61IosXJX5jypNHKkAZBIzIEhOasEeASOD32Lmc0T66isTRybn8W2LZefJI&#10;kcGEyVn3BtxHAAqrGiNn+0OTcmtil56h3SMRHOQJ8ZZf9Xgd18yHO+ZwJHB4cMzDLS5SwdBQGHeU&#10;dOB+fSSP9shU1FIy4Ig11P/cMCcoUd8Ncvi0ms/jTKbDfPF1hgf3WvP8WmM2+gLwmpCnmF3aRvug&#10;DlvpQD/ha7CKUVHFDMfYDeXBHQ4XIY8+vidcrFbJDOfQsnBtHiyP4LGrkW6Puyfm7MjJgHS+gcM4&#10;svoNNbNt9DSw2gSQfeLtS1/HfuMMJ+KM7018JF6fk9XLq7j8DQAA//8DAFBLAwQUAAYACAAAACEA&#10;HVrzVt4AAAAKAQAADwAAAGRycy9kb3ducmV2LnhtbEyPTUvDQBCG74L/YRnBW7sx0Nqm2RQVRKQH&#10;sep9sztNQrOzIbv56L93PNnbvMzD+5HvZ9eKEfvQeFLwsExAIBlvG6oUfH+9LjYgQtRkdesJFVww&#10;wL64vcl1Zv1EnzgeYyXYhEKmFdQxdpmUwdTodFj6Dol/J987HVn2lbS9ntjctTJNkrV0uiFOqHWH&#10;LzWa83FwCn786XlypqT38fLRDG+H3pjNQan7u/lpByLiHP9h+KvP1aHgTqUfyAbRKlistytG+Vil&#10;PIqJ7WMKolTAuQnIIpfXE4pfAAAA//8DAFBLAQItABQABgAIAAAAIQDkmcPA+wAAAOEBAAATAAAA&#10;AAAAAAAAAAAAAAAAAABbQ29udGVudF9UeXBlc10ueG1sUEsBAi0AFAAGAAgAAAAhACOyauHXAAAA&#10;lAEAAAsAAAAAAAAAAAAAAAAALAEAAF9yZWxzLy5yZWxzUEsBAi0AFAAGAAgAAAAhALW0fvuAAgAA&#10;XQUAAA4AAAAAAAAAAAAAAAAALAIAAGRycy9lMm9Eb2MueG1sUEsBAi0AFAAGAAgAAAAhAB1a81be&#10;AAAACgEAAA8AAAAAAAAAAAAAAAAA2AQAAGRycy9kb3ducmV2LnhtbFBLBQYAAAAABAAEAPMAAADj&#10;BQAAAAA=&#10;" filled="f" stroked="f" strokeweight="1pt">
          <w10:wrap type="square"/>
        </v:rect>
      </w:pict>
    </w:r>
  </w:p>
  <w:p w:rsidR="007C562E" w:rsidRDefault="007C562E" w:rsidP="009B7F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E0DF7"/>
    <w:multiLevelType w:val="hybridMultilevel"/>
    <w:tmpl w:val="71B0E622"/>
    <w:lvl w:ilvl="0" w:tplc="B26680B0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266B5"/>
    <w:rsid w:val="000409F9"/>
    <w:rsid w:val="00066B9A"/>
    <w:rsid w:val="000753B8"/>
    <w:rsid w:val="000A62DF"/>
    <w:rsid w:val="000B0833"/>
    <w:rsid w:val="000B171B"/>
    <w:rsid w:val="000F0A69"/>
    <w:rsid w:val="000F2B27"/>
    <w:rsid w:val="000F44DB"/>
    <w:rsid w:val="001070A1"/>
    <w:rsid w:val="001156C2"/>
    <w:rsid w:val="00133A6B"/>
    <w:rsid w:val="00164DF7"/>
    <w:rsid w:val="00180D60"/>
    <w:rsid w:val="00183FC3"/>
    <w:rsid w:val="001964D0"/>
    <w:rsid w:val="00197130"/>
    <w:rsid w:val="001A538A"/>
    <w:rsid w:val="0020755C"/>
    <w:rsid w:val="00215983"/>
    <w:rsid w:val="00216A88"/>
    <w:rsid w:val="00247714"/>
    <w:rsid w:val="002662AF"/>
    <w:rsid w:val="00272785"/>
    <w:rsid w:val="00273925"/>
    <w:rsid w:val="00281C92"/>
    <w:rsid w:val="00284451"/>
    <w:rsid w:val="002A334A"/>
    <w:rsid w:val="002B1856"/>
    <w:rsid w:val="002C2373"/>
    <w:rsid w:val="002D1C38"/>
    <w:rsid w:val="002D2E6B"/>
    <w:rsid w:val="003261C5"/>
    <w:rsid w:val="00332C2B"/>
    <w:rsid w:val="00336377"/>
    <w:rsid w:val="0034382A"/>
    <w:rsid w:val="00344B51"/>
    <w:rsid w:val="00346CBA"/>
    <w:rsid w:val="003567A3"/>
    <w:rsid w:val="003717C5"/>
    <w:rsid w:val="00373661"/>
    <w:rsid w:val="00374B91"/>
    <w:rsid w:val="003B68AD"/>
    <w:rsid w:val="003C749E"/>
    <w:rsid w:val="003D15F4"/>
    <w:rsid w:val="003E6EF8"/>
    <w:rsid w:val="00403249"/>
    <w:rsid w:val="0043166F"/>
    <w:rsid w:val="00432498"/>
    <w:rsid w:val="004342CD"/>
    <w:rsid w:val="0043593A"/>
    <w:rsid w:val="00441BA1"/>
    <w:rsid w:val="0047198E"/>
    <w:rsid w:val="004878F9"/>
    <w:rsid w:val="004879CD"/>
    <w:rsid w:val="00491506"/>
    <w:rsid w:val="004A7EF8"/>
    <w:rsid w:val="004C5387"/>
    <w:rsid w:val="004D61A9"/>
    <w:rsid w:val="004E147E"/>
    <w:rsid w:val="004E20E3"/>
    <w:rsid w:val="004F6543"/>
    <w:rsid w:val="00501806"/>
    <w:rsid w:val="00506AD9"/>
    <w:rsid w:val="00544D02"/>
    <w:rsid w:val="00555B1C"/>
    <w:rsid w:val="005819A9"/>
    <w:rsid w:val="005B7152"/>
    <w:rsid w:val="00606C0A"/>
    <w:rsid w:val="006604BA"/>
    <w:rsid w:val="006A5C89"/>
    <w:rsid w:val="006B3767"/>
    <w:rsid w:val="006D14D3"/>
    <w:rsid w:val="006F3D1E"/>
    <w:rsid w:val="006F4D70"/>
    <w:rsid w:val="00703C98"/>
    <w:rsid w:val="00716017"/>
    <w:rsid w:val="00717991"/>
    <w:rsid w:val="007230D4"/>
    <w:rsid w:val="00731C12"/>
    <w:rsid w:val="0073710E"/>
    <w:rsid w:val="007441E1"/>
    <w:rsid w:val="00756231"/>
    <w:rsid w:val="00787D17"/>
    <w:rsid w:val="00791F9B"/>
    <w:rsid w:val="007C562E"/>
    <w:rsid w:val="007D3C37"/>
    <w:rsid w:val="007E4D45"/>
    <w:rsid w:val="007E5AC9"/>
    <w:rsid w:val="007F45E5"/>
    <w:rsid w:val="007F7D6B"/>
    <w:rsid w:val="008039B5"/>
    <w:rsid w:val="00825D5E"/>
    <w:rsid w:val="00880E5E"/>
    <w:rsid w:val="008813B3"/>
    <w:rsid w:val="0089530C"/>
    <w:rsid w:val="008A456C"/>
    <w:rsid w:val="008D58E6"/>
    <w:rsid w:val="0091136C"/>
    <w:rsid w:val="00927B97"/>
    <w:rsid w:val="0094463A"/>
    <w:rsid w:val="00947D6F"/>
    <w:rsid w:val="009709C5"/>
    <w:rsid w:val="00990944"/>
    <w:rsid w:val="00992EB1"/>
    <w:rsid w:val="009B2B6C"/>
    <w:rsid w:val="009B7F79"/>
    <w:rsid w:val="009C1A1C"/>
    <w:rsid w:val="009F77D0"/>
    <w:rsid w:val="00A006DA"/>
    <w:rsid w:val="00A06ACF"/>
    <w:rsid w:val="00A0752E"/>
    <w:rsid w:val="00A21B0D"/>
    <w:rsid w:val="00A23E11"/>
    <w:rsid w:val="00A4144E"/>
    <w:rsid w:val="00A50D03"/>
    <w:rsid w:val="00AA04B1"/>
    <w:rsid w:val="00AA1D2C"/>
    <w:rsid w:val="00AB032B"/>
    <w:rsid w:val="00AB13D4"/>
    <w:rsid w:val="00AC5EC2"/>
    <w:rsid w:val="00AE6ED6"/>
    <w:rsid w:val="00B061F6"/>
    <w:rsid w:val="00B11935"/>
    <w:rsid w:val="00B22DC5"/>
    <w:rsid w:val="00B35121"/>
    <w:rsid w:val="00B9409D"/>
    <w:rsid w:val="00BA70A6"/>
    <w:rsid w:val="00BC4AED"/>
    <w:rsid w:val="00C10666"/>
    <w:rsid w:val="00C3049D"/>
    <w:rsid w:val="00C5300C"/>
    <w:rsid w:val="00C73AB4"/>
    <w:rsid w:val="00C76741"/>
    <w:rsid w:val="00C82E36"/>
    <w:rsid w:val="00C8412C"/>
    <w:rsid w:val="00D03463"/>
    <w:rsid w:val="00D257CE"/>
    <w:rsid w:val="00D50CEE"/>
    <w:rsid w:val="00D84F6F"/>
    <w:rsid w:val="00DD710B"/>
    <w:rsid w:val="00DE34F8"/>
    <w:rsid w:val="00DF1948"/>
    <w:rsid w:val="00E316C4"/>
    <w:rsid w:val="00E76D45"/>
    <w:rsid w:val="00E941B0"/>
    <w:rsid w:val="00EA0E55"/>
    <w:rsid w:val="00EB5456"/>
    <w:rsid w:val="00ED290A"/>
    <w:rsid w:val="00EE0530"/>
    <w:rsid w:val="00F21F96"/>
    <w:rsid w:val="00F25427"/>
    <w:rsid w:val="00F3352D"/>
    <w:rsid w:val="00F45F27"/>
    <w:rsid w:val="00F56F30"/>
    <w:rsid w:val="00F670EB"/>
    <w:rsid w:val="00F9284D"/>
    <w:rsid w:val="00F94BCC"/>
    <w:rsid w:val="00F95073"/>
    <w:rsid w:val="00FA2CE0"/>
    <w:rsid w:val="00FA594F"/>
    <w:rsid w:val="00FA635A"/>
    <w:rsid w:val="00FB52CA"/>
    <w:rsid w:val="00FD1826"/>
    <w:rsid w:val="00FF6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9">
    <w:name w:val="heading 9"/>
    <w:basedOn w:val="Normal"/>
    <w:next w:val="Normal"/>
    <w:link w:val="Heading9Char"/>
    <w:qFormat/>
    <w:rsid w:val="003567A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  <w:jc w:val="center"/>
      <w:outlineLvl w:val="8"/>
    </w:pPr>
    <w:rPr>
      <w:rFonts w:ascii="Times New Roman" w:eastAsia="Times New Roman" w:hAnsi="Times New Roman" w:cs="Simplified Arabic"/>
      <w:b/>
      <w:bCs/>
      <w:noProof/>
      <w:color w:val="auto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styleId="BodyText2">
    <w:name w:val="Body Text 2"/>
    <w:basedOn w:val="Normal"/>
    <w:link w:val="BodyText2Char"/>
    <w:uiPriority w:val="99"/>
    <w:unhideWhenUsed/>
    <w:rsid w:val="00491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491506"/>
    <w:rPr>
      <w:rFonts w:ascii="Times New Roman" w:eastAsia="Times New Roman" w:hAnsi="Times New Roman" w:cs="Times New Roman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2B18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1856"/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FootnoteText">
    <w:name w:val="footnote text"/>
    <w:basedOn w:val="Normal"/>
    <w:link w:val="FootnoteTextChar"/>
    <w:semiHidden/>
    <w:rsid w:val="002B1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1856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semiHidden/>
    <w:rsid w:val="002B1856"/>
    <w:rPr>
      <w:vertAlign w:val="superscript"/>
    </w:rPr>
  </w:style>
  <w:style w:type="character" w:styleId="Hyperlink">
    <w:name w:val="Hyperlink"/>
    <w:uiPriority w:val="99"/>
    <w:unhideWhenUsed/>
    <w:rsid w:val="002B18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8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56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DF19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basedOn w:val="DefaultParagraphFont"/>
    <w:link w:val="Heading9"/>
    <w:rsid w:val="003567A3"/>
    <w:rPr>
      <w:rFonts w:ascii="Times New Roman" w:eastAsia="Times New Roman" w:hAnsi="Times New Roman" w:cs="Simplified Arabic"/>
      <w:b/>
      <w:bCs/>
      <w:noProof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5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6166854143232129"/>
          <c:y val="7.6477005591692349E-2"/>
          <c:w val="0.78409039779118561"/>
          <c:h val="0.71827684582905349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12699">
              <a:solidFill>
                <a:srgbClr val="000080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5.2706510046900003E-2"/>
                  <c:y val="-9.0036745406824228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b="1"/>
                  </a:pPr>
                  <a:endParaRPr lang="ar-SA"/>
                </a:p>
              </c:txPr>
              <c:dLblPos val="r"/>
              <c:showVal val="1"/>
            </c:dLbl>
            <c:dLbl>
              <c:idx val="8"/>
              <c:layout>
                <c:manualLayout>
                  <c:x val="-2.7329288756938172E-2"/>
                  <c:y val="-9.3241149734332091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b="1"/>
                  </a:pPr>
                  <a:endParaRPr lang="ar-SA"/>
                </a:p>
              </c:txPr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Sheet1!$B$1:$J$1</c:f>
              <c:strCache>
                <c:ptCount val="9"/>
                <c:pt idx="0">
                  <c:v>الربع الثالث 2015</c:v>
                </c:pt>
                <c:pt idx="1">
                  <c:v>الربع الرابع 2015</c:v>
                </c:pt>
                <c:pt idx="2">
                  <c:v>الربع الأول 2016</c:v>
                </c:pt>
                <c:pt idx="3">
                  <c:v>الربع الثاني 2016</c:v>
                </c:pt>
                <c:pt idx="4">
                  <c:v>الربع الثالث 2016</c:v>
                </c:pt>
                <c:pt idx="5">
                  <c:v>الربع الرابع 2016</c:v>
                </c:pt>
                <c:pt idx="6">
                  <c:v>الربع الأول 2017</c:v>
                </c:pt>
                <c:pt idx="7">
                  <c:v>الربع الثاني 2017</c:v>
                </c:pt>
                <c:pt idx="8">
                  <c:v>الربع الثالث 2017</c:v>
                </c:pt>
              </c:strCache>
            </c:strRef>
          </c:cat>
          <c:val>
            <c:numRef>
              <c:f>Sheet1!$B$2:$J$2</c:f>
              <c:numCache>
                <c:formatCode>0.00</c:formatCode>
                <c:ptCount val="9"/>
                <c:pt idx="0">
                  <c:v>125.44000000000013</c:v>
                </c:pt>
                <c:pt idx="1">
                  <c:v>124.98</c:v>
                </c:pt>
                <c:pt idx="2">
                  <c:v>123.84</c:v>
                </c:pt>
                <c:pt idx="3">
                  <c:v>125.09</c:v>
                </c:pt>
                <c:pt idx="4">
                  <c:v>128.26</c:v>
                </c:pt>
                <c:pt idx="5">
                  <c:v>125.33</c:v>
                </c:pt>
                <c:pt idx="6">
                  <c:v>125.82</c:v>
                </c:pt>
                <c:pt idx="7">
                  <c:v>122</c:v>
                </c:pt>
                <c:pt idx="8">
                  <c:v>124.50937714724036</c:v>
                </c:pt>
              </c:numCache>
            </c:numRef>
          </c:val>
        </c:ser>
        <c:marker val="1"/>
        <c:axId val="130597248"/>
        <c:axId val="130598784"/>
      </c:lineChart>
      <c:catAx>
        <c:axId val="130597248"/>
        <c:scaling>
          <c:orientation val="minMax"/>
        </c:scaling>
        <c:axPos val="b"/>
        <c:numFmt formatCode="General" sourceLinked="1"/>
        <c:minorTickMark val="out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ar-SA"/>
          </a:p>
        </c:txPr>
        <c:crossAx val="130598784"/>
        <c:crosses val="autoZero"/>
        <c:auto val="1"/>
        <c:lblAlgn val="ctr"/>
        <c:lblOffset val="100"/>
        <c:tickLblSkip val="2"/>
        <c:tickMarkSkip val="2"/>
      </c:catAx>
      <c:valAx>
        <c:axId val="130598784"/>
        <c:scaling>
          <c:orientation val="minMax"/>
          <c:max val="130"/>
          <c:min val="120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ar-SA"/>
                  <a:t>الرقم القياسي لأسعار الجملة  </a:t>
                </a:r>
                <a:r>
                  <a:rPr lang="en-US"/>
                  <a:t>WPI)</a:t>
                </a:r>
                <a:r>
                  <a:rPr lang="ar-SA"/>
                  <a:t>)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"/>
              <c:y val="0.16700125527787305"/>
            </c:manualLayout>
          </c:layout>
          <c:spPr>
            <a:noFill/>
            <a:ln w="25399">
              <a:noFill/>
            </a:ln>
          </c:spPr>
        </c:title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ar-SA"/>
          </a:p>
        </c:txPr>
        <c:crossAx val="130597248"/>
        <c:crosses val="autoZero"/>
        <c:crossBetween val="between"/>
        <c:majorUnit val="2"/>
      </c:valAx>
      <c:spPr>
        <a:noFill/>
        <a:ln w="25399">
          <a:noFill/>
        </a:ln>
      </c:spPr>
    </c:plotArea>
    <c:plotVisOnly val="1"/>
    <c:dispBlanksAs val="gap"/>
  </c:chart>
  <c:spPr>
    <a:noFill/>
    <a:ln w="6350" cap="flat" cmpd="sng" algn="ctr">
      <a:noFill/>
      <a:prstDash val="solid"/>
      <a:miter lim="800000"/>
      <a:headEnd type="none" w="med" len="med"/>
      <a:tailEnd type="none" w="med" len="me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 pitchFamily="34" charset="0"/>
          <a:ea typeface="Calibri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2</cp:revision>
  <cp:lastPrinted>2017-10-10T04:59:00Z</cp:lastPrinted>
  <dcterms:created xsi:type="dcterms:W3CDTF">2017-10-18T06:05:00Z</dcterms:created>
  <dcterms:modified xsi:type="dcterms:W3CDTF">2017-10-18T06:05:00Z</dcterms:modified>
</cp:coreProperties>
</file>