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5B" w:rsidRDefault="003E265B" w:rsidP="003E265B">
      <w:pPr>
        <w:jc w:val="center"/>
        <w:rPr>
          <w:rFonts w:ascii="Simplified Arabic" w:hAnsi="Simplified Arabic" w:cs="Simplified Arabic"/>
          <w:b/>
          <w:bCs/>
          <w:sz w:val="26"/>
          <w:szCs w:val="26"/>
          <w:rtl/>
        </w:rPr>
      </w:pPr>
    </w:p>
    <w:p w:rsidR="003E265B" w:rsidRPr="003E265B" w:rsidRDefault="003E265B" w:rsidP="003E265B">
      <w:pPr>
        <w:jc w:val="center"/>
        <w:rPr>
          <w:rFonts w:ascii="Simplified Arabic" w:hAnsi="Simplified Arabic" w:cs="Simplified Arabic"/>
          <w:b/>
          <w:bCs/>
          <w:sz w:val="26"/>
          <w:szCs w:val="26"/>
          <w:rtl/>
        </w:rPr>
      </w:pPr>
    </w:p>
    <w:p w:rsidR="003E265B" w:rsidRPr="003E265B" w:rsidRDefault="003E265B" w:rsidP="003E265B">
      <w:pPr>
        <w:jc w:val="center"/>
        <w:rPr>
          <w:rFonts w:ascii="Simplified Arabic" w:hAnsi="Simplified Arabic" w:cs="Simplified Arabic"/>
          <w:b/>
          <w:bCs/>
          <w:sz w:val="30"/>
          <w:szCs w:val="30"/>
          <w:rtl/>
        </w:rPr>
      </w:pPr>
      <w:r w:rsidRPr="003E265B">
        <w:rPr>
          <w:rFonts w:ascii="Simplified Arabic" w:hAnsi="Simplified Arabic" w:cs="Simplified Arabic"/>
          <w:b/>
          <w:bCs/>
          <w:sz w:val="30"/>
          <w:szCs w:val="30"/>
          <w:rtl/>
        </w:rPr>
        <w:t>الإحصاء الفلسطيني يصدر بياناً صحفياً بمناسبة اليوم العالمي للاشخاص ذوي الاعاقة، 03/12/2020</w:t>
      </w:r>
    </w:p>
    <w:p w:rsidR="003E265B" w:rsidRPr="003E265B" w:rsidRDefault="003E265B" w:rsidP="003E265B">
      <w:pPr>
        <w:jc w:val="center"/>
        <w:rPr>
          <w:rFonts w:ascii="Simplified Arabic" w:hAnsi="Simplified Arabic" w:cs="Simplified Arabic"/>
          <w:sz w:val="16"/>
          <w:szCs w:val="16"/>
          <w:rtl/>
        </w:rPr>
      </w:pPr>
    </w:p>
    <w:p w:rsidR="003E265B" w:rsidRPr="003E265B" w:rsidRDefault="003E265B" w:rsidP="003E265B">
      <w:pPr>
        <w:pStyle w:val="BodyText"/>
        <w:jc w:val="mediumKashida"/>
        <w:rPr>
          <w:rFonts w:ascii="Simplified Arabic" w:hAnsi="Simplified Arabic"/>
          <w:b/>
          <w:bCs/>
          <w:sz w:val="16"/>
          <w:szCs w:val="16"/>
          <w:rtl/>
        </w:rPr>
      </w:pPr>
      <w:r w:rsidRPr="003E265B">
        <w:rPr>
          <w:rFonts w:ascii="Simplified Arabic" w:hAnsi="Simplified Arabic"/>
          <w:snapToGrid/>
          <w:sz w:val="26"/>
          <w:szCs w:val="26"/>
          <w:rtl/>
          <w:lang w:eastAsia="ar-SA"/>
        </w:rPr>
        <w:t>في الثالث من ديسمبر من كل عام تحتفل كافة دول العالم بيوم المعاق العالمي، الذي أقرته الأمم المتحدة منذ عام 1992م لدعم الأشخاص ذوي الإعاقة، وتعزيز الوعي المجتمعي بقضاياهم وحقوقهم، والعمل على إدماجهم في جميع جوانب المجتمع، ويجسد شعار هذا العام (يوم للجميع) زيادة فهم الإعاقة باعتبارها جزءا من حال الإنسان</w:t>
      </w:r>
      <w:r w:rsidRPr="003E265B">
        <w:rPr>
          <w:rFonts w:ascii="Simplified Arabic" w:hAnsi="Simplified Arabic"/>
          <w:sz w:val="26"/>
          <w:szCs w:val="26"/>
          <w:shd w:val="clear" w:color="auto" w:fill="FFFFFF"/>
          <w:rtl/>
        </w:rPr>
        <w:t>. وقام الجهاز المركزي للاحصاء الفلسطيني بتسليط الضوء في هذا العام على واقع الأطفال في الفئة العمرية 2-17 سنة الذين لديهم اعاقات من واقع بيانات المسح الفلسطيني العنقودي متعدد المؤشرات 2019-2020.</w:t>
      </w:r>
      <w:r w:rsidRPr="003E265B">
        <w:rPr>
          <w:rFonts w:ascii="Simplified Arabic" w:hAnsi="Simplified Arabic"/>
          <w:sz w:val="26"/>
          <w:szCs w:val="26"/>
        </w:rPr>
        <w:br/>
      </w:r>
    </w:p>
    <w:p w:rsidR="003E265B" w:rsidRPr="003E265B" w:rsidRDefault="003E265B" w:rsidP="003E265B">
      <w:pPr>
        <w:jc w:val="both"/>
        <w:rPr>
          <w:rFonts w:ascii="Simplified Arabic" w:hAnsi="Simplified Arabic" w:cs="Simplified Arabic"/>
          <w:b/>
          <w:bCs/>
          <w:sz w:val="26"/>
          <w:szCs w:val="26"/>
          <w:rtl/>
        </w:rPr>
      </w:pPr>
      <w:r w:rsidRPr="003E265B">
        <w:rPr>
          <w:rFonts w:ascii="Simplified Arabic" w:hAnsi="Simplified Arabic" w:cs="Simplified Arabic"/>
          <w:b/>
          <w:bCs/>
          <w:sz w:val="26"/>
          <w:szCs w:val="26"/>
          <w:rtl/>
        </w:rPr>
        <w:t xml:space="preserve">الاطفال في العمر 2-17 سنة من ذوي الإعاقة </w:t>
      </w:r>
    </w:p>
    <w:p w:rsidR="003E265B" w:rsidRPr="003E265B" w:rsidRDefault="003E265B" w:rsidP="003E265B">
      <w:pPr>
        <w:jc w:val="both"/>
        <w:rPr>
          <w:rFonts w:ascii="Simplified Arabic" w:hAnsi="Simplified Arabic" w:cs="Simplified Arabic"/>
          <w:b/>
          <w:bCs/>
          <w:sz w:val="26"/>
          <w:szCs w:val="26"/>
          <w:rtl/>
        </w:rPr>
      </w:pPr>
      <w:r w:rsidRPr="003E265B">
        <w:rPr>
          <w:rFonts w:ascii="Simplified Arabic" w:hAnsi="Simplified Arabic" w:cs="Simplified Arabic"/>
          <w:sz w:val="26"/>
          <w:szCs w:val="26"/>
          <w:rtl/>
        </w:rPr>
        <w:t>2.4% من الأطفال في الفئة العمرية 2-4 سنوات لديهم إعاقة واحدة على الأقل*, بارتفاع في قطاع غزة مقارنة بالضفة الغربية حيث بلغت حوالي 3% و2% على التوالي. في حين بلغت نسبة الإعاقة حوالي 15% بين الأطفال في الفئة العمرية 5-17 سنة**، بحوالي 17% في الضفة الغربية مقابل حوالي 13% في قطاع غزة.</w:t>
      </w:r>
    </w:p>
    <w:p w:rsidR="003E265B" w:rsidRPr="003E265B" w:rsidRDefault="003E265B" w:rsidP="003E265B">
      <w:pPr>
        <w:jc w:val="both"/>
        <w:rPr>
          <w:rFonts w:ascii="Simplified Arabic" w:hAnsi="Simplified Arabic" w:cs="Simplified Arabic"/>
          <w:b/>
          <w:bCs/>
          <w:sz w:val="16"/>
          <w:szCs w:val="16"/>
          <w:rtl/>
        </w:rPr>
      </w:pPr>
    </w:p>
    <w:p w:rsidR="003E265B" w:rsidRPr="003E265B" w:rsidRDefault="003E265B" w:rsidP="003E265B">
      <w:pPr>
        <w:jc w:val="center"/>
        <w:rPr>
          <w:rFonts w:ascii="Simplified Arabic" w:hAnsi="Simplified Arabic" w:cs="Simplified Arabic"/>
          <w:b/>
          <w:bCs/>
          <w:sz w:val="26"/>
          <w:szCs w:val="26"/>
        </w:rPr>
      </w:pPr>
      <w:r w:rsidRPr="003E265B">
        <w:rPr>
          <w:rFonts w:ascii="Simplified Arabic" w:hAnsi="Simplified Arabic" w:cs="Simplified Arabic"/>
          <w:b/>
          <w:bCs/>
          <w:sz w:val="26"/>
          <w:szCs w:val="26"/>
          <w:rtl/>
        </w:rPr>
        <w:t>نسبة الأطفال من ذوي الإعاقة (2-17 سنة) حسب الفئة العمرية والمنطقة، 2019-2020</w:t>
      </w:r>
    </w:p>
    <w:tbl>
      <w:tblPr>
        <w:tblStyle w:val="LightList-Accent3"/>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90"/>
        <w:gridCol w:w="2214"/>
        <w:gridCol w:w="2690"/>
        <w:gridCol w:w="2690"/>
      </w:tblGrid>
      <w:tr w:rsidR="003E265B" w:rsidRPr="003E265B" w:rsidTr="00CB6BB2">
        <w:trPr>
          <w:cnfStyle w:val="000000100000" w:firstRow="0" w:lastRow="0" w:firstColumn="0" w:lastColumn="0" w:oddVBand="0" w:evenVBand="0" w:oddHBand="1" w:evenHBand="0" w:firstRowFirstColumn="0" w:firstRowLastColumn="0" w:lastRowFirstColumn="0" w:lastRowLastColumn="0"/>
          <w:trHeight w:val="371"/>
          <w:jc w:val="center"/>
        </w:trPr>
        <w:tc>
          <w:tcPr>
            <w:cnfStyle w:val="000010000000" w:firstRow="0" w:lastRow="0" w:firstColumn="0" w:lastColumn="0" w:oddVBand="1" w:evenVBand="0" w:oddHBand="0" w:evenHBand="0" w:firstRowFirstColumn="0" w:firstRowLastColumn="0" w:lastRowFirstColumn="0" w:lastRowLastColumn="0"/>
            <w:tcW w:w="1204" w:type="dxa"/>
            <w:vMerge w:val="restart"/>
            <w:noWrap/>
            <w:vAlign w:val="center"/>
          </w:tcPr>
          <w:p w:rsidR="003E265B" w:rsidRPr="003E265B" w:rsidRDefault="003E265B" w:rsidP="00CB6BB2">
            <w:pPr>
              <w:jc w:val="center"/>
              <w:rPr>
                <w:rFonts w:asciiTheme="majorBidi" w:eastAsia="Arial Unicode MS" w:hAnsiTheme="majorBidi" w:cstheme="majorBidi"/>
                <w:b/>
                <w:bCs/>
                <w:rtl/>
                <w:lang w:eastAsia="en-US"/>
              </w:rPr>
            </w:pPr>
            <w:r w:rsidRPr="003E265B">
              <w:rPr>
                <w:rFonts w:asciiTheme="majorBidi" w:eastAsia="Arial Unicode MS" w:hAnsiTheme="majorBidi" w:cstheme="majorBidi"/>
                <w:b/>
                <w:bCs/>
                <w:rtl/>
                <w:lang w:eastAsia="en-US"/>
              </w:rPr>
              <w:t xml:space="preserve">المنطقة </w:t>
            </w:r>
          </w:p>
        </w:tc>
        <w:tc>
          <w:tcPr>
            <w:tcW w:w="3529" w:type="dxa"/>
            <w:gridSpan w:val="3"/>
            <w:noWrap/>
            <w:vAlign w:val="center"/>
          </w:tcPr>
          <w:p w:rsidR="003E265B" w:rsidRPr="003E265B" w:rsidRDefault="003E265B" w:rsidP="00CB6BB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eastAsia="en-US"/>
              </w:rPr>
            </w:pPr>
            <w:r w:rsidRPr="003E265B">
              <w:rPr>
                <w:rFonts w:asciiTheme="majorBidi" w:hAnsiTheme="majorBidi" w:cstheme="majorBidi"/>
                <w:b/>
                <w:bCs/>
                <w:rtl/>
                <w:lang w:eastAsia="en-US"/>
              </w:rPr>
              <w:t>الفئة العمرية</w:t>
            </w:r>
          </w:p>
        </w:tc>
      </w:tr>
      <w:tr w:rsidR="003E265B" w:rsidRPr="003E265B" w:rsidTr="00CB6BB2">
        <w:trPr>
          <w:trHeight w:val="404"/>
          <w:jc w:val="center"/>
        </w:trPr>
        <w:tc>
          <w:tcPr>
            <w:cnfStyle w:val="000010000000" w:firstRow="0" w:lastRow="0" w:firstColumn="0" w:lastColumn="0" w:oddVBand="1" w:evenVBand="0" w:oddHBand="0" w:evenHBand="0" w:firstRowFirstColumn="0" w:firstRowLastColumn="0" w:lastRowFirstColumn="0" w:lastRowLastColumn="0"/>
            <w:tcW w:w="1204" w:type="dxa"/>
            <w:vMerge/>
            <w:noWrap/>
            <w:vAlign w:val="center"/>
          </w:tcPr>
          <w:p w:rsidR="003E265B" w:rsidRPr="003E265B" w:rsidRDefault="003E265B" w:rsidP="00CB6BB2">
            <w:pPr>
              <w:jc w:val="center"/>
              <w:rPr>
                <w:rFonts w:asciiTheme="majorBidi" w:eastAsia="Arial Unicode MS" w:hAnsiTheme="majorBidi" w:cstheme="majorBidi"/>
                <w:b/>
                <w:bCs/>
                <w:lang w:eastAsia="en-US"/>
              </w:rPr>
            </w:pPr>
          </w:p>
        </w:tc>
        <w:tc>
          <w:tcPr>
            <w:tcW w:w="1029" w:type="dxa"/>
            <w:noWrap/>
            <w:vAlign w:val="center"/>
          </w:tcPr>
          <w:p w:rsidR="003E265B" w:rsidRPr="003E265B" w:rsidRDefault="003E265B" w:rsidP="00CB6BB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eastAsia="en-US"/>
              </w:rPr>
            </w:pPr>
            <w:r w:rsidRPr="003E265B">
              <w:rPr>
                <w:rFonts w:asciiTheme="majorBidi" w:hAnsiTheme="majorBidi" w:cstheme="majorBidi"/>
                <w:b/>
                <w:bCs/>
                <w:rtl/>
                <w:lang w:eastAsia="en-US"/>
              </w:rPr>
              <w:t>2-4 سنوات</w:t>
            </w:r>
          </w:p>
        </w:tc>
        <w:tc>
          <w:tcPr>
            <w:cnfStyle w:val="000010000000" w:firstRow="0" w:lastRow="0" w:firstColumn="0" w:lastColumn="0" w:oddVBand="1" w:evenVBand="0" w:oddHBand="0" w:evenHBand="0" w:firstRowFirstColumn="0" w:firstRowLastColumn="0" w:lastRowFirstColumn="0" w:lastRowLastColumn="0"/>
            <w:tcW w:w="1250" w:type="dxa"/>
            <w:vAlign w:val="center"/>
          </w:tcPr>
          <w:p w:rsidR="003E265B" w:rsidRPr="003E265B" w:rsidRDefault="003E265B" w:rsidP="00CB6BB2">
            <w:pPr>
              <w:jc w:val="center"/>
              <w:rPr>
                <w:rFonts w:asciiTheme="majorBidi" w:hAnsiTheme="majorBidi" w:cstheme="majorBidi"/>
                <w:b/>
                <w:bCs/>
                <w:rtl/>
                <w:lang w:eastAsia="en-US"/>
              </w:rPr>
            </w:pPr>
            <w:r w:rsidRPr="003E265B">
              <w:rPr>
                <w:rFonts w:asciiTheme="majorBidi" w:hAnsiTheme="majorBidi" w:cstheme="majorBidi"/>
                <w:b/>
                <w:bCs/>
                <w:rtl/>
                <w:lang w:eastAsia="en-US"/>
              </w:rPr>
              <w:t>5-17 سنة</w:t>
            </w:r>
          </w:p>
        </w:tc>
        <w:tc>
          <w:tcPr>
            <w:tcW w:w="1250" w:type="dxa"/>
            <w:vAlign w:val="center"/>
          </w:tcPr>
          <w:p w:rsidR="003E265B" w:rsidRPr="003E265B" w:rsidRDefault="003E265B" w:rsidP="00CB6BB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eastAsia="en-US"/>
              </w:rPr>
            </w:pPr>
            <w:r w:rsidRPr="003E265B">
              <w:rPr>
                <w:rFonts w:asciiTheme="majorBidi" w:hAnsiTheme="majorBidi" w:cstheme="majorBidi"/>
                <w:b/>
                <w:bCs/>
                <w:rtl/>
                <w:lang w:eastAsia="en-US"/>
              </w:rPr>
              <w:t>2-17 سنة</w:t>
            </w:r>
          </w:p>
        </w:tc>
      </w:tr>
      <w:tr w:rsidR="003E265B" w:rsidRPr="003E265B" w:rsidTr="00CB6BB2">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0010000000" w:firstRow="0" w:lastRow="0" w:firstColumn="0" w:lastColumn="0" w:oddVBand="1" w:evenVBand="0" w:oddHBand="0" w:evenHBand="0" w:firstRowFirstColumn="0" w:firstRowLastColumn="0" w:lastRowFirstColumn="0" w:lastRowLastColumn="0"/>
            <w:tcW w:w="1204" w:type="dxa"/>
            <w:noWrap/>
            <w:vAlign w:val="center"/>
          </w:tcPr>
          <w:p w:rsidR="003E265B" w:rsidRPr="003E265B" w:rsidRDefault="003E265B" w:rsidP="00CB6BB2">
            <w:pPr>
              <w:ind w:left="113"/>
              <w:rPr>
                <w:rFonts w:asciiTheme="majorBidi" w:hAnsiTheme="majorBidi" w:cstheme="majorBidi"/>
                <w:b/>
                <w:bCs/>
                <w:rtl/>
              </w:rPr>
            </w:pPr>
            <w:r w:rsidRPr="003E265B">
              <w:rPr>
                <w:rFonts w:asciiTheme="majorBidi" w:hAnsiTheme="majorBidi" w:cstheme="majorBidi"/>
                <w:b/>
                <w:bCs/>
                <w:rtl/>
              </w:rPr>
              <w:t>فلسطين</w:t>
            </w:r>
          </w:p>
        </w:tc>
        <w:tc>
          <w:tcPr>
            <w:tcW w:w="1029" w:type="dxa"/>
            <w:noWrap/>
            <w:vAlign w:val="center"/>
          </w:tcPr>
          <w:p w:rsidR="003E265B" w:rsidRPr="003E265B" w:rsidRDefault="003E265B" w:rsidP="00CB6BB2">
            <w:pPr>
              <w:ind w:left="19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JO"/>
              </w:rPr>
            </w:pPr>
            <w:r w:rsidRPr="003E265B">
              <w:rPr>
                <w:rFonts w:asciiTheme="majorBidi" w:hAnsiTheme="majorBidi" w:cstheme="majorBidi"/>
                <w:b/>
                <w:bCs/>
                <w:rtl/>
                <w:lang w:bidi="ar-JO"/>
              </w:rPr>
              <w:t>2.4</w:t>
            </w:r>
          </w:p>
        </w:tc>
        <w:tc>
          <w:tcPr>
            <w:cnfStyle w:val="000010000000" w:firstRow="0" w:lastRow="0" w:firstColumn="0" w:lastColumn="0" w:oddVBand="1" w:evenVBand="0" w:oddHBand="0" w:evenHBand="0" w:firstRowFirstColumn="0" w:firstRowLastColumn="0" w:lastRowFirstColumn="0" w:lastRowLastColumn="0"/>
            <w:tcW w:w="1250" w:type="dxa"/>
            <w:vAlign w:val="center"/>
          </w:tcPr>
          <w:p w:rsidR="003E265B" w:rsidRPr="003E265B" w:rsidRDefault="003E265B" w:rsidP="00CB6BB2">
            <w:pPr>
              <w:ind w:left="194"/>
              <w:jc w:val="center"/>
              <w:rPr>
                <w:rFonts w:asciiTheme="majorBidi" w:hAnsiTheme="majorBidi" w:cstheme="majorBidi"/>
                <w:b/>
                <w:bCs/>
                <w:rtl/>
                <w:lang w:bidi="ar-JO"/>
              </w:rPr>
            </w:pPr>
            <w:r w:rsidRPr="003E265B">
              <w:rPr>
                <w:rFonts w:asciiTheme="majorBidi" w:hAnsiTheme="majorBidi" w:cstheme="majorBidi"/>
                <w:b/>
                <w:bCs/>
                <w:rtl/>
                <w:lang w:bidi="ar-JO"/>
              </w:rPr>
              <w:t>14.9</w:t>
            </w:r>
          </w:p>
        </w:tc>
        <w:tc>
          <w:tcPr>
            <w:tcW w:w="1250" w:type="dxa"/>
            <w:vAlign w:val="center"/>
          </w:tcPr>
          <w:p w:rsidR="003E265B" w:rsidRPr="003E265B" w:rsidRDefault="003E265B" w:rsidP="00CB6BB2">
            <w:pPr>
              <w:ind w:left="19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JO"/>
              </w:rPr>
            </w:pPr>
            <w:r w:rsidRPr="003E265B">
              <w:rPr>
                <w:rFonts w:asciiTheme="majorBidi" w:hAnsiTheme="majorBidi" w:cstheme="majorBidi"/>
                <w:b/>
                <w:bCs/>
                <w:rtl/>
                <w:lang w:bidi="ar-JO"/>
              </w:rPr>
              <w:t>12.3</w:t>
            </w:r>
          </w:p>
        </w:tc>
      </w:tr>
      <w:tr w:rsidR="003E265B" w:rsidRPr="003E265B" w:rsidTr="00CB6BB2">
        <w:trPr>
          <w:trHeight w:hRule="exact" w:val="397"/>
          <w:jc w:val="center"/>
        </w:trPr>
        <w:tc>
          <w:tcPr>
            <w:cnfStyle w:val="000010000000" w:firstRow="0" w:lastRow="0" w:firstColumn="0" w:lastColumn="0" w:oddVBand="1" w:evenVBand="0" w:oddHBand="0" w:evenHBand="0" w:firstRowFirstColumn="0" w:firstRowLastColumn="0" w:lastRowFirstColumn="0" w:lastRowLastColumn="0"/>
            <w:tcW w:w="1204" w:type="dxa"/>
            <w:noWrap/>
            <w:vAlign w:val="center"/>
          </w:tcPr>
          <w:p w:rsidR="003E265B" w:rsidRPr="003E265B" w:rsidRDefault="003E265B" w:rsidP="00CB6BB2">
            <w:pPr>
              <w:ind w:left="113"/>
              <w:rPr>
                <w:rFonts w:asciiTheme="majorBidi" w:hAnsiTheme="majorBidi" w:cstheme="majorBidi"/>
                <w:rtl/>
              </w:rPr>
            </w:pPr>
            <w:r w:rsidRPr="003E265B">
              <w:rPr>
                <w:rFonts w:asciiTheme="majorBidi" w:hAnsiTheme="majorBidi" w:cstheme="majorBidi"/>
                <w:rtl/>
              </w:rPr>
              <w:t>الضفة الغربية</w:t>
            </w:r>
          </w:p>
        </w:tc>
        <w:tc>
          <w:tcPr>
            <w:tcW w:w="1029" w:type="dxa"/>
            <w:noWrap/>
            <w:vAlign w:val="center"/>
          </w:tcPr>
          <w:p w:rsidR="003E265B" w:rsidRPr="003E265B" w:rsidRDefault="003E265B" w:rsidP="00CB6BB2">
            <w:pPr>
              <w:ind w:left="19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sidRPr="003E265B">
              <w:rPr>
                <w:rFonts w:asciiTheme="majorBidi" w:hAnsiTheme="majorBidi" w:cstheme="majorBidi"/>
                <w:rtl/>
                <w:lang w:bidi="ar-JO"/>
              </w:rPr>
              <w:t>2.0</w:t>
            </w:r>
          </w:p>
        </w:tc>
        <w:tc>
          <w:tcPr>
            <w:cnfStyle w:val="000010000000" w:firstRow="0" w:lastRow="0" w:firstColumn="0" w:lastColumn="0" w:oddVBand="1" w:evenVBand="0" w:oddHBand="0" w:evenHBand="0" w:firstRowFirstColumn="0" w:firstRowLastColumn="0" w:lastRowFirstColumn="0" w:lastRowLastColumn="0"/>
            <w:tcW w:w="1250" w:type="dxa"/>
            <w:vAlign w:val="center"/>
          </w:tcPr>
          <w:p w:rsidR="003E265B" w:rsidRPr="003E265B" w:rsidRDefault="003E265B" w:rsidP="00CB6BB2">
            <w:pPr>
              <w:ind w:left="194"/>
              <w:jc w:val="center"/>
              <w:rPr>
                <w:rFonts w:asciiTheme="majorBidi" w:hAnsiTheme="majorBidi" w:cstheme="majorBidi"/>
                <w:rtl/>
                <w:lang w:bidi="ar-JO"/>
              </w:rPr>
            </w:pPr>
            <w:r w:rsidRPr="003E265B">
              <w:rPr>
                <w:rFonts w:asciiTheme="majorBidi" w:hAnsiTheme="majorBidi" w:cstheme="majorBidi"/>
                <w:rtl/>
                <w:lang w:bidi="ar-JO"/>
              </w:rPr>
              <w:t>16.6</w:t>
            </w:r>
          </w:p>
        </w:tc>
        <w:tc>
          <w:tcPr>
            <w:tcW w:w="1250" w:type="dxa"/>
            <w:vAlign w:val="center"/>
          </w:tcPr>
          <w:p w:rsidR="003E265B" w:rsidRPr="003E265B" w:rsidRDefault="003E265B" w:rsidP="00CB6BB2">
            <w:pPr>
              <w:ind w:left="19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sidRPr="003E265B">
              <w:rPr>
                <w:rFonts w:asciiTheme="majorBidi" w:hAnsiTheme="majorBidi" w:cstheme="majorBidi"/>
                <w:rtl/>
                <w:lang w:bidi="ar-JO"/>
              </w:rPr>
              <w:t>13.4</w:t>
            </w:r>
          </w:p>
        </w:tc>
      </w:tr>
      <w:tr w:rsidR="003E265B" w:rsidRPr="003E265B" w:rsidTr="00CB6BB2">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0010000000" w:firstRow="0" w:lastRow="0" w:firstColumn="0" w:lastColumn="0" w:oddVBand="1" w:evenVBand="0" w:oddHBand="0" w:evenHBand="0" w:firstRowFirstColumn="0" w:firstRowLastColumn="0" w:lastRowFirstColumn="0" w:lastRowLastColumn="0"/>
            <w:tcW w:w="1204" w:type="dxa"/>
            <w:noWrap/>
            <w:vAlign w:val="center"/>
          </w:tcPr>
          <w:p w:rsidR="003E265B" w:rsidRPr="003E265B" w:rsidRDefault="003E265B" w:rsidP="00CB6BB2">
            <w:pPr>
              <w:ind w:left="113"/>
              <w:rPr>
                <w:rFonts w:asciiTheme="majorBidi" w:hAnsiTheme="majorBidi" w:cstheme="majorBidi"/>
                <w:rtl/>
              </w:rPr>
            </w:pPr>
            <w:r w:rsidRPr="003E265B">
              <w:rPr>
                <w:rFonts w:asciiTheme="majorBidi" w:hAnsiTheme="majorBidi" w:cstheme="majorBidi"/>
                <w:rtl/>
              </w:rPr>
              <w:t>قطاع غزة</w:t>
            </w:r>
          </w:p>
        </w:tc>
        <w:tc>
          <w:tcPr>
            <w:tcW w:w="1029" w:type="dxa"/>
            <w:noWrap/>
            <w:vAlign w:val="center"/>
          </w:tcPr>
          <w:p w:rsidR="003E265B" w:rsidRPr="003E265B" w:rsidRDefault="003E265B" w:rsidP="00CB6BB2">
            <w:pPr>
              <w:ind w:left="19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JO"/>
              </w:rPr>
            </w:pPr>
            <w:r w:rsidRPr="003E265B">
              <w:rPr>
                <w:rFonts w:asciiTheme="majorBidi" w:hAnsiTheme="majorBidi" w:cstheme="majorBidi"/>
                <w:rtl/>
                <w:lang w:bidi="ar-JO"/>
              </w:rPr>
              <w:t>2.9</w:t>
            </w:r>
          </w:p>
        </w:tc>
        <w:tc>
          <w:tcPr>
            <w:cnfStyle w:val="000010000000" w:firstRow="0" w:lastRow="0" w:firstColumn="0" w:lastColumn="0" w:oddVBand="1" w:evenVBand="0" w:oddHBand="0" w:evenHBand="0" w:firstRowFirstColumn="0" w:firstRowLastColumn="0" w:lastRowFirstColumn="0" w:lastRowLastColumn="0"/>
            <w:tcW w:w="1250" w:type="dxa"/>
            <w:vAlign w:val="center"/>
          </w:tcPr>
          <w:p w:rsidR="003E265B" w:rsidRPr="003E265B" w:rsidRDefault="003E265B" w:rsidP="00CB6BB2">
            <w:pPr>
              <w:ind w:left="194"/>
              <w:jc w:val="center"/>
              <w:rPr>
                <w:rFonts w:asciiTheme="majorBidi" w:hAnsiTheme="majorBidi" w:cstheme="majorBidi"/>
                <w:rtl/>
                <w:lang w:bidi="ar-JO"/>
              </w:rPr>
            </w:pPr>
            <w:r w:rsidRPr="003E265B">
              <w:rPr>
                <w:rFonts w:asciiTheme="majorBidi" w:hAnsiTheme="majorBidi" w:cstheme="majorBidi"/>
                <w:rtl/>
                <w:lang w:bidi="ar-JO"/>
              </w:rPr>
              <w:t>12.8</w:t>
            </w:r>
          </w:p>
        </w:tc>
        <w:tc>
          <w:tcPr>
            <w:tcW w:w="1250" w:type="dxa"/>
            <w:vAlign w:val="center"/>
          </w:tcPr>
          <w:p w:rsidR="003E265B" w:rsidRPr="003E265B" w:rsidRDefault="003E265B" w:rsidP="00CB6BB2">
            <w:pPr>
              <w:ind w:left="19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JO"/>
              </w:rPr>
            </w:pPr>
            <w:r w:rsidRPr="003E265B">
              <w:rPr>
                <w:rFonts w:asciiTheme="majorBidi" w:hAnsiTheme="majorBidi" w:cstheme="majorBidi"/>
                <w:rtl/>
                <w:lang w:bidi="ar-JO"/>
              </w:rPr>
              <w:t>10.8</w:t>
            </w:r>
          </w:p>
        </w:tc>
      </w:tr>
    </w:tbl>
    <w:p w:rsidR="003E265B" w:rsidRPr="003E265B" w:rsidRDefault="003E265B" w:rsidP="003E265B">
      <w:pPr>
        <w:jc w:val="both"/>
        <w:rPr>
          <w:rFonts w:ascii="Simplified Arabic" w:hAnsi="Simplified Arabic" w:cs="Simplified Arabic"/>
          <w:sz w:val="26"/>
          <w:szCs w:val="26"/>
          <w:rtl/>
        </w:rPr>
      </w:pPr>
      <w:r w:rsidRPr="003E265B">
        <w:rPr>
          <w:rFonts w:ascii="Simplified Arabic" w:hAnsi="Simplified Arabic" w:cs="Simplified Arabic"/>
          <w:sz w:val="26"/>
          <w:szCs w:val="26"/>
          <w:rtl/>
        </w:rPr>
        <w:t>كما وأظهرت نتائج المسح أن نسبة الإعاقة ترتفع لدى الأطفال الذكور عن الاناث في مختلف الفئات العمرية.</w:t>
      </w:r>
    </w:p>
    <w:p w:rsidR="003E265B" w:rsidRPr="003E265B" w:rsidRDefault="003E265B" w:rsidP="003E265B">
      <w:pPr>
        <w:rPr>
          <w:rFonts w:ascii="Simplified Arabic" w:hAnsi="Simplified Arabic" w:cs="Simplified Arabic"/>
          <w:sz w:val="16"/>
          <w:szCs w:val="16"/>
          <w:rtl/>
        </w:rPr>
      </w:pPr>
    </w:p>
    <w:p w:rsidR="003E265B" w:rsidRPr="003E265B" w:rsidRDefault="003E265B" w:rsidP="003E265B">
      <w:pPr>
        <w:jc w:val="center"/>
        <w:rPr>
          <w:rFonts w:ascii="Simplified Arabic" w:hAnsi="Simplified Arabic" w:cs="Simplified Arabic"/>
          <w:b/>
          <w:bCs/>
          <w:sz w:val="26"/>
          <w:szCs w:val="26"/>
          <w:rtl/>
        </w:rPr>
      </w:pPr>
      <w:r w:rsidRPr="003E265B">
        <w:rPr>
          <w:rFonts w:ascii="Simplified Arabic" w:hAnsi="Simplified Arabic" w:cs="Simplified Arabic"/>
          <w:b/>
          <w:bCs/>
          <w:sz w:val="26"/>
          <w:szCs w:val="26"/>
          <w:rtl/>
        </w:rPr>
        <w:t>نسبة الاطفال ذوي الإعاقة في الفئة العمرية 2-17 سنة حسب الفئة العمرية والجنس، 2019-2020</w:t>
      </w:r>
    </w:p>
    <w:tbl>
      <w:tblPr>
        <w:tblStyle w:val="TableGrid"/>
        <w:bidiVisual/>
        <w:tblW w:w="5138" w:type="dxa"/>
        <w:jc w:val="center"/>
        <w:tblLook w:val="04A0" w:firstRow="1" w:lastRow="0" w:firstColumn="1" w:lastColumn="0" w:noHBand="0" w:noVBand="1"/>
      </w:tblPr>
      <w:tblGrid>
        <w:gridCol w:w="5138"/>
      </w:tblGrid>
      <w:tr w:rsidR="003E265B" w:rsidRPr="003E265B" w:rsidTr="003E265B">
        <w:trPr>
          <w:jc w:val="center"/>
        </w:trPr>
        <w:tc>
          <w:tcPr>
            <w:tcW w:w="5138" w:type="dxa"/>
          </w:tcPr>
          <w:p w:rsidR="003E265B" w:rsidRPr="003E265B" w:rsidRDefault="003E265B" w:rsidP="00CB6BB2">
            <w:pPr>
              <w:rPr>
                <w:rFonts w:ascii="Simplified Arabic" w:hAnsi="Simplified Arabic" w:cs="Simplified Arabic"/>
                <w:b/>
                <w:bCs/>
                <w:sz w:val="26"/>
                <w:szCs w:val="26"/>
                <w:rtl/>
              </w:rPr>
            </w:pPr>
            <w:r w:rsidRPr="003E265B">
              <w:rPr>
                <w:rFonts w:ascii="Simplified Arabic" w:hAnsi="Simplified Arabic" w:cs="Simplified Arabic"/>
                <w:noProof/>
                <w:sz w:val="26"/>
                <w:szCs w:val="26"/>
                <w:lang w:eastAsia="en-US"/>
              </w:rPr>
              <w:drawing>
                <wp:inline distT="0" distB="0" distL="0" distR="0" wp14:anchorId="6A0FED6F" wp14:editId="0014AD25">
                  <wp:extent cx="2812212" cy="19748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3E265B" w:rsidRPr="003E265B" w:rsidRDefault="003E265B" w:rsidP="003E265B">
      <w:pPr>
        <w:rPr>
          <w:rFonts w:ascii="Simplified Arabic" w:hAnsi="Simplified Arabic" w:cs="Simplified Arabic"/>
          <w:b/>
          <w:bCs/>
          <w:sz w:val="16"/>
          <w:szCs w:val="16"/>
          <w:rtl/>
        </w:rPr>
      </w:pPr>
    </w:p>
    <w:p w:rsidR="003E265B" w:rsidRPr="003E265B" w:rsidRDefault="003E265B" w:rsidP="003E265B">
      <w:pPr>
        <w:jc w:val="both"/>
        <w:rPr>
          <w:rFonts w:ascii="Simplified Arabic" w:hAnsi="Simplified Arabic" w:cs="Simplified Arabic"/>
          <w:b/>
          <w:bCs/>
          <w:sz w:val="26"/>
          <w:szCs w:val="26"/>
        </w:rPr>
      </w:pPr>
      <w:r w:rsidRPr="003E265B">
        <w:rPr>
          <w:rFonts w:ascii="Simplified Arabic" w:hAnsi="Simplified Arabic" w:cs="Simplified Arabic"/>
          <w:b/>
          <w:bCs/>
          <w:sz w:val="26"/>
          <w:szCs w:val="26"/>
          <w:rtl/>
        </w:rPr>
        <w:t>حوالي 10% من الأطفال ذوي الإعاقة في الفئة العمرية 5-17 سنة غير ملتحقين في التعليم حاليا</w:t>
      </w:r>
    </w:p>
    <w:p w:rsidR="003E265B" w:rsidRDefault="003E265B" w:rsidP="003E265B">
      <w:pPr>
        <w:jc w:val="both"/>
        <w:rPr>
          <w:rFonts w:ascii="Simplified Arabic" w:hAnsi="Simplified Arabic" w:cs="Simplified Arabic"/>
          <w:sz w:val="26"/>
          <w:szCs w:val="26"/>
          <w:rtl/>
        </w:rPr>
      </w:pPr>
      <w:r w:rsidRPr="003E265B">
        <w:rPr>
          <w:rFonts w:ascii="Simplified Arabic" w:hAnsi="Simplified Arabic" w:cs="Simplified Arabic"/>
          <w:sz w:val="26"/>
          <w:szCs w:val="26"/>
          <w:rtl/>
        </w:rPr>
        <w:t>حوالي 10% من الأطفال في الفئة العمرية 5-17 سنة غير ملتحقين في التعليم حاليا من مجمل الأطفال ذوي الإعاقة، وشكل الذكور النسبة الأعلى حيث بلغت حوالي 69% مقارنة بحوالي 31% بين الإناث غير ملتحقين حاليا بالتعليم من مجمل الأطفال ذوي الإعاقة.</w:t>
      </w:r>
    </w:p>
    <w:p w:rsidR="003E265B" w:rsidRPr="003E265B" w:rsidRDefault="003E265B" w:rsidP="003E265B">
      <w:pPr>
        <w:jc w:val="both"/>
        <w:rPr>
          <w:rFonts w:ascii="Simplified Arabic" w:hAnsi="Simplified Arabic" w:cs="Simplified Arabic"/>
          <w:sz w:val="26"/>
          <w:szCs w:val="26"/>
          <w:rtl/>
        </w:rPr>
      </w:pPr>
    </w:p>
    <w:p w:rsidR="003E265B" w:rsidRPr="003E265B" w:rsidRDefault="003E265B" w:rsidP="003E265B">
      <w:pPr>
        <w:jc w:val="both"/>
        <w:rPr>
          <w:rFonts w:ascii="Simplified Arabic" w:hAnsi="Simplified Arabic" w:cs="Simplified Arabic"/>
          <w:b/>
          <w:bCs/>
          <w:sz w:val="26"/>
          <w:szCs w:val="26"/>
          <w:rtl/>
        </w:rPr>
      </w:pPr>
      <w:r w:rsidRPr="003E265B">
        <w:rPr>
          <w:rFonts w:ascii="Simplified Arabic" w:hAnsi="Simplified Arabic" w:cs="Simplified Arabic"/>
          <w:b/>
          <w:bCs/>
          <w:sz w:val="26"/>
          <w:szCs w:val="26"/>
          <w:rtl/>
        </w:rPr>
        <w:t>استخدام الأجهزة المساندة بين الأطفال في الفئة العمرية 2-17 سنة</w:t>
      </w:r>
    </w:p>
    <w:p w:rsidR="003E265B" w:rsidRPr="003E265B" w:rsidRDefault="003E265B" w:rsidP="003E265B">
      <w:pPr>
        <w:jc w:val="both"/>
        <w:rPr>
          <w:rFonts w:ascii="Simplified Arabic" w:hAnsi="Simplified Arabic" w:cs="Simplified Arabic"/>
          <w:sz w:val="26"/>
          <w:szCs w:val="26"/>
          <w:rtl/>
        </w:rPr>
      </w:pPr>
      <w:r w:rsidRPr="003E265B">
        <w:rPr>
          <w:rFonts w:ascii="Simplified Arabic" w:hAnsi="Simplified Arabic" w:cs="Simplified Arabic"/>
          <w:sz w:val="26"/>
          <w:szCs w:val="26"/>
          <w:rtl/>
        </w:rPr>
        <w:t>حوالي 3% من الأطفال الذين تتراوح أعمارهم بين 2-17 سنة يعانون من إعاقة في الرؤية حتى مع ارتداء النظارات، وحوالي 6% يواجهون إعاقات في السمع حتى مع استخدام المعينات السمعية، وحوالي 28% يواجهون إعاقات في المشي مع استخدام المعدات أو تلقي المساعدة في المشي.</w:t>
      </w:r>
    </w:p>
    <w:p w:rsidR="003E265B" w:rsidRPr="003E265B" w:rsidRDefault="003E265B" w:rsidP="003E265B">
      <w:pPr>
        <w:jc w:val="both"/>
        <w:rPr>
          <w:rFonts w:ascii="Simplified Arabic" w:hAnsi="Simplified Arabic" w:cs="Simplified Arabic"/>
          <w:sz w:val="16"/>
          <w:szCs w:val="16"/>
          <w:rtl/>
        </w:rPr>
      </w:pPr>
    </w:p>
    <w:p w:rsidR="003E265B" w:rsidRPr="003E265B" w:rsidRDefault="003E265B" w:rsidP="003E265B">
      <w:pPr>
        <w:jc w:val="both"/>
        <w:rPr>
          <w:rFonts w:ascii="Simplified Arabic" w:hAnsi="Simplified Arabic" w:cs="Simplified Arabic"/>
          <w:b/>
          <w:bCs/>
          <w:sz w:val="26"/>
          <w:szCs w:val="26"/>
          <w:rtl/>
          <w:lang w:bidi="ar-EG"/>
        </w:rPr>
      </w:pPr>
      <w:r w:rsidRPr="003E265B">
        <w:rPr>
          <w:rFonts w:ascii="Simplified Arabic" w:hAnsi="Simplified Arabic" w:cs="Simplified Arabic"/>
          <w:b/>
          <w:bCs/>
          <w:sz w:val="26"/>
          <w:szCs w:val="26"/>
          <w:rtl/>
          <w:lang w:bidi="ar-EG"/>
        </w:rPr>
        <w:t>توزيع الأطفال من ذوي الإعاقة في الفئة العمرية 2-17 سنة حسب نوع الإعاقة</w:t>
      </w:r>
    </w:p>
    <w:p w:rsidR="003E265B" w:rsidRPr="003E265B" w:rsidRDefault="003E265B" w:rsidP="003E265B">
      <w:pPr>
        <w:jc w:val="both"/>
        <w:rPr>
          <w:rFonts w:ascii="Simplified Arabic" w:hAnsi="Simplified Arabic" w:cs="Simplified Arabic"/>
          <w:b/>
          <w:bCs/>
          <w:sz w:val="26"/>
          <w:szCs w:val="26"/>
          <w:rtl/>
          <w:lang w:bidi="ar-EG"/>
        </w:rPr>
      </w:pPr>
      <w:r w:rsidRPr="003E265B">
        <w:rPr>
          <w:rFonts w:ascii="Simplified Arabic" w:hAnsi="Simplified Arabic" w:cs="Simplified Arabic"/>
          <w:sz w:val="26"/>
          <w:szCs w:val="26"/>
          <w:rtl/>
        </w:rPr>
        <w:t>من خلال تتبع نطاق القدرات الوظيفية في المسح الفلسطيني العنقودي متعدد المؤشرات 2019-2020 للأطفال في عمر 2 الى 4 سنوات وُجد ان أعلى نسبة هي التواصل حيث بلغت نحو 1%، في حين أن أعلى نسبة في نطاق القدرات الوظيفية بين الأطفال في الفئة العمرية 5-17 سنة كانت القلق حيث بلغت حوالي 10%</w:t>
      </w:r>
      <w:r w:rsidRPr="003E265B">
        <w:rPr>
          <w:rFonts w:ascii="Simplified Arabic" w:hAnsi="Simplified Arabic" w:cs="Simplified Arabic"/>
          <w:sz w:val="26"/>
          <w:szCs w:val="26"/>
        </w:rPr>
        <w:t>.</w:t>
      </w:r>
    </w:p>
    <w:p w:rsidR="003E265B" w:rsidRPr="003E265B" w:rsidRDefault="003E265B" w:rsidP="003E265B">
      <w:pPr>
        <w:jc w:val="center"/>
        <w:rPr>
          <w:rFonts w:ascii="Simplified Arabic" w:hAnsi="Simplified Arabic" w:cs="Simplified Arabic"/>
          <w:b/>
          <w:bCs/>
          <w:sz w:val="6"/>
          <w:szCs w:val="6"/>
          <w:rtl/>
          <w:lang w:bidi="ar-EG"/>
        </w:rPr>
      </w:pPr>
    </w:p>
    <w:p w:rsidR="003E265B" w:rsidRDefault="003E265B" w:rsidP="003E265B">
      <w:pPr>
        <w:jc w:val="center"/>
        <w:rPr>
          <w:rFonts w:ascii="Simplified Arabic" w:hAnsi="Simplified Arabic" w:cs="Simplified Arabic"/>
          <w:b/>
          <w:bCs/>
          <w:sz w:val="26"/>
          <w:szCs w:val="26"/>
          <w:rtl/>
          <w:lang w:bidi="ar-EG"/>
        </w:rPr>
      </w:pPr>
      <w:r w:rsidRPr="003E265B">
        <w:rPr>
          <w:rFonts w:ascii="Simplified Arabic" w:hAnsi="Simplified Arabic" w:cs="Simplified Arabic"/>
          <w:b/>
          <w:bCs/>
          <w:sz w:val="26"/>
          <w:szCs w:val="26"/>
          <w:rtl/>
          <w:lang w:bidi="ar-EG"/>
        </w:rPr>
        <w:t xml:space="preserve">نسبة الأطفال الذين يعانون من إعاقة في القدرات الوظيفية في الفئة العمرية 2-17 سنة </w:t>
      </w:r>
    </w:p>
    <w:p w:rsidR="003E265B" w:rsidRPr="003E265B" w:rsidRDefault="003E265B" w:rsidP="003E265B">
      <w:pPr>
        <w:jc w:val="center"/>
        <w:rPr>
          <w:rFonts w:ascii="Simplified Arabic" w:hAnsi="Simplified Arabic" w:cs="Simplified Arabic"/>
          <w:b/>
          <w:bCs/>
          <w:sz w:val="26"/>
          <w:szCs w:val="26"/>
          <w:rtl/>
          <w:lang w:bidi="ar-EG"/>
        </w:rPr>
      </w:pPr>
      <w:r w:rsidRPr="003E265B">
        <w:rPr>
          <w:rFonts w:ascii="Simplified Arabic" w:hAnsi="Simplified Arabic" w:cs="Simplified Arabic"/>
          <w:b/>
          <w:bCs/>
          <w:sz w:val="26"/>
          <w:szCs w:val="26"/>
          <w:rtl/>
          <w:lang w:bidi="ar-EG"/>
        </w:rPr>
        <w:t>حسب نطاق القدرات الوظيفية والفئة العمرية</w:t>
      </w:r>
    </w:p>
    <w:tbl>
      <w:tblPr>
        <w:tblStyle w:val="TableGrid"/>
        <w:bidiVisual/>
        <w:tblW w:w="0" w:type="auto"/>
        <w:jc w:val="center"/>
        <w:tblLook w:val="04A0" w:firstRow="1" w:lastRow="0" w:firstColumn="1" w:lastColumn="0" w:noHBand="0" w:noVBand="1"/>
      </w:tblPr>
      <w:tblGrid>
        <w:gridCol w:w="1898"/>
        <w:gridCol w:w="1635"/>
        <w:gridCol w:w="1785"/>
      </w:tblGrid>
      <w:tr w:rsidR="003E265B" w:rsidRPr="003E265B" w:rsidTr="003E265B">
        <w:trPr>
          <w:trHeight w:val="363"/>
          <w:jc w:val="center"/>
        </w:trPr>
        <w:tc>
          <w:tcPr>
            <w:tcW w:w="1898" w:type="dxa"/>
            <w:vMerge w:val="restart"/>
            <w:vAlign w:val="center"/>
          </w:tcPr>
          <w:p w:rsidR="003E265B" w:rsidRPr="003E265B" w:rsidRDefault="003E265B" w:rsidP="00CB6BB2">
            <w:pPr>
              <w:jc w:val="center"/>
              <w:rPr>
                <w:rFonts w:asciiTheme="majorBidi" w:hAnsiTheme="majorBidi" w:cstheme="majorBidi"/>
                <w:b/>
                <w:bCs/>
                <w:rtl/>
                <w:lang w:bidi="ar-EG"/>
              </w:rPr>
            </w:pPr>
            <w:r w:rsidRPr="003E265B">
              <w:rPr>
                <w:rFonts w:asciiTheme="majorBidi" w:hAnsiTheme="majorBidi" w:cstheme="majorBidi"/>
                <w:b/>
                <w:bCs/>
                <w:rtl/>
                <w:lang w:bidi="ar-EG"/>
              </w:rPr>
              <w:t>نطاق القدرات الوظيفية</w:t>
            </w:r>
          </w:p>
        </w:tc>
        <w:tc>
          <w:tcPr>
            <w:tcW w:w="3420" w:type="dxa"/>
            <w:gridSpan w:val="2"/>
            <w:vAlign w:val="center"/>
          </w:tcPr>
          <w:p w:rsidR="003E265B" w:rsidRPr="003E265B" w:rsidRDefault="003E265B" w:rsidP="00CB6BB2">
            <w:pPr>
              <w:jc w:val="center"/>
              <w:rPr>
                <w:rFonts w:asciiTheme="majorBidi" w:hAnsiTheme="majorBidi" w:cstheme="majorBidi"/>
                <w:b/>
                <w:bCs/>
                <w:rtl/>
                <w:lang w:bidi="ar-EG"/>
              </w:rPr>
            </w:pPr>
            <w:r w:rsidRPr="003E265B">
              <w:rPr>
                <w:rFonts w:asciiTheme="majorBidi" w:hAnsiTheme="majorBidi" w:cstheme="majorBidi"/>
                <w:b/>
                <w:bCs/>
                <w:rtl/>
                <w:lang w:bidi="ar-EG"/>
              </w:rPr>
              <w:t>الفئة العمرية</w:t>
            </w:r>
          </w:p>
        </w:tc>
      </w:tr>
      <w:tr w:rsidR="003E265B" w:rsidRPr="003E265B" w:rsidTr="003E265B">
        <w:trPr>
          <w:trHeight w:val="474"/>
          <w:jc w:val="center"/>
        </w:trPr>
        <w:tc>
          <w:tcPr>
            <w:tcW w:w="1898" w:type="dxa"/>
            <w:vMerge/>
            <w:vAlign w:val="center"/>
          </w:tcPr>
          <w:p w:rsidR="003E265B" w:rsidRPr="003E265B" w:rsidRDefault="003E265B" w:rsidP="00CB6BB2">
            <w:pPr>
              <w:jc w:val="center"/>
              <w:rPr>
                <w:rFonts w:asciiTheme="majorBidi" w:hAnsiTheme="majorBidi" w:cstheme="majorBidi"/>
                <w:b/>
                <w:bCs/>
                <w:rtl/>
                <w:lang w:bidi="ar-EG"/>
              </w:rPr>
            </w:pPr>
          </w:p>
        </w:tc>
        <w:tc>
          <w:tcPr>
            <w:tcW w:w="1635" w:type="dxa"/>
            <w:vAlign w:val="center"/>
          </w:tcPr>
          <w:p w:rsidR="003E265B" w:rsidRPr="003E265B" w:rsidRDefault="003E265B" w:rsidP="00CB6BB2">
            <w:pPr>
              <w:jc w:val="center"/>
              <w:rPr>
                <w:rFonts w:asciiTheme="majorBidi" w:hAnsiTheme="majorBidi" w:cstheme="majorBidi"/>
                <w:b/>
                <w:bCs/>
                <w:rtl/>
                <w:lang w:bidi="ar-EG"/>
              </w:rPr>
            </w:pPr>
            <w:r w:rsidRPr="003E265B">
              <w:rPr>
                <w:rFonts w:asciiTheme="majorBidi" w:hAnsiTheme="majorBidi" w:cstheme="majorBidi"/>
                <w:b/>
                <w:bCs/>
                <w:rtl/>
                <w:lang w:bidi="ar-EG"/>
              </w:rPr>
              <w:t>2-4 سنوات</w:t>
            </w:r>
          </w:p>
        </w:tc>
        <w:tc>
          <w:tcPr>
            <w:tcW w:w="1785" w:type="dxa"/>
            <w:vAlign w:val="center"/>
          </w:tcPr>
          <w:p w:rsidR="003E265B" w:rsidRPr="003E265B" w:rsidRDefault="003E265B" w:rsidP="00CB6BB2">
            <w:pPr>
              <w:jc w:val="center"/>
              <w:rPr>
                <w:rFonts w:asciiTheme="majorBidi" w:hAnsiTheme="majorBidi" w:cstheme="majorBidi"/>
                <w:b/>
                <w:bCs/>
                <w:rtl/>
                <w:lang w:bidi="ar-EG"/>
              </w:rPr>
            </w:pPr>
            <w:r w:rsidRPr="003E265B">
              <w:rPr>
                <w:rFonts w:asciiTheme="majorBidi" w:hAnsiTheme="majorBidi" w:cstheme="majorBidi"/>
                <w:b/>
                <w:bCs/>
                <w:rtl/>
                <w:lang w:bidi="ar-EG"/>
              </w:rPr>
              <w:t>5-17 سنة</w:t>
            </w:r>
          </w:p>
        </w:tc>
      </w:tr>
      <w:tr w:rsidR="003E265B" w:rsidRPr="003E265B" w:rsidTr="003E265B">
        <w:trPr>
          <w:trHeight w:hRule="exact" w:val="383"/>
          <w:jc w:val="center"/>
        </w:trPr>
        <w:tc>
          <w:tcPr>
            <w:tcW w:w="1898" w:type="dxa"/>
            <w:shd w:val="clear" w:color="auto" w:fill="auto"/>
            <w:vAlign w:val="center"/>
          </w:tcPr>
          <w:p w:rsidR="003E265B" w:rsidRPr="003E265B" w:rsidRDefault="003E265B" w:rsidP="00D23D99">
            <w:pPr>
              <w:rPr>
                <w:rFonts w:asciiTheme="majorBidi" w:hAnsiTheme="majorBidi" w:cstheme="majorBidi"/>
                <w:lang w:eastAsia="en-US"/>
              </w:rPr>
            </w:pPr>
            <w:r w:rsidRPr="003E265B">
              <w:rPr>
                <w:rFonts w:asciiTheme="majorBidi" w:hAnsiTheme="majorBidi" w:cstheme="majorBidi"/>
                <w:rtl/>
              </w:rPr>
              <w:t>الرؤية</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0.2</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0.7</w:t>
            </w:r>
          </w:p>
        </w:tc>
      </w:tr>
      <w:tr w:rsidR="003E265B" w:rsidRPr="003E265B" w:rsidTr="003E265B">
        <w:trPr>
          <w:trHeight w:hRule="exact" w:val="347"/>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السمع</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0.1</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0.4</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المشي</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0.6</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1.0</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العناية بالذات</w:t>
            </w:r>
          </w:p>
        </w:tc>
        <w:tc>
          <w:tcPr>
            <w:tcW w:w="1635" w:type="dxa"/>
            <w:shd w:val="clear" w:color="auto" w:fill="auto"/>
            <w:vAlign w:val="center"/>
          </w:tcPr>
          <w:p w:rsidR="003E265B" w:rsidRPr="003E265B" w:rsidRDefault="003E265B" w:rsidP="00D23D99">
            <w:pPr>
              <w:jc w:val="center"/>
              <w:rPr>
                <w:rFonts w:asciiTheme="majorBidi" w:hAnsiTheme="majorBidi" w:cstheme="majorBidi"/>
                <w:lang w:eastAsia="en-US"/>
              </w:rPr>
            </w:pPr>
            <w:r w:rsidRPr="003E265B">
              <w:rPr>
                <w:rFonts w:asciiTheme="majorBidi" w:hAnsiTheme="majorBidi" w:cstheme="majorBidi"/>
                <w:rtl/>
                <w:lang w:eastAsia="en-US"/>
              </w:rPr>
              <w:t>-</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0.4</w:t>
            </w:r>
          </w:p>
        </w:tc>
      </w:tr>
      <w:tr w:rsidR="003E265B" w:rsidRPr="003E265B" w:rsidTr="003E265B">
        <w:trPr>
          <w:trHeight w:hRule="exact" w:val="347"/>
          <w:jc w:val="center"/>
        </w:trPr>
        <w:tc>
          <w:tcPr>
            <w:tcW w:w="1898" w:type="dxa"/>
            <w:shd w:val="clear" w:color="auto" w:fill="auto"/>
            <w:vAlign w:val="center"/>
          </w:tcPr>
          <w:p w:rsidR="003E265B" w:rsidRPr="003E265B" w:rsidRDefault="003E265B" w:rsidP="00D23D99">
            <w:pPr>
              <w:rPr>
                <w:rFonts w:asciiTheme="majorBidi" w:hAnsiTheme="majorBidi" w:cstheme="majorBidi"/>
              </w:rPr>
            </w:pPr>
            <w:r w:rsidRPr="003E265B">
              <w:rPr>
                <w:rFonts w:asciiTheme="majorBidi" w:hAnsiTheme="majorBidi" w:cstheme="majorBidi"/>
                <w:rtl/>
              </w:rPr>
              <w:t>التقاط الأشياء</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0.4</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lang w:eastAsia="en-US"/>
              </w:rPr>
              <w:t>-</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التواصل</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0.9</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0.6</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التعلّم</w:t>
            </w:r>
            <w:bookmarkStart w:id="0" w:name="_GoBack"/>
            <w:bookmarkEnd w:id="0"/>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0.8</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1.5</w:t>
            </w:r>
          </w:p>
        </w:tc>
      </w:tr>
      <w:tr w:rsidR="003E265B" w:rsidRPr="003E265B" w:rsidTr="003E265B">
        <w:trPr>
          <w:trHeight w:hRule="exact" w:val="347"/>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التذكّر</w:t>
            </w:r>
          </w:p>
        </w:tc>
        <w:tc>
          <w:tcPr>
            <w:tcW w:w="1635" w:type="dxa"/>
            <w:shd w:val="clear" w:color="auto" w:fill="auto"/>
            <w:vAlign w:val="center"/>
          </w:tcPr>
          <w:p w:rsidR="003E265B" w:rsidRPr="003E265B" w:rsidRDefault="003E265B" w:rsidP="00D23D99">
            <w:pPr>
              <w:jc w:val="center"/>
              <w:rPr>
                <w:rFonts w:asciiTheme="majorBidi" w:hAnsiTheme="majorBidi" w:cstheme="majorBidi"/>
                <w:rtl/>
              </w:rPr>
            </w:pPr>
            <w:r w:rsidRPr="003E265B">
              <w:rPr>
                <w:rFonts w:asciiTheme="majorBidi" w:hAnsiTheme="majorBidi" w:cstheme="majorBidi"/>
                <w:lang w:eastAsia="en-US"/>
              </w:rPr>
              <w:t>-</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0.9</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التركيز</w:t>
            </w:r>
          </w:p>
        </w:tc>
        <w:tc>
          <w:tcPr>
            <w:tcW w:w="1635" w:type="dxa"/>
            <w:shd w:val="clear" w:color="auto" w:fill="auto"/>
            <w:vAlign w:val="center"/>
          </w:tcPr>
          <w:p w:rsidR="003E265B" w:rsidRPr="003E265B" w:rsidRDefault="003E265B" w:rsidP="00D23D99">
            <w:pPr>
              <w:jc w:val="center"/>
              <w:rPr>
                <w:rFonts w:asciiTheme="majorBidi" w:hAnsiTheme="majorBidi" w:cstheme="majorBidi"/>
              </w:rPr>
            </w:pPr>
            <w:r w:rsidRPr="003E265B">
              <w:rPr>
                <w:rFonts w:asciiTheme="majorBidi" w:hAnsiTheme="majorBidi" w:cstheme="majorBidi"/>
                <w:lang w:eastAsia="en-US"/>
              </w:rPr>
              <w:t>-</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0.6</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اللعب</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0.4</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lang w:eastAsia="en-US"/>
              </w:rPr>
              <w:t>-</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تقبّل التغيير</w:t>
            </w:r>
          </w:p>
        </w:tc>
        <w:tc>
          <w:tcPr>
            <w:tcW w:w="163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lang w:eastAsia="en-US"/>
              </w:rPr>
              <w:t>-</w:t>
            </w:r>
          </w:p>
        </w:tc>
        <w:tc>
          <w:tcPr>
            <w:tcW w:w="1785" w:type="dxa"/>
            <w:shd w:val="clear" w:color="auto" w:fill="auto"/>
            <w:vAlign w:val="center"/>
          </w:tcPr>
          <w:p w:rsidR="003E265B" w:rsidRPr="003E265B" w:rsidRDefault="003E265B" w:rsidP="00D23D99">
            <w:pPr>
              <w:jc w:val="center"/>
              <w:rPr>
                <w:rFonts w:asciiTheme="majorBidi" w:hAnsiTheme="majorBidi" w:cstheme="majorBidi"/>
                <w:rtl/>
                <w:lang w:eastAsia="en-US"/>
              </w:rPr>
            </w:pPr>
            <w:r w:rsidRPr="003E265B">
              <w:rPr>
                <w:rFonts w:asciiTheme="majorBidi" w:hAnsiTheme="majorBidi" w:cstheme="majorBidi"/>
                <w:rtl/>
                <w:lang w:eastAsia="en-US"/>
              </w:rPr>
              <w:t>1.2</w:t>
            </w:r>
          </w:p>
        </w:tc>
      </w:tr>
      <w:tr w:rsidR="003E265B" w:rsidRPr="003E265B" w:rsidTr="003E265B">
        <w:trPr>
          <w:trHeight w:hRule="exact" w:val="437"/>
          <w:jc w:val="center"/>
        </w:trPr>
        <w:tc>
          <w:tcPr>
            <w:tcW w:w="1898" w:type="dxa"/>
            <w:shd w:val="clear" w:color="auto" w:fill="auto"/>
            <w:vAlign w:val="center"/>
          </w:tcPr>
          <w:p w:rsidR="003E265B" w:rsidRPr="003E265B" w:rsidRDefault="003E265B" w:rsidP="00D23D99">
            <w:pPr>
              <w:rPr>
                <w:rFonts w:asciiTheme="majorBidi" w:hAnsiTheme="majorBidi" w:cstheme="majorBidi"/>
              </w:rPr>
            </w:pPr>
            <w:r w:rsidRPr="003E265B">
              <w:rPr>
                <w:rFonts w:asciiTheme="majorBidi" w:hAnsiTheme="majorBidi" w:cstheme="majorBidi"/>
                <w:rtl/>
              </w:rPr>
              <w:t>السيطرة على السلوك</w:t>
            </w:r>
          </w:p>
        </w:tc>
        <w:tc>
          <w:tcPr>
            <w:tcW w:w="1635" w:type="dxa"/>
            <w:shd w:val="clear" w:color="auto" w:fill="auto"/>
            <w:vAlign w:val="center"/>
          </w:tcPr>
          <w:p w:rsidR="003E265B" w:rsidRPr="003E265B" w:rsidRDefault="003E265B" w:rsidP="00D23D99">
            <w:pPr>
              <w:jc w:val="center"/>
              <w:rPr>
                <w:rFonts w:asciiTheme="majorBidi" w:eastAsia="Arial" w:hAnsiTheme="majorBidi" w:cstheme="majorBidi"/>
                <w:kern w:val="24"/>
                <w:lang w:eastAsia="en-US"/>
              </w:rPr>
            </w:pPr>
            <w:r w:rsidRPr="003E265B">
              <w:rPr>
                <w:rFonts w:asciiTheme="majorBidi" w:eastAsia="Arial" w:hAnsiTheme="majorBidi" w:cstheme="majorBidi"/>
                <w:kern w:val="24"/>
                <w:rtl/>
                <w:lang w:eastAsia="en-US"/>
              </w:rPr>
              <w:t>0.7</w:t>
            </w:r>
          </w:p>
        </w:tc>
        <w:tc>
          <w:tcPr>
            <w:tcW w:w="1785" w:type="dxa"/>
            <w:shd w:val="clear" w:color="auto" w:fill="auto"/>
            <w:vAlign w:val="center"/>
          </w:tcPr>
          <w:p w:rsidR="003E265B" w:rsidRPr="003E265B" w:rsidRDefault="003E265B" w:rsidP="00D23D99">
            <w:pPr>
              <w:jc w:val="center"/>
              <w:rPr>
                <w:rFonts w:asciiTheme="majorBidi" w:eastAsia="Arial" w:hAnsiTheme="majorBidi" w:cstheme="majorBidi"/>
                <w:kern w:val="24"/>
                <w:lang w:eastAsia="en-US"/>
              </w:rPr>
            </w:pPr>
            <w:r w:rsidRPr="003E265B">
              <w:rPr>
                <w:rFonts w:asciiTheme="majorBidi" w:eastAsia="Arial" w:hAnsiTheme="majorBidi" w:cstheme="majorBidi"/>
                <w:kern w:val="24"/>
                <w:rtl/>
                <w:lang w:eastAsia="en-US"/>
              </w:rPr>
              <w:t>2.2</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إقامة علاقات صداقة</w:t>
            </w:r>
          </w:p>
        </w:tc>
        <w:tc>
          <w:tcPr>
            <w:tcW w:w="1635" w:type="dxa"/>
            <w:shd w:val="clear" w:color="auto" w:fill="auto"/>
            <w:vAlign w:val="center"/>
          </w:tcPr>
          <w:p w:rsidR="003E265B" w:rsidRPr="003E265B" w:rsidRDefault="003E265B" w:rsidP="00D23D99">
            <w:pPr>
              <w:jc w:val="center"/>
              <w:rPr>
                <w:rFonts w:asciiTheme="majorBidi" w:hAnsiTheme="majorBidi" w:cstheme="majorBidi"/>
              </w:rPr>
            </w:pPr>
            <w:r w:rsidRPr="003E265B">
              <w:rPr>
                <w:rFonts w:asciiTheme="majorBidi" w:hAnsiTheme="majorBidi" w:cstheme="majorBidi"/>
                <w:lang w:eastAsia="en-US"/>
              </w:rPr>
              <w:t>-</w:t>
            </w:r>
          </w:p>
        </w:tc>
        <w:tc>
          <w:tcPr>
            <w:tcW w:w="1785" w:type="dxa"/>
            <w:shd w:val="clear" w:color="auto" w:fill="auto"/>
            <w:vAlign w:val="center"/>
          </w:tcPr>
          <w:p w:rsidR="003E265B" w:rsidRPr="003E265B" w:rsidRDefault="003E265B" w:rsidP="00D23D99">
            <w:pPr>
              <w:jc w:val="center"/>
              <w:rPr>
                <w:rFonts w:asciiTheme="majorBidi" w:eastAsia="Arial" w:hAnsiTheme="majorBidi" w:cstheme="majorBidi"/>
                <w:kern w:val="24"/>
                <w:lang w:eastAsia="en-US"/>
              </w:rPr>
            </w:pPr>
            <w:r w:rsidRPr="003E265B">
              <w:rPr>
                <w:rFonts w:asciiTheme="majorBidi" w:eastAsia="Arial" w:hAnsiTheme="majorBidi" w:cstheme="majorBidi"/>
                <w:kern w:val="24"/>
                <w:rtl/>
                <w:lang w:eastAsia="en-US"/>
              </w:rPr>
              <w:t>1.0</w:t>
            </w:r>
          </w:p>
        </w:tc>
      </w:tr>
      <w:tr w:rsidR="003E265B" w:rsidRPr="003E265B" w:rsidTr="003E265B">
        <w:trPr>
          <w:trHeight w:hRule="exact" w:val="365"/>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القلق</w:t>
            </w:r>
          </w:p>
        </w:tc>
        <w:tc>
          <w:tcPr>
            <w:tcW w:w="1635" w:type="dxa"/>
            <w:shd w:val="clear" w:color="auto" w:fill="auto"/>
            <w:vAlign w:val="center"/>
          </w:tcPr>
          <w:p w:rsidR="003E265B" w:rsidRPr="003E265B" w:rsidRDefault="003E265B" w:rsidP="00D23D99">
            <w:pPr>
              <w:jc w:val="center"/>
              <w:rPr>
                <w:rFonts w:asciiTheme="majorBidi" w:hAnsiTheme="majorBidi" w:cstheme="majorBidi"/>
              </w:rPr>
            </w:pPr>
            <w:r w:rsidRPr="003E265B">
              <w:rPr>
                <w:rFonts w:asciiTheme="majorBidi" w:hAnsiTheme="majorBidi" w:cstheme="majorBidi"/>
                <w:lang w:eastAsia="en-US"/>
              </w:rPr>
              <w:t>-</w:t>
            </w:r>
          </w:p>
        </w:tc>
        <w:tc>
          <w:tcPr>
            <w:tcW w:w="1785" w:type="dxa"/>
            <w:shd w:val="clear" w:color="auto" w:fill="auto"/>
            <w:vAlign w:val="center"/>
          </w:tcPr>
          <w:p w:rsidR="003E265B" w:rsidRPr="003E265B" w:rsidRDefault="003E265B" w:rsidP="00D23D99">
            <w:pPr>
              <w:jc w:val="center"/>
              <w:rPr>
                <w:rFonts w:asciiTheme="majorBidi" w:eastAsia="Arial" w:hAnsiTheme="majorBidi" w:cstheme="majorBidi"/>
                <w:kern w:val="24"/>
                <w:lang w:eastAsia="en-US"/>
              </w:rPr>
            </w:pPr>
            <w:r w:rsidRPr="003E265B">
              <w:rPr>
                <w:rFonts w:asciiTheme="majorBidi" w:eastAsia="Arial" w:hAnsiTheme="majorBidi" w:cstheme="majorBidi"/>
                <w:kern w:val="24"/>
                <w:rtl/>
                <w:lang w:eastAsia="en-US"/>
              </w:rPr>
              <w:t>10.2</w:t>
            </w:r>
          </w:p>
        </w:tc>
      </w:tr>
      <w:tr w:rsidR="003E265B" w:rsidRPr="003E265B" w:rsidTr="003E265B">
        <w:trPr>
          <w:trHeight w:hRule="exact" w:val="257"/>
          <w:jc w:val="center"/>
        </w:trPr>
        <w:tc>
          <w:tcPr>
            <w:tcW w:w="1898" w:type="dxa"/>
            <w:shd w:val="clear" w:color="auto" w:fill="auto"/>
            <w:vAlign w:val="center"/>
          </w:tcPr>
          <w:p w:rsidR="003E265B" w:rsidRPr="003E265B" w:rsidRDefault="003E265B" w:rsidP="00D23D99">
            <w:pPr>
              <w:rPr>
                <w:rFonts w:asciiTheme="majorBidi" w:hAnsiTheme="majorBidi" w:cstheme="majorBidi"/>
                <w:rtl/>
              </w:rPr>
            </w:pPr>
            <w:r w:rsidRPr="003E265B">
              <w:rPr>
                <w:rFonts w:asciiTheme="majorBidi" w:hAnsiTheme="majorBidi" w:cstheme="majorBidi"/>
                <w:rtl/>
              </w:rPr>
              <w:t>الاكتئاب</w:t>
            </w:r>
          </w:p>
        </w:tc>
        <w:tc>
          <w:tcPr>
            <w:tcW w:w="1635" w:type="dxa"/>
            <w:shd w:val="clear" w:color="auto" w:fill="auto"/>
            <w:vAlign w:val="center"/>
          </w:tcPr>
          <w:p w:rsidR="003E265B" w:rsidRPr="003E265B" w:rsidRDefault="003E265B" w:rsidP="00D23D99">
            <w:pPr>
              <w:jc w:val="center"/>
              <w:rPr>
                <w:rFonts w:asciiTheme="majorBidi" w:eastAsia="Arial" w:hAnsiTheme="majorBidi" w:cstheme="majorBidi"/>
                <w:kern w:val="24"/>
                <w:lang w:eastAsia="en-US"/>
              </w:rPr>
            </w:pPr>
            <w:r w:rsidRPr="003E265B">
              <w:rPr>
                <w:rFonts w:asciiTheme="majorBidi" w:hAnsiTheme="majorBidi" w:cstheme="majorBidi"/>
                <w:lang w:eastAsia="en-US"/>
              </w:rPr>
              <w:t>-</w:t>
            </w:r>
          </w:p>
        </w:tc>
        <w:tc>
          <w:tcPr>
            <w:tcW w:w="1785" w:type="dxa"/>
            <w:shd w:val="clear" w:color="auto" w:fill="auto"/>
            <w:vAlign w:val="center"/>
          </w:tcPr>
          <w:p w:rsidR="003E265B" w:rsidRPr="003E265B" w:rsidRDefault="003E265B" w:rsidP="00D23D99">
            <w:pPr>
              <w:jc w:val="center"/>
              <w:rPr>
                <w:rFonts w:asciiTheme="majorBidi" w:eastAsia="Arial" w:hAnsiTheme="majorBidi" w:cstheme="majorBidi"/>
                <w:kern w:val="24"/>
                <w:lang w:eastAsia="en-US"/>
              </w:rPr>
            </w:pPr>
            <w:r w:rsidRPr="003E265B">
              <w:rPr>
                <w:rFonts w:asciiTheme="majorBidi" w:eastAsia="Arial" w:hAnsiTheme="majorBidi" w:cstheme="majorBidi"/>
                <w:kern w:val="24"/>
                <w:rtl/>
                <w:lang w:eastAsia="en-US"/>
              </w:rPr>
              <w:t>2.4</w:t>
            </w:r>
          </w:p>
        </w:tc>
      </w:tr>
    </w:tbl>
    <w:p w:rsidR="003E265B" w:rsidRPr="003E265B" w:rsidRDefault="003E265B" w:rsidP="003E265B">
      <w:pPr>
        <w:rPr>
          <w:rFonts w:ascii="Simplified Arabic" w:hAnsi="Simplified Arabic" w:cs="Simplified Arabic"/>
          <w:sz w:val="26"/>
          <w:szCs w:val="26"/>
          <w:rtl/>
        </w:rPr>
      </w:pPr>
      <w:r w:rsidRPr="003E265B">
        <w:rPr>
          <w:rFonts w:ascii="Simplified Arabic" w:hAnsi="Simplified Arabic" w:cs="Simplified Arabic"/>
          <w:sz w:val="26"/>
          <w:szCs w:val="26"/>
          <w:rtl/>
        </w:rPr>
        <w:t xml:space="preserve">- : تعني لم يتم توجيه الأسئلة لهذه الفئة العمرية. </w:t>
      </w:r>
    </w:p>
    <w:p w:rsidR="003E265B" w:rsidRPr="003E265B" w:rsidRDefault="003E265B" w:rsidP="003E265B">
      <w:pPr>
        <w:rPr>
          <w:rFonts w:ascii="Simplified Arabic" w:hAnsi="Simplified Arabic" w:cs="Simplified Arabic"/>
          <w:sz w:val="10"/>
          <w:szCs w:val="10"/>
          <w:rtl/>
        </w:rPr>
      </w:pPr>
    </w:p>
    <w:p w:rsidR="003E265B" w:rsidRPr="003E265B" w:rsidRDefault="003E265B" w:rsidP="003E265B">
      <w:pPr>
        <w:rPr>
          <w:rFonts w:ascii="Simplified Arabic" w:hAnsi="Simplified Arabic" w:cs="Simplified Arabic"/>
          <w:rtl/>
        </w:rPr>
      </w:pPr>
      <w:r w:rsidRPr="003E265B">
        <w:rPr>
          <w:rFonts w:ascii="Simplified Arabic" w:hAnsi="Simplified Arabic" w:cs="Simplified Arabic"/>
          <w:b/>
          <w:bCs/>
          <w:rtl/>
        </w:rPr>
        <w:t>ملاحظات</w:t>
      </w:r>
      <w:r w:rsidRPr="003E265B">
        <w:rPr>
          <w:rFonts w:ascii="Simplified Arabic" w:hAnsi="Simplified Arabic" w:cs="Simplified Arabic"/>
          <w:rtl/>
        </w:rPr>
        <w:t>:</w:t>
      </w:r>
    </w:p>
    <w:p w:rsidR="003E265B" w:rsidRPr="003E265B" w:rsidRDefault="003E265B" w:rsidP="003E265B">
      <w:pPr>
        <w:ind w:right="-142"/>
        <w:jc w:val="both"/>
        <w:rPr>
          <w:rFonts w:ascii="Simplified Arabic" w:hAnsi="Simplified Arabic" w:cs="Simplified Arabic"/>
          <w:rtl/>
        </w:rPr>
      </w:pPr>
      <w:r w:rsidRPr="003E265B">
        <w:rPr>
          <w:rFonts w:ascii="Simplified Arabic" w:hAnsi="Simplified Arabic" w:cs="Simplified Arabic"/>
          <w:rtl/>
        </w:rPr>
        <w:t>*: القدرات الوظيفية للأطفال في الفئة العمرية 2-4 سنوات تشمل: الرؤية، السمع، المشي، التقاط الأشياء، التواصل، التعلم، اللعب، ضبط السلوك</w:t>
      </w:r>
      <w:r w:rsidRPr="003E265B">
        <w:rPr>
          <w:rFonts w:ascii="Simplified Arabic" w:hAnsi="Simplified Arabic" w:cs="Simplified Arabic"/>
        </w:rPr>
        <w:t>.</w:t>
      </w:r>
    </w:p>
    <w:p w:rsidR="003E265B" w:rsidRDefault="003E265B" w:rsidP="003E265B">
      <w:pPr>
        <w:ind w:right="-142"/>
        <w:jc w:val="both"/>
        <w:rPr>
          <w:rFonts w:ascii="Simplified Arabic" w:hAnsi="Simplified Arabic" w:cs="Simplified Arabic"/>
          <w:rtl/>
        </w:rPr>
      </w:pPr>
      <w:r w:rsidRPr="003E265B">
        <w:rPr>
          <w:rFonts w:ascii="Simplified Arabic" w:hAnsi="Simplified Arabic" w:cs="Simplified Arabic"/>
          <w:rtl/>
        </w:rPr>
        <w:t>**: القدرات الوظيفية للأطفال في الفئة العمرية 5-17 سنة تشمل: الرؤية، السمع، المشي، التواصل، التعلم، ضبط السلوك، العناية بالذات، التذكر، التركيز، تقبل التغيير، تكوين صداقات، القلق، الاكتئاب</w:t>
      </w:r>
      <w:r w:rsidRPr="003E265B">
        <w:rPr>
          <w:rFonts w:ascii="Simplified Arabic" w:hAnsi="Simplified Arabic" w:cs="Simplified Arabic"/>
        </w:rPr>
        <w:t>.</w:t>
      </w:r>
    </w:p>
    <w:p w:rsidR="00EA6B92" w:rsidRPr="003E265B" w:rsidRDefault="003E265B" w:rsidP="003E265B">
      <w:pPr>
        <w:ind w:right="-142"/>
        <w:jc w:val="both"/>
        <w:rPr>
          <w:rFonts w:ascii="Simplified Arabic" w:hAnsi="Simplified Arabic" w:cs="Simplified Arabic"/>
        </w:rPr>
      </w:pPr>
      <w:r w:rsidRPr="003E265B">
        <w:rPr>
          <w:rFonts w:ascii="Simplified Arabic" w:hAnsi="Simplified Arabic" w:cs="Simplified Arabic"/>
          <w:rtl/>
        </w:rPr>
        <w:t>تجدر الاشارة الى أن استمارة المسح العنقودي متعدد المؤشرات اشتملت على نماذج خاصة بجمع بيانات حول انتشار الصعوبات الوظيفية بين الأطفال في العمر 2-17 سنة وفقاً لما أدلت به ا</w:t>
      </w:r>
      <w:r>
        <w:rPr>
          <w:rFonts w:ascii="Simplified Arabic" w:hAnsi="Simplified Arabic" w:cs="Simplified Arabic"/>
          <w:rtl/>
        </w:rPr>
        <w:t>لأم أو القائم/ة على رعاية الطفل</w:t>
      </w:r>
      <w:r>
        <w:rPr>
          <w:rFonts w:ascii="Simplified Arabic" w:hAnsi="Simplified Arabic" w:cs="Simplified Arabic" w:hint="cs"/>
          <w:rtl/>
        </w:rPr>
        <w:t>.</w:t>
      </w:r>
    </w:p>
    <w:sectPr w:rsidR="00EA6B92" w:rsidRPr="003E265B" w:rsidSect="003E265B">
      <w:headerReference w:type="default" r:id="rId7"/>
      <w:footerReference w:type="even" r:id="rId8"/>
      <w:footerReference w:type="default" r:id="rId9"/>
      <w:footerReference w:type="first" r:id="rId10"/>
      <w:pgSz w:w="11906" w:h="16838" w:code="9"/>
      <w:pgMar w:top="851" w:right="851" w:bottom="851" w:left="851" w:header="284" w:footer="180"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39" w:rsidRDefault="00A37D39" w:rsidP="003E265B">
      <w:r>
        <w:separator/>
      </w:r>
    </w:p>
  </w:endnote>
  <w:endnote w:type="continuationSeparator" w:id="0">
    <w:p w:rsidR="00A37D39" w:rsidRDefault="00A37D39" w:rsidP="003E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9DF" w:rsidRDefault="00BC0702">
    <w:pPr>
      <w:pStyle w:val="Footer"/>
      <w:framePr w:wrap="around" w:vAnchor="text" w:hAnchor="margin" w:xAlign="center" w:y="1"/>
      <w:rPr>
        <w:rStyle w:val="PageNumber"/>
        <w:rtl/>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Pr>
        <w:rStyle w:val="PageNumber"/>
        <w:noProof/>
        <w:rtl/>
      </w:rPr>
      <w:t>2</w:t>
    </w:r>
    <w:r>
      <w:rPr>
        <w:rStyle w:val="PageNumber"/>
        <w:rtl/>
      </w:rPr>
      <w:fldChar w:fldCharType="end"/>
    </w:r>
  </w:p>
  <w:p w:rsidR="003959DF" w:rsidRDefault="00A37D39">
    <w:pPr>
      <w:pStyle w:val="Footer"/>
      <w:rPr>
        <w:rtl/>
        <w:lang w:eastAsia="en-US"/>
      </w:rPr>
    </w:pPr>
  </w:p>
  <w:p w:rsidR="004C6A18" w:rsidRDefault="00A37D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33488099"/>
      <w:docPartObj>
        <w:docPartGallery w:val="Page Numbers (Bottom of Page)"/>
        <w:docPartUnique/>
      </w:docPartObj>
    </w:sdtPr>
    <w:sdtEndPr/>
    <w:sdtContent>
      <w:p w:rsidR="003959DF" w:rsidRDefault="00BC0702">
        <w:pPr>
          <w:pStyle w:val="Footer"/>
          <w:jc w:val="center"/>
        </w:pPr>
        <w:r>
          <w:fldChar w:fldCharType="begin"/>
        </w:r>
        <w:r>
          <w:instrText xml:space="preserve"> PAGE   \* MERGEFORMAT </w:instrText>
        </w:r>
        <w:r>
          <w:fldChar w:fldCharType="separate"/>
        </w:r>
        <w:r w:rsidR="00D23D99">
          <w:rPr>
            <w:noProof/>
            <w:rtl/>
          </w:rPr>
          <w:t>2</w:t>
        </w:r>
        <w:r>
          <w:rPr>
            <w:noProof/>
          </w:rPr>
          <w:fldChar w:fldCharType="end"/>
        </w:r>
      </w:p>
    </w:sdtContent>
  </w:sdt>
  <w:p w:rsidR="003959DF" w:rsidRDefault="00A37D39" w:rsidP="00F25B2C">
    <w:pPr>
      <w:pStyle w:val="Footer"/>
      <w:jc w:val="center"/>
      <w:rPr>
        <w:rtl/>
      </w:rPr>
    </w:pPr>
  </w:p>
  <w:p w:rsidR="004C6A18" w:rsidRDefault="00A37D3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04832360"/>
      <w:docPartObj>
        <w:docPartGallery w:val="Page Numbers (Bottom of Page)"/>
        <w:docPartUnique/>
      </w:docPartObj>
    </w:sdtPr>
    <w:sdtEndPr/>
    <w:sdtContent>
      <w:p w:rsidR="003959DF" w:rsidRDefault="00BC0702">
        <w:pPr>
          <w:pStyle w:val="Footer"/>
          <w:jc w:val="center"/>
        </w:pPr>
        <w:r>
          <w:fldChar w:fldCharType="begin"/>
        </w:r>
        <w:r>
          <w:instrText xml:space="preserve"> PAGE   \* MERGEFORMAT </w:instrText>
        </w:r>
        <w:r>
          <w:fldChar w:fldCharType="separate"/>
        </w:r>
        <w:r w:rsidR="00D23D99">
          <w:rPr>
            <w:noProof/>
            <w:rtl/>
          </w:rPr>
          <w:t>1</w:t>
        </w:r>
        <w:r>
          <w:rPr>
            <w:noProof/>
          </w:rPr>
          <w:fldChar w:fldCharType="end"/>
        </w:r>
      </w:p>
    </w:sdtContent>
  </w:sdt>
  <w:p w:rsidR="003959DF" w:rsidRPr="00572712" w:rsidRDefault="00A37D39" w:rsidP="0057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39" w:rsidRDefault="00A37D39" w:rsidP="003E265B">
      <w:r>
        <w:separator/>
      </w:r>
    </w:p>
  </w:footnote>
  <w:footnote w:type="continuationSeparator" w:id="0">
    <w:p w:rsidR="00A37D39" w:rsidRDefault="00A37D39" w:rsidP="003E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438" w:rsidRDefault="00A37D39" w:rsidP="00B51EFF">
    <w:pPr>
      <w:pStyle w:val="Header"/>
      <w:tabs>
        <w:tab w:val="clear" w:pos="8640"/>
        <w:tab w:val="left" w:pos="43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5B"/>
    <w:rsid w:val="003E265B"/>
    <w:rsid w:val="00A37D39"/>
    <w:rsid w:val="00BC0702"/>
    <w:rsid w:val="00D23D99"/>
    <w:rsid w:val="00EA6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A6A74C-0A5A-458F-BDE2-B9A89780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5B"/>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E265B"/>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3E265B"/>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3E265B"/>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uiPriority w:val="99"/>
    <w:rsid w:val="003E265B"/>
    <w:rPr>
      <w:rFonts w:ascii="Times New Roman" w:eastAsia="Times New Roman" w:hAnsi="Times New Roman" w:cs="Traditional Arabic"/>
      <w:snapToGrid w:val="0"/>
      <w:sz w:val="20"/>
      <w:szCs w:val="20"/>
    </w:rPr>
  </w:style>
  <w:style w:type="paragraph" w:styleId="Footer">
    <w:name w:val="footer"/>
    <w:basedOn w:val="Normal"/>
    <w:link w:val="FooterChar"/>
    <w:uiPriority w:val="99"/>
    <w:rsid w:val="003E265B"/>
    <w:pPr>
      <w:tabs>
        <w:tab w:val="center" w:pos="4153"/>
        <w:tab w:val="right" w:pos="8306"/>
      </w:tabs>
    </w:pPr>
  </w:style>
  <w:style w:type="character" w:customStyle="1" w:styleId="FooterChar">
    <w:name w:val="Footer Char"/>
    <w:basedOn w:val="DefaultParagraphFont"/>
    <w:link w:val="Footer"/>
    <w:uiPriority w:val="99"/>
    <w:rsid w:val="003E265B"/>
    <w:rPr>
      <w:rFonts w:ascii="Times New Roman" w:eastAsia="Times New Roman" w:hAnsi="Times New Roman" w:cs="Times New Roman"/>
      <w:sz w:val="24"/>
      <w:szCs w:val="24"/>
      <w:lang w:eastAsia="ar-SA"/>
    </w:rPr>
  </w:style>
  <w:style w:type="character" w:styleId="PageNumber">
    <w:name w:val="page number"/>
    <w:basedOn w:val="DefaultParagraphFont"/>
    <w:semiHidden/>
    <w:rsid w:val="003E265B"/>
  </w:style>
  <w:style w:type="character" w:styleId="Hyperlink">
    <w:name w:val="Hyperlink"/>
    <w:basedOn w:val="DefaultParagraphFont"/>
    <w:uiPriority w:val="99"/>
    <w:rsid w:val="003E265B"/>
    <w:rPr>
      <w:color w:val="0000FF"/>
      <w:u w:val="single"/>
    </w:rPr>
  </w:style>
  <w:style w:type="table" w:styleId="TableGrid">
    <w:name w:val="Table Grid"/>
    <w:basedOn w:val="TableNormal"/>
    <w:uiPriority w:val="59"/>
    <w:rsid w:val="003E265B"/>
    <w:pPr>
      <w:bidi/>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3">
    <w:name w:val="Light List Accent 3"/>
    <w:basedOn w:val="TableNormal"/>
    <w:uiPriority w:val="61"/>
    <w:rsid w:val="003E265B"/>
    <w:pPr>
      <w:bidi/>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280888910788648E-2"/>
          <c:y val="6.7296084803656564E-2"/>
          <c:w val="0.88949846716314929"/>
          <c:h val="0.7267376184463501"/>
        </c:manualLayout>
      </c:layout>
      <c:barChart>
        <c:barDir val="col"/>
        <c:grouping val="clustered"/>
        <c:varyColors val="0"/>
        <c:ser>
          <c:idx val="0"/>
          <c:order val="0"/>
          <c:tx>
            <c:strRef>
              <c:f>Sheet1!$B$4</c:f>
              <c:strCache>
                <c:ptCount val="1"/>
                <c:pt idx="0">
                  <c:v>فلسطين</c:v>
                </c:pt>
              </c:strCache>
            </c:strRef>
          </c:tx>
          <c:spPr>
            <a:pattFill prst="narVert">
              <a:fgClr>
                <a:srgbClr val="3AB9C6"/>
              </a:fgClr>
              <a:bgClr>
                <a:schemeClr val="bg1"/>
              </a:bgClr>
            </a:patt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smtId="4294967295">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Sheet1!$A$5:$A$7</c:f>
              <c:strCache>
                <c:ptCount val="3"/>
                <c:pt idx="0">
                  <c:v>2 - 4 سنوات</c:v>
                </c:pt>
                <c:pt idx="1">
                  <c:v>5 - 17 سنة</c:v>
                </c:pt>
                <c:pt idx="2">
                  <c:v>2-17 سنة</c:v>
                </c:pt>
              </c:strCache>
            </c:strRef>
          </c:cat>
          <c:val>
            <c:numRef>
              <c:f>Sheet1!$B$5:$B$7</c:f>
              <c:numCache>
                <c:formatCode>0.0</c:formatCode>
                <c:ptCount val="3"/>
                <c:pt idx="0">
                  <c:v>2.4</c:v>
                </c:pt>
                <c:pt idx="1">
                  <c:v>14.9</c:v>
                </c:pt>
                <c:pt idx="2" formatCode="General">
                  <c:v>12.3</c:v>
                </c:pt>
              </c:numCache>
            </c:numRef>
          </c:val>
          <c:extLst>
            <c:ext xmlns:c16="http://schemas.microsoft.com/office/drawing/2014/chart" uri="{C3380CC4-5D6E-409C-BE32-E72D297353CC}">
              <c16:uniqueId val="{00000000-4FD2-4914-B300-3FB87B5050D6}"/>
            </c:ext>
          </c:extLst>
        </c:ser>
        <c:ser>
          <c:idx val="1"/>
          <c:order val="1"/>
          <c:tx>
            <c:strRef>
              <c:f>Sheet1!$C$4</c:f>
              <c:strCache>
                <c:ptCount val="1"/>
                <c:pt idx="0">
                  <c:v>ذكور</c:v>
                </c:pt>
              </c:strCache>
            </c:strRef>
          </c:tx>
          <c:spPr>
            <a:pattFill prst="narHorz">
              <a:fgClr>
                <a:srgbClr val="684FA1"/>
              </a:fgClr>
              <a:bgClr>
                <a:schemeClr val="bg1"/>
              </a:bgClr>
            </a:patt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smtId="4294967295">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Sheet1!$A$5:$A$7</c:f>
              <c:strCache>
                <c:ptCount val="3"/>
                <c:pt idx="0">
                  <c:v>2 - 4 سنوات</c:v>
                </c:pt>
                <c:pt idx="1">
                  <c:v>5 - 17 سنة</c:v>
                </c:pt>
                <c:pt idx="2">
                  <c:v>2-17 سنة</c:v>
                </c:pt>
              </c:strCache>
            </c:strRef>
          </c:cat>
          <c:val>
            <c:numRef>
              <c:f>Sheet1!$C$5:$C$7</c:f>
              <c:numCache>
                <c:formatCode>0.0</c:formatCode>
                <c:ptCount val="3"/>
                <c:pt idx="0">
                  <c:v>2.5</c:v>
                </c:pt>
                <c:pt idx="1">
                  <c:v>17.8</c:v>
                </c:pt>
                <c:pt idx="2" formatCode="General">
                  <c:v>14.6</c:v>
                </c:pt>
              </c:numCache>
            </c:numRef>
          </c:val>
          <c:extLst>
            <c:ext xmlns:c16="http://schemas.microsoft.com/office/drawing/2014/chart" uri="{C3380CC4-5D6E-409C-BE32-E72D297353CC}">
              <c16:uniqueId val="{00000001-4FD2-4914-B300-3FB87B5050D6}"/>
            </c:ext>
          </c:extLst>
        </c:ser>
        <c:ser>
          <c:idx val="2"/>
          <c:order val="2"/>
          <c:tx>
            <c:strRef>
              <c:f>Sheet1!$D$4</c:f>
              <c:strCache>
                <c:ptCount val="1"/>
                <c:pt idx="0">
                  <c:v>إناث</c:v>
                </c:pt>
              </c:strCache>
            </c:strRef>
          </c:tx>
          <c:spPr>
            <a:pattFill prst="dkDnDiag">
              <a:fgClr>
                <a:srgbClr val="FCB040"/>
              </a:fgClr>
              <a:bgClr>
                <a:schemeClr val="bg1"/>
              </a:bgClr>
            </a:patt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smtId="4294967295">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Sheet1!$A$5:$A$7</c:f>
              <c:strCache>
                <c:ptCount val="3"/>
                <c:pt idx="0">
                  <c:v>2 - 4 سنوات</c:v>
                </c:pt>
                <c:pt idx="1">
                  <c:v>5 - 17 سنة</c:v>
                </c:pt>
                <c:pt idx="2">
                  <c:v>2-17 سنة</c:v>
                </c:pt>
              </c:strCache>
            </c:strRef>
          </c:cat>
          <c:val>
            <c:numRef>
              <c:f>Sheet1!$D$5:$D$7</c:f>
              <c:numCache>
                <c:formatCode>0.0</c:formatCode>
                <c:ptCount val="3"/>
                <c:pt idx="0">
                  <c:v>2.2000000000000002</c:v>
                </c:pt>
                <c:pt idx="1">
                  <c:v>11.8</c:v>
                </c:pt>
                <c:pt idx="2" formatCode="General">
                  <c:v>9.8000000000000007</c:v>
                </c:pt>
              </c:numCache>
            </c:numRef>
          </c:val>
          <c:extLst>
            <c:ext xmlns:c16="http://schemas.microsoft.com/office/drawing/2014/chart" uri="{C3380CC4-5D6E-409C-BE32-E72D297353CC}">
              <c16:uniqueId val="{00000002-4FD2-4914-B300-3FB87B5050D6}"/>
            </c:ext>
          </c:extLst>
        </c:ser>
        <c:dLbls>
          <c:showLegendKey val="0"/>
          <c:showVal val="0"/>
          <c:showCatName val="0"/>
          <c:showSerName val="0"/>
          <c:showPercent val="0"/>
          <c:showBubbleSize val="0"/>
        </c:dLbls>
        <c:gapWidth val="219"/>
        <c:overlap val="-27"/>
        <c:axId val="93295440"/>
        <c:axId val="93297792"/>
      </c:barChart>
      <c:catAx>
        <c:axId val="93295440"/>
        <c:scaling>
          <c:orientation val="maxMin"/>
        </c:scaling>
        <c:delete val="0"/>
        <c:axPos val="b"/>
        <c:numFmt formatCode="General" sourceLinked="1"/>
        <c:majorTickMark val="none"/>
        <c:minorTickMark val="none"/>
        <c:tickLblPos val="nextTo"/>
        <c:spPr>
          <a:noFill/>
          <a:ln w="6350" cap="flat" cmpd="sng" algn="ctr">
            <a:solidFill>
              <a:srgbClr val="D0CECE"/>
            </a:solidFill>
            <a:round/>
          </a:ln>
          <a:effectLst/>
        </c:spPr>
        <c:txPr>
          <a:bodyPr rot="-60000000" spcFirstLastPara="1" vertOverflow="ellipsis" vert="horz" wrap="square" anchor="ctr" anchorCtr="1"/>
          <a:lstStyle/>
          <a:p>
            <a:pPr>
              <a:defRPr sz="600" b="0" i="0" u="none" strike="noStrike" kern="1200" baseline="0" smtId="4294967295">
                <a:solidFill>
                  <a:schemeClr val="tx1">
                    <a:lumMod val="65000"/>
                    <a:lumOff val="35000"/>
                  </a:schemeClr>
                </a:solidFill>
                <a:latin typeface="Franklin Gothic Book" panose="020B0503020102020204" pitchFamily="34" charset="0"/>
                <a:ea typeface="+mn-ea"/>
                <a:cs typeface="+mn-cs"/>
              </a:defRPr>
            </a:pPr>
            <a:endParaRPr lang="en-US"/>
          </a:p>
        </c:txPr>
        <c:crossAx val="93297792"/>
        <c:crosses val="autoZero"/>
        <c:auto val="0"/>
        <c:lblAlgn val="ctr"/>
        <c:lblOffset val="100"/>
        <c:noMultiLvlLbl val="0"/>
      </c:catAx>
      <c:valAx>
        <c:axId val="93297792"/>
        <c:scaling>
          <c:orientation val="minMax"/>
          <c:max val="20"/>
          <c:min val="0"/>
        </c:scaling>
        <c:delete val="1"/>
        <c:axPos val="r"/>
        <c:majorGridlines>
          <c:spPr>
            <a:ln w="6350" cap="flat" cmpd="sng" algn="ctr">
              <a:noFill/>
              <a:round/>
            </a:ln>
            <a:effectLst/>
          </c:spPr>
        </c:majorGridlines>
        <c:numFmt formatCode="0" sourceLinked="0"/>
        <c:majorTickMark val="none"/>
        <c:minorTickMark val="none"/>
        <c:tickLblPos val="nextTo"/>
        <c:crossAx val="93295440"/>
        <c:crosses val="autoZero"/>
        <c:crossBetween val="between"/>
        <c:majorUnit val="5"/>
      </c:valAx>
      <c:spPr>
        <a:noFill/>
        <a:ln>
          <a:noFill/>
        </a:ln>
        <a:effectLst/>
      </c:spPr>
    </c:plotArea>
    <c:legend>
      <c:legendPos val="b"/>
      <c:layout>
        <c:manualLayout>
          <c:xMode val="edge"/>
          <c:yMode val="edge"/>
          <c:x val="0.32467392086982727"/>
          <c:y val="0.88090008497238159"/>
          <c:w val="0.35065215826034546"/>
          <c:h val="8.0796584486961365E-2"/>
        </c:manualLayout>
      </c:layout>
      <c:overlay val="0"/>
      <c:spPr>
        <a:noFill/>
        <a:ln>
          <a:noFill/>
        </a:ln>
        <a:effectLst/>
      </c:spPr>
      <c:txPr>
        <a:bodyPr rot="0" spcFirstLastPara="1" vertOverflow="ellipsis" vert="horz" wrap="square" anchor="ctr" anchorCtr="1"/>
        <a:lstStyle/>
        <a:p>
          <a:pPr>
            <a:defRPr sz="800" b="0" i="0" u="none" strike="noStrike" kern="1200" baseline="0" smtId="4294967295">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600" smtId="4294967295">
          <a:latin typeface="Franklin Gothic Book" panose="020B05030201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Hadeel Badran</cp:lastModifiedBy>
  <cp:revision>2</cp:revision>
  <dcterms:created xsi:type="dcterms:W3CDTF">2020-12-02T09:21:00Z</dcterms:created>
  <dcterms:modified xsi:type="dcterms:W3CDTF">2020-12-02T10:02:00Z</dcterms:modified>
</cp:coreProperties>
</file>