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41" w:rsidRPr="00491441" w:rsidRDefault="00491441" w:rsidP="00491441">
      <w:pPr>
        <w:spacing w:after="0" w:line="240" w:lineRule="auto"/>
        <w:jc w:val="center"/>
        <w:rPr>
          <w:rFonts w:cs="Simplified Arabic" w:hint="cs"/>
          <w:b/>
          <w:bCs/>
          <w:color w:val="000000" w:themeColor="text1"/>
          <w:sz w:val="24"/>
          <w:szCs w:val="24"/>
          <w:rtl/>
        </w:rPr>
      </w:pPr>
      <w:bookmarkStart w:id="0" w:name="_GoBack"/>
      <w:bookmarkEnd w:id="0"/>
    </w:p>
    <w:p w:rsidR="00491441" w:rsidRPr="00491441" w:rsidRDefault="00491441" w:rsidP="00491441">
      <w:pPr>
        <w:spacing w:after="0" w:line="240" w:lineRule="auto"/>
        <w:rPr>
          <w:rFonts w:cs="Simplified Arabic" w:hint="cs"/>
          <w:b/>
          <w:bCs/>
          <w:color w:val="000000" w:themeColor="text1"/>
          <w:sz w:val="24"/>
          <w:szCs w:val="24"/>
          <w:rtl/>
        </w:rPr>
      </w:pPr>
    </w:p>
    <w:p w:rsidR="006B1732" w:rsidRPr="00491441" w:rsidRDefault="00491441" w:rsidP="00491441">
      <w:pPr>
        <w:spacing w:after="0" w:line="240" w:lineRule="auto"/>
        <w:jc w:val="center"/>
        <w:rPr>
          <w:rFonts w:cs="Simplified Arabic"/>
          <w:b/>
          <w:bCs/>
          <w:color w:val="000000" w:themeColor="text1"/>
          <w:sz w:val="32"/>
          <w:szCs w:val="32"/>
        </w:rPr>
      </w:pPr>
      <w:r w:rsidRPr="0049144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الاحصاء الفلسطيني: </w:t>
      </w:r>
      <w:r w:rsidR="006B1732" w:rsidRPr="0049144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النتائج الأولية للتجارة الخارجية المرصودة* للسلع لشهر</w:t>
      </w:r>
      <w:r w:rsidR="001A1EC1" w:rsidRPr="0049144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48273C" w:rsidRPr="0049144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كانون أول</w:t>
      </w:r>
      <w:r w:rsidR="006B1732" w:rsidRPr="0049144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،</w:t>
      </w:r>
      <w:r w:rsidRPr="0049144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12/</w:t>
      </w:r>
      <w:r w:rsidR="00977DCF" w:rsidRPr="00491441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2018</w:t>
      </w:r>
    </w:p>
    <w:p w:rsidR="00491441" w:rsidRPr="00491441" w:rsidRDefault="00491441" w:rsidP="006B1732">
      <w:pPr>
        <w:spacing w:after="0" w:line="240" w:lineRule="auto"/>
        <w:jc w:val="both"/>
        <w:rPr>
          <w:rFonts w:cs="Simplified Arabic" w:hint="cs"/>
          <w:b/>
          <w:bCs/>
          <w:sz w:val="16"/>
          <w:szCs w:val="16"/>
          <w:rtl/>
        </w:rPr>
      </w:pPr>
    </w:p>
    <w:p w:rsidR="006B1732" w:rsidRPr="00491441" w:rsidRDefault="006B1732" w:rsidP="006B1732">
      <w:pPr>
        <w:spacing w:after="0" w:line="240" w:lineRule="auto"/>
        <w:jc w:val="both"/>
        <w:rPr>
          <w:rFonts w:cs="Simplified Arabic"/>
          <w:b/>
          <w:bCs/>
          <w:sz w:val="26"/>
          <w:szCs w:val="26"/>
          <w:rtl/>
          <w:lang w:bidi="ar-JO"/>
        </w:rPr>
      </w:pPr>
      <w:r w:rsidRPr="00491441">
        <w:rPr>
          <w:rFonts w:cs="Simplified Arabic" w:hint="cs"/>
          <w:b/>
          <w:bCs/>
          <w:sz w:val="26"/>
          <w:szCs w:val="26"/>
          <w:rtl/>
        </w:rPr>
        <w:t>الصادرات السلعية:</w:t>
      </w:r>
    </w:p>
    <w:p w:rsidR="006B1732" w:rsidRPr="00463815" w:rsidRDefault="004E2400" w:rsidP="004E2400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الصادرات خلال شهر </w:t>
      </w:r>
      <w:r w:rsidR="0048273C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كانون أول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 w:rsidR="00D42EF5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6016A3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5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 الشهر السابق، </w:t>
      </w:r>
      <w:r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 ارتفعت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5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شهر </w:t>
      </w:r>
      <w:r w:rsidR="0048273C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كانون أول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proofErr w:type="spellStart"/>
      <w:r w:rsidR="0012485C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،</w:t>
      </w:r>
      <w:proofErr w:type="spellEnd"/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حيث بلغت قيمتها </w:t>
      </w:r>
      <w:r w:rsidRPr="00463815">
        <w:rPr>
          <w:rFonts w:ascii="Simplified Arabic" w:hAnsi="Simplified Arabic" w:cs="Simplified Arabic"/>
          <w:color w:val="000000" w:themeColor="text1"/>
          <w:sz w:val="24"/>
          <w:szCs w:val="24"/>
        </w:rPr>
        <w:t>100.2</w:t>
      </w:r>
      <w:r w:rsidR="00F43BB6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مليون دولار أمريكي. </w:t>
      </w:r>
    </w:p>
    <w:p w:rsidR="006B1732" w:rsidRPr="00491441" w:rsidRDefault="006B1732" w:rsidP="006B1732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887F68" w:rsidRPr="00463815" w:rsidRDefault="004E2400" w:rsidP="004E2400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="00B903AE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</w:t>
      </w:r>
      <w:r w:rsidR="00B903AE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903AE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شهر</w:t>
      </w:r>
      <w:r w:rsidR="00B903AE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48273C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كانون أول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12485C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520BB8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بنسبة</w:t>
      </w:r>
      <w:r w:rsidR="00520BB8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</w:t>
      </w:r>
      <w:r w:rsidR="006F0C77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F0C77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مقارنة مع الشهر السابق، وشكلت الصادرات إلى إسرائيل </w:t>
      </w:r>
      <w:proofErr w:type="spellStart"/>
      <w:r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86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إجمالي قيمة الصادرات لشهر </w:t>
      </w:r>
      <w:r w:rsidR="0048273C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كانون أول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2018. </w:t>
      </w:r>
      <w:r w:rsidR="00511C7E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بينما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انخفضت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باقي دول العالم بنسبة </w:t>
      </w:r>
      <w:proofErr w:type="spellStart"/>
      <w:r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10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 الشهر السابق</w:t>
      </w:r>
      <w:r w:rsidR="00A90733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حيث بلغت قيمتها</w:t>
      </w:r>
      <w:r w:rsidR="006805A3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13.7</w:t>
      </w:r>
      <w:r w:rsidR="006805A3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A90733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مليون دولار</w:t>
      </w:r>
      <w:r w:rsidR="00D1105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أمريكي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. </w:t>
      </w:r>
    </w:p>
    <w:p w:rsidR="006B1732" w:rsidRPr="00491441" w:rsidRDefault="006B1732" w:rsidP="00AC42EC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</w:rPr>
      </w:pPr>
    </w:p>
    <w:p w:rsidR="006B1732" w:rsidRPr="00491441" w:rsidRDefault="006B1732" w:rsidP="006B1732">
      <w:pPr>
        <w:spacing w:after="0" w:line="240" w:lineRule="auto"/>
        <w:jc w:val="both"/>
        <w:rPr>
          <w:rFonts w:cs="Simplified Arabic"/>
          <w:b/>
          <w:bCs/>
          <w:sz w:val="26"/>
          <w:szCs w:val="26"/>
          <w:rtl/>
        </w:rPr>
      </w:pPr>
      <w:r w:rsidRPr="00491441">
        <w:rPr>
          <w:rFonts w:cs="Simplified Arabic" w:hint="cs"/>
          <w:b/>
          <w:bCs/>
          <w:sz w:val="26"/>
          <w:szCs w:val="26"/>
          <w:rtl/>
        </w:rPr>
        <w:t>الواردات السلعية:</w:t>
      </w:r>
    </w:p>
    <w:p w:rsidR="006B1732" w:rsidRPr="00463815" w:rsidRDefault="004E2400" w:rsidP="00EE29DB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سجلت</w:t>
      </w:r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الواردات </w:t>
      </w:r>
      <w:r w:rsidR="003447FA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خلال</w:t>
      </w:r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شهر </w:t>
      </w:r>
      <w:r w:rsidR="0048273C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كانون أول</w:t>
      </w:r>
      <w:r w:rsidR="00AA3456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</w:t>
      </w:r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2018 </w:t>
      </w:r>
      <w:r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ارتفاعاً طفيفاً </w:t>
      </w:r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0.2</w:t>
      </w:r>
      <w:r w:rsidR="008E152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كما</w:t>
      </w:r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2C18F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6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48273C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كانون أول</w:t>
      </w:r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 </w:t>
      </w:r>
      <w:proofErr w:type="spellStart"/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2017،</w:t>
      </w:r>
      <w:proofErr w:type="spellEnd"/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حيث بلغت قيمتها </w:t>
      </w:r>
      <w:r w:rsidR="00EE29DB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495.4</w:t>
      </w:r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مليون دولار أمريكي.</w:t>
      </w:r>
    </w:p>
    <w:p w:rsidR="006B1732" w:rsidRPr="00491441" w:rsidRDefault="006B1732" w:rsidP="006B1732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491441" w:rsidRDefault="00EE29DB" w:rsidP="00491441">
      <w:pPr>
        <w:spacing w:after="0" w:line="240" w:lineRule="auto"/>
        <w:jc w:val="both"/>
        <w:rPr>
          <w:rFonts w:cs="Simplified Arabic" w:hint="cs"/>
          <w:color w:val="000000" w:themeColor="text1"/>
          <w:sz w:val="24"/>
          <w:szCs w:val="24"/>
          <w:rtl/>
        </w:rPr>
      </w:pPr>
      <w:r w:rsidRPr="00463815">
        <w:rPr>
          <w:rFonts w:cs="Simplified Arabic" w:hint="cs"/>
          <w:color w:val="000000" w:themeColor="text1"/>
          <w:sz w:val="24"/>
          <w:szCs w:val="24"/>
          <w:rtl/>
        </w:rPr>
        <w:t>ارتفعت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من إسرائيل خلال شهر </w:t>
      </w:r>
      <w:r w:rsidR="0048273C" w:rsidRPr="00463815">
        <w:rPr>
          <w:rFonts w:cs="Simplified Arabic" w:hint="cs"/>
          <w:color w:val="000000" w:themeColor="text1"/>
          <w:sz w:val="24"/>
          <w:szCs w:val="24"/>
          <w:rtl/>
        </w:rPr>
        <w:t>كانون أول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</w:t>
      </w:r>
      <w:r w:rsidR="00544C2B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</w:t>
      </w:r>
      <w:r w:rsidR="00544C2B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2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AC42EC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الشهر السابق، وشكلت الواردات من إسرائيل </w:t>
      </w:r>
      <w:proofErr w:type="spellStart"/>
      <w:r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57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</w:t>
      </w:r>
      <w:r w:rsidR="0048273C" w:rsidRPr="00463815">
        <w:rPr>
          <w:rFonts w:cs="Simplified Arabic" w:hint="cs"/>
          <w:color w:val="000000" w:themeColor="text1"/>
          <w:sz w:val="24"/>
          <w:szCs w:val="24"/>
          <w:rtl/>
        </w:rPr>
        <w:t>كانون أول</w:t>
      </w:r>
      <w:r w:rsidR="00D258A7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من عام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. </w:t>
      </w:r>
      <w:r w:rsidR="00511C7E" w:rsidRPr="00463815">
        <w:rPr>
          <w:rFonts w:cs="Simplified Arabic" w:hint="cs"/>
          <w:color w:val="000000" w:themeColor="text1"/>
          <w:sz w:val="24"/>
          <w:szCs w:val="24"/>
          <w:rtl/>
        </w:rPr>
        <w:t>بينما</w:t>
      </w:r>
      <w:r w:rsidR="00B903AE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463815">
        <w:rPr>
          <w:rFonts w:cs="Simplified Arabic" w:hint="cs"/>
          <w:color w:val="000000" w:themeColor="text1"/>
          <w:sz w:val="24"/>
          <w:szCs w:val="24"/>
          <w:rtl/>
        </w:rPr>
        <w:t>انخفضت</w:t>
      </w:r>
      <w:r w:rsidR="00B903AE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AE01BC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الواردات </w:t>
      </w:r>
      <w:r w:rsidR="006C364F" w:rsidRPr="00463815">
        <w:rPr>
          <w:rFonts w:cs="Simplified Arabic" w:hint="cs"/>
          <w:color w:val="000000" w:themeColor="text1"/>
          <w:sz w:val="24"/>
          <w:szCs w:val="24"/>
          <w:rtl/>
        </w:rPr>
        <w:t>من</w:t>
      </w:r>
      <w:r w:rsidR="00AE01BC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باقي دول العالم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r w:rsidR="00E56A08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3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AC42EC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>مقارنة مع الشهر السابق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491441" w:rsidRPr="00491441" w:rsidRDefault="00491441" w:rsidP="00491441">
      <w:pPr>
        <w:tabs>
          <w:tab w:val="left" w:pos="4830"/>
        </w:tabs>
        <w:spacing w:after="0" w:line="240" w:lineRule="auto"/>
        <w:jc w:val="both"/>
        <w:rPr>
          <w:rFonts w:cs="Simplified Arabic" w:hint="cs"/>
          <w:color w:val="000000" w:themeColor="text1"/>
          <w:sz w:val="16"/>
          <w:szCs w:val="16"/>
          <w:rtl/>
        </w:rPr>
      </w:pPr>
      <w:r>
        <w:rPr>
          <w:rFonts w:cs="Simplified Arabic"/>
          <w:color w:val="000000" w:themeColor="text1"/>
          <w:sz w:val="24"/>
          <w:szCs w:val="24"/>
          <w:rtl/>
        </w:rPr>
        <w:tab/>
      </w:r>
    </w:p>
    <w:p w:rsidR="00463815" w:rsidRPr="00491441" w:rsidRDefault="007840A8" w:rsidP="00491441">
      <w:pPr>
        <w:spacing w:after="120" w:line="240" w:lineRule="auto"/>
        <w:jc w:val="center"/>
        <w:rPr>
          <w:rFonts w:cs="Simplified Arabic"/>
          <w:color w:val="000000" w:themeColor="text1"/>
          <w:sz w:val="24"/>
          <w:szCs w:val="24"/>
        </w:rPr>
      </w:pPr>
      <w:r w:rsidRPr="007840A8">
        <w:rPr>
          <w:rFonts w:cs="Simplified Arabic"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3019425" cy="2543175"/>
            <wp:effectExtent l="1905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491441" w:rsidRDefault="002B01F1" w:rsidP="002B01F1">
      <w:pPr>
        <w:spacing w:after="0" w:line="240" w:lineRule="auto"/>
        <w:jc w:val="both"/>
        <w:rPr>
          <w:rFonts w:cs="Simplified Arabic"/>
          <w:b/>
          <w:bCs/>
          <w:sz w:val="26"/>
          <w:szCs w:val="26"/>
          <w:rtl/>
        </w:rPr>
      </w:pPr>
      <w:r w:rsidRPr="00491441">
        <w:rPr>
          <w:rFonts w:cs="Simplified Arabic" w:hint="cs"/>
          <w:b/>
          <w:bCs/>
          <w:sz w:val="26"/>
          <w:szCs w:val="26"/>
          <w:rtl/>
        </w:rPr>
        <w:t>الميزان التجاري للسلع المرصودة:</w:t>
      </w:r>
    </w:p>
    <w:p w:rsidR="006B1732" w:rsidRDefault="006B1732" w:rsidP="00491441">
      <w:pPr>
        <w:spacing w:after="0" w:line="240" w:lineRule="auto"/>
        <w:jc w:val="both"/>
        <w:rPr>
          <w:rFonts w:hint="cs"/>
          <w:b/>
          <w:bCs/>
          <w:color w:val="000000" w:themeColor="text1"/>
          <w:rtl/>
        </w:rPr>
      </w:pPr>
      <w:r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463815">
        <w:rPr>
          <w:rFonts w:cs="Simplified Arabic" w:hint="cs"/>
          <w:color w:val="000000" w:themeColor="text1"/>
          <w:sz w:val="24"/>
          <w:szCs w:val="24"/>
          <w:rtl/>
        </w:rPr>
        <w:t>والواردات،</w:t>
      </w:r>
      <w:proofErr w:type="spellEnd"/>
      <w:r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فقد سجل </w:t>
      </w:r>
      <w:r w:rsidR="002C18F2" w:rsidRPr="00463815">
        <w:rPr>
          <w:rFonts w:cs="Simplified Arabic" w:hint="cs"/>
          <w:color w:val="000000" w:themeColor="text1"/>
          <w:sz w:val="24"/>
          <w:szCs w:val="24"/>
          <w:rtl/>
        </w:rPr>
        <w:t>ا</w:t>
      </w:r>
      <w:r w:rsidR="00511C7E" w:rsidRPr="00463815">
        <w:rPr>
          <w:rFonts w:cs="Simplified Arabic" w:hint="cs"/>
          <w:color w:val="000000" w:themeColor="text1"/>
          <w:sz w:val="24"/>
          <w:szCs w:val="24"/>
          <w:rtl/>
        </w:rPr>
        <w:t>نخفاض</w:t>
      </w:r>
      <w:r w:rsidR="004D4314" w:rsidRPr="00463815">
        <w:rPr>
          <w:rFonts w:cs="Simplified Arabic" w:hint="cs"/>
          <w:color w:val="000000" w:themeColor="text1"/>
          <w:sz w:val="24"/>
          <w:szCs w:val="24"/>
          <w:rtl/>
        </w:rPr>
        <w:t>اً</w:t>
      </w:r>
      <w:r w:rsidR="000F3731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463815">
        <w:rPr>
          <w:rFonts w:cs="Simplified Arabic" w:hint="cs"/>
          <w:color w:val="000000" w:themeColor="text1"/>
          <w:sz w:val="24"/>
          <w:szCs w:val="24"/>
          <w:rtl/>
        </w:rPr>
        <w:t>في قيمة العجز</w:t>
      </w:r>
      <w:r w:rsidRPr="00463815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="00EE29DB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</w:t>
      </w:r>
      <w:r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 w:rsidR="0048273C" w:rsidRPr="00463815">
        <w:rPr>
          <w:rFonts w:cs="Simplified Arabic" w:hint="cs"/>
          <w:color w:val="000000" w:themeColor="text1"/>
          <w:sz w:val="24"/>
          <w:szCs w:val="24"/>
          <w:rtl/>
        </w:rPr>
        <w:t>كانون أول</w:t>
      </w:r>
      <w:r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="00511C7E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بينما</w:t>
      </w:r>
      <w:r w:rsidR="004D4314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سجل</w:t>
      </w:r>
      <w:r w:rsidR="005878CC" w:rsidRPr="00463815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0F3731" w:rsidRPr="00463815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ارتفاعاً </w:t>
      </w:r>
      <w:r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="00EE29DB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6</w:t>
      </w:r>
      <w:r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proofErr w:type="spellEnd"/>
      <w:r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48273C" w:rsidRPr="00463815">
        <w:rPr>
          <w:rFonts w:cs="Simplified Arabic" w:hint="cs"/>
          <w:color w:val="000000" w:themeColor="text1"/>
          <w:sz w:val="24"/>
          <w:szCs w:val="24"/>
          <w:rtl/>
        </w:rPr>
        <w:t>كانون أول</w:t>
      </w:r>
      <w:r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Pr="00463815">
        <w:rPr>
          <w:rFonts w:cs="Simplified Arabic"/>
          <w:color w:val="000000" w:themeColor="text1"/>
          <w:sz w:val="24"/>
          <w:szCs w:val="24"/>
        </w:rPr>
        <w:t xml:space="preserve"> </w:t>
      </w:r>
      <w:r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proofErr w:type="spellStart"/>
      <w:r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Pr="00463815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حيث بلغ العجز </w:t>
      </w:r>
      <w:r w:rsidR="00EE29DB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395.2</w:t>
      </w:r>
      <w:r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463815">
        <w:rPr>
          <w:rFonts w:cs="Simplified Arabic" w:hint="cs"/>
          <w:color w:val="000000" w:themeColor="text1"/>
          <w:sz w:val="24"/>
          <w:szCs w:val="24"/>
          <w:rtl/>
        </w:rPr>
        <w:t>مليو</w:t>
      </w:r>
      <w:r w:rsidR="00977DCF" w:rsidRPr="00463815">
        <w:rPr>
          <w:rFonts w:cs="Simplified Arabic" w:hint="cs"/>
          <w:color w:val="000000" w:themeColor="text1"/>
          <w:sz w:val="24"/>
          <w:szCs w:val="24"/>
          <w:rtl/>
        </w:rPr>
        <w:t>ن دولار</w:t>
      </w:r>
      <w:r w:rsidRPr="00463815">
        <w:rPr>
          <w:rFonts w:cs="Simplified Arabic"/>
          <w:color w:val="000000" w:themeColor="text1"/>
          <w:sz w:val="24"/>
          <w:szCs w:val="24"/>
        </w:rPr>
        <w:t xml:space="preserve"> </w:t>
      </w:r>
      <w:r w:rsidRPr="00463815">
        <w:rPr>
          <w:rFonts w:cs="Simplified Arabic" w:hint="cs"/>
          <w:color w:val="000000" w:themeColor="text1"/>
          <w:sz w:val="24"/>
          <w:szCs w:val="24"/>
          <w:rtl/>
        </w:rPr>
        <w:t>أمريكي.</w:t>
      </w:r>
    </w:p>
    <w:p w:rsidR="00491441" w:rsidRDefault="00491441" w:rsidP="00491441">
      <w:pPr>
        <w:spacing w:after="0" w:line="240" w:lineRule="auto"/>
        <w:jc w:val="both"/>
        <w:rPr>
          <w:rFonts w:hint="cs"/>
          <w:b/>
          <w:bCs/>
          <w:color w:val="000000" w:themeColor="text1"/>
          <w:rtl/>
        </w:rPr>
      </w:pPr>
    </w:p>
    <w:p w:rsidR="00491441" w:rsidRDefault="00491441" w:rsidP="00491441">
      <w:pPr>
        <w:pStyle w:val="Footer"/>
        <w:rPr>
          <w:rFonts w:cs="Simplified Arabic"/>
          <w:sz w:val="18"/>
          <w:szCs w:val="18"/>
          <w:rtl/>
        </w:rPr>
      </w:pPr>
      <w:proofErr w:type="spellStart"/>
      <w:r w:rsidRPr="004E6FEB">
        <w:rPr>
          <w:rFonts w:cs="Simplified Arabic" w:hint="cs"/>
          <w:b/>
          <w:bCs/>
          <w:sz w:val="18"/>
          <w:szCs w:val="18"/>
          <w:rtl/>
        </w:rPr>
        <w:t>(*):</w:t>
      </w:r>
      <w:proofErr w:type="spellEnd"/>
      <w:r w:rsidRPr="007757C1">
        <w:rPr>
          <w:rFonts w:cs="Simplified Arabic" w:hint="cs"/>
          <w:sz w:val="18"/>
          <w:szCs w:val="18"/>
          <w:rtl/>
        </w:rPr>
        <w:t xml:space="preserve"> تشمل البيانات الفعلية التي تم الحصول عليها من المصادر الرسمية</w:t>
      </w:r>
      <w:r>
        <w:rPr>
          <w:rFonts w:cs="Simplified Arabic" w:hint="cs"/>
          <w:sz w:val="18"/>
          <w:szCs w:val="18"/>
          <w:rtl/>
        </w:rPr>
        <w:t>.</w:t>
      </w:r>
    </w:p>
    <w:p w:rsidR="00491441" w:rsidRPr="00491441" w:rsidRDefault="00491441" w:rsidP="00491441">
      <w:pPr>
        <w:pStyle w:val="Footer"/>
        <w:rPr>
          <w:rFonts w:cs="Simplified Arabic"/>
          <w:b/>
          <w:bCs/>
          <w:sz w:val="18"/>
          <w:szCs w:val="18"/>
        </w:rPr>
      </w:pPr>
      <w:proofErr w:type="spellStart"/>
      <w:r w:rsidRPr="004E6FEB">
        <w:rPr>
          <w:rFonts w:cs="Simplified Arabic" w:hint="cs"/>
          <w:b/>
          <w:bCs/>
          <w:sz w:val="18"/>
          <w:szCs w:val="18"/>
          <w:rtl/>
        </w:rPr>
        <w:t>ملاحظة:</w:t>
      </w:r>
      <w:proofErr w:type="spellEnd"/>
      <w:r w:rsidRPr="004E6FEB">
        <w:rPr>
          <w:rFonts w:cs="Simplified Arabic" w:hint="cs"/>
          <w:b/>
          <w:bCs/>
          <w:sz w:val="18"/>
          <w:szCs w:val="18"/>
          <w:rtl/>
        </w:rPr>
        <w:t xml:space="preserve"> </w:t>
      </w:r>
      <w:r w:rsidRPr="004E6FEB">
        <w:rPr>
          <w:rFonts w:cs="Simplified Arabic" w:hint="cs"/>
          <w:sz w:val="18"/>
          <w:szCs w:val="18"/>
          <w:rtl/>
        </w:rPr>
        <w:t xml:space="preserve">سيتم نشر البيانات التفصيلية في </w:t>
      </w:r>
      <w:r w:rsidRPr="004E6FEB">
        <w:rPr>
          <w:rFonts w:asciiTheme="minorBidi" w:hAnsiTheme="minorBidi" w:cstheme="minorBidi"/>
          <w:sz w:val="18"/>
          <w:szCs w:val="18"/>
          <w:rtl/>
        </w:rPr>
        <w:t xml:space="preserve">15/10/2019 </w:t>
      </w:r>
      <w:r>
        <w:rPr>
          <w:rFonts w:cs="Simplified Arabic" w:hint="cs"/>
          <w:sz w:val="18"/>
          <w:szCs w:val="18"/>
          <w:rtl/>
        </w:rPr>
        <w:t xml:space="preserve">كما هو في </w:t>
      </w:r>
      <w:proofErr w:type="spellStart"/>
      <w:r>
        <w:rPr>
          <w:rFonts w:cs="Simplified Arabic" w:hint="cs"/>
          <w:sz w:val="18"/>
          <w:szCs w:val="18"/>
          <w:rtl/>
        </w:rPr>
        <w:t>الرزنامة</w:t>
      </w:r>
      <w:proofErr w:type="spellEnd"/>
      <w:r>
        <w:rPr>
          <w:rFonts w:cs="Simplified Arabic" w:hint="cs"/>
          <w:sz w:val="18"/>
          <w:szCs w:val="18"/>
          <w:rtl/>
        </w:rPr>
        <w:t xml:space="preserve"> </w:t>
      </w:r>
      <w:r w:rsidRPr="004E6FEB">
        <w:rPr>
          <w:rFonts w:cs="Simplified Arabic" w:hint="cs"/>
          <w:sz w:val="18"/>
          <w:szCs w:val="18"/>
          <w:rtl/>
        </w:rPr>
        <w:t>الإحصائية</w:t>
      </w:r>
      <w:r>
        <w:rPr>
          <w:rFonts w:cs="Simplified Arabic" w:hint="cs"/>
          <w:sz w:val="18"/>
          <w:szCs w:val="18"/>
          <w:rtl/>
        </w:rPr>
        <w:t xml:space="preserve">: </w:t>
      </w:r>
      <w:r w:rsidRPr="004E6FEB">
        <w:t xml:space="preserve"> </w:t>
      </w:r>
      <w:hyperlink r:id="rId8" w:anchor="CalenderAnc" w:history="1">
        <w:r w:rsidRPr="004E6FEB">
          <w:rPr>
            <w:rStyle w:val="Hyperlink"/>
            <w:sz w:val="18"/>
            <w:szCs w:val="18"/>
          </w:rPr>
          <w:t>http://www.pcbs.gov.ps/calenderAr.aspx#CalenderAnc</w:t>
        </w:r>
      </w:hyperlink>
    </w:p>
    <w:sectPr w:rsidR="00491441" w:rsidRPr="00491441" w:rsidSect="00491441">
      <w:pgSz w:w="12240" w:h="15840"/>
      <w:pgMar w:top="720" w:right="720" w:bottom="568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82E" w:rsidRDefault="00F7382E" w:rsidP="00677DB4">
      <w:pPr>
        <w:spacing w:after="0" w:line="240" w:lineRule="auto"/>
      </w:pPr>
      <w:r>
        <w:separator/>
      </w:r>
    </w:p>
  </w:endnote>
  <w:endnote w:type="continuationSeparator" w:id="0">
    <w:p w:rsidR="00F7382E" w:rsidRDefault="00F7382E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82E" w:rsidRDefault="00F7382E" w:rsidP="00677DB4">
      <w:pPr>
        <w:spacing w:after="0" w:line="240" w:lineRule="auto"/>
      </w:pPr>
      <w:r>
        <w:separator/>
      </w:r>
    </w:p>
  </w:footnote>
  <w:footnote w:type="continuationSeparator" w:id="0">
    <w:p w:rsidR="00F7382E" w:rsidRDefault="00F7382E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73762"/>
  </w:hdrShapeDefaults>
  <w:footnotePr>
    <w:footnote w:id="-1"/>
    <w:footnote w:id="0"/>
  </w:footnotePr>
  <w:endnotePr>
    <w:endnote w:id="-1"/>
    <w:endnote w:id="0"/>
  </w:endnotePr>
  <w:compat/>
  <w:rsids>
    <w:rsidRoot w:val="00A851D8"/>
    <w:rsid w:val="0000033E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1B72"/>
    <w:rsid w:val="00011DC6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2781"/>
    <w:rsid w:val="0003312A"/>
    <w:rsid w:val="00033967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F5E"/>
    <w:rsid w:val="00045412"/>
    <w:rsid w:val="000459D0"/>
    <w:rsid w:val="00045FE4"/>
    <w:rsid w:val="00050F8C"/>
    <w:rsid w:val="00054324"/>
    <w:rsid w:val="00055316"/>
    <w:rsid w:val="000561BF"/>
    <w:rsid w:val="00065883"/>
    <w:rsid w:val="00066A8A"/>
    <w:rsid w:val="00066D1F"/>
    <w:rsid w:val="000674F4"/>
    <w:rsid w:val="00067D3A"/>
    <w:rsid w:val="00067ED1"/>
    <w:rsid w:val="00070391"/>
    <w:rsid w:val="00071F0E"/>
    <w:rsid w:val="00073384"/>
    <w:rsid w:val="00074B94"/>
    <w:rsid w:val="00076B0C"/>
    <w:rsid w:val="0007752B"/>
    <w:rsid w:val="00081CA1"/>
    <w:rsid w:val="00082041"/>
    <w:rsid w:val="00082339"/>
    <w:rsid w:val="00084025"/>
    <w:rsid w:val="0009091F"/>
    <w:rsid w:val="0009098E"/>
    <w:rsid w:val="00092D23"/>
    <w:rsid w:val="000932EB"/>
    <w:rsid w:val="00093A3F"/>
    <w:rsid w:val="00094E41"/>
    <w:rsid w:val="0009688F"/>
    <w:rsid w:val="000A66BE"/>
    <w:rsid w:val="000A71D1"/>
    <w:rsid w:val="000A7BE4"/>
    <w:rsid w:val="000B3DEA"/>
    <w:rsid w:val="000B5F4D"/>
    <w:rsid w:val="000C1451"/>
    <w:rsid w:val="000C1B4B"/>
    <w:rsid w:val="000C272A"/>
    <w:rsid w:val="000C3BB4"/>
    <w:rsid w:val="000C67AD"/>
    <w:rsid w:val="000C72E8"/>
    <w:rsid w:val="000D127B"/>
    <w:rsid w:val="000D1A1E"/>
    <w:rsid w:val="000D1F32"/>
    <w:rsid w:val="000D316E"/>
    <w:rsid w:val="000D343C"/>
    <w:rsid w:val="000D5D65"/>
    <w:rsid w:val="000D7F5D"/>
    <w:rsid w:val="000E3FED"/>
    <w:rsid w:val="000E40DF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2D0"/>
    <w:rsid w:val="00110194"/>
    <w:rsid w:val="001107FE"/>
    <w:rsid w:val="00111D0F"/>
    <w:rsid w:val="00111EB9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703"/>
    <w:rsid w:val="00137704"/>
    <w:rsid w:val="0014165C"/>
    <w:rsid w:val="00142421"/>
    <w:rsid w:val="001428A8"/>
    <w:rsid w:val="00144313"/>
    <w:rsid w:val="001462FE"/>
    <w:rsid w:val="0014741B"/>
    <w:rsid w:val="00147466"/>
    <w:rsid w:val="00156262"/>
    <w:rsid w:val="00156706"/>
    <w:rsid w:val="00156FD0"/>
    <w:rsid w:val="001617BD"/>
    <w:rsid w:val="001618A2"/>
    <w:rsid w:val="00161A2E"/>
    <w:rsid w:val="00162CDD"/>
    <w:rsid w:val="00165A07"/>
    <w:rsid w:val="00165ED0"/>
    <w:rsid w:val="001712A0"/>
    <w:rsid w:val="001725E8"/>
    <w:rsid w:val="00172D7F"/>
    <w:rsid w:val="00173344"/>
    <w:rsid w:val="001735D0"/>
    <w:rsid w:val="0017546C"/>
    <w:rsid w:val="00176E9F"/>
    <w:rsid w:val="001772D6"/>
    <w:rsid w:val="00180BAA"/>
    <w:rsid w:val="00180BD2"/>
    <w:rsid w:val="00180C5D"/>
    <w:rsid w:val="00182C12"/>
    <w:rsid w:val="001832A1"/>
    <w:rsid w:val="00184B00"/>
    <w:rsid w:val="00185C14"/>
    <w:rsid w:val="00190A5B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442"/>
    <w:rsid w:val="001B090C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6C3"/>
    <w:rsid w:val="00200801"/>
    <w:rsid w:val="00200ED9"/>
    <w:rsid w:val="00201456"/>
    <w:rsid w:val="002014E6"/>
    <w:rsid w:val="00201A6D"/>
    <w:rsid w:val="00204868"/>
    <w:rsid w:val="00205944"/>
    <w:rsid w:val="0020597E"/>
    <w:rsid w:val="00205A79"/>
    <w:rsid w:val="00205CC6"/>
    <w:rsid w:val="00205DA5"/>
    <w:rsid w:val="002106F2"/>
    <w:rsid w:val="00210CCF"/>
    <w:rsid w:val="0021218D"/>
    <w:rsid w:val="00213C34"/>
    <w:rsid w:val="00215B95"/>
    <w:rsid w:val="002179F3"/>
    <w:rsid w:val="00221F67"/>
    <w:rsid w:val="00222376"/>
    <w:rsid w:val="0022318B"/>
    <w:rsid w:val="0022418B"/>
    <w:rsid w:val="002266B3"/>
    <w:rsid w:val="002272CD"/>
    <w:rsid w:val="002277B8"/>
    <w:rsid w:val="00227C24"/>
    <w:rsid w:val="00230A18"/>
    <w:rsid w:val="002315CA"/>
    <w:rsid w:val="00232238"/>
    <w:rsid w:val="00233FA3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27B4"/>
    <w:rsid w:val="0026417E"/>
    <w:rsid w:val="00265E09"/>
    <w:rsid w:val="00265FEF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3B41"/>
    <w:rsid w:val="00286648"/>
    <w:rsid w:val="002868D2"/>
    <w:rsid w:val="00286A30"/>
    <w:rsid w:val="0028758D"/>
    <w:rsid w:val="00287F93"/>
    <w:rsid w:val="002902AE"/>
    <w:rsid w:val="00292269"/>
    <w:rsid w:val="002938A1"/>
    <w:rsid w:val="0029391A"/>
    <w:rsid w:val="002971E3"/>
    <w:rsid w:val="002A2A20"/>
    <w:rsid w:val="002A3603"/>
    <w:rsid w:val="002A6091"/>
    <w:rsid w:val="002A6F44"/>
    <w:rsid w:val="002B01F1"/>
    <w:rsid w:val="002B1933"/>
    <w:rsid w:val="002B1FF6"/>
    <w:rsid w:val="002B4970"/>
    <w:rsid w:val="002B5293"/>
    <w:rsid w:val="002B6270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2216"/>
    <w:rsid w:val="003230E7"/>
    <w:rsid w:val="00325603"/>
    <w:rsid w:val="00325AFE"/>
    <w:rsid w:val="003269E4"/>
    <w:rsid w:val="00326C99"/>
    <w:rsid w:val="00326ED3"/>
    <w:rsid w:val="00326EE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138F"/>
    <w:rsid w:val="00361E21"/>
    <w:rsid w:val="00363534"/>
    <w:rsid w:val="00363817"/>
    <w:rsid w:val="00364727"/>
    <w:rsid w:val="00364E22"/>
    <w:rsid w:val="003657FF"/>
    <w:rsid w:val="00370398"/>
    <w:rsid w:val="003735CE"/>
    <w:rsid w:val="00373EA0"/>
    <w:rsid w:val="003743A3"/>
    <w:rsid w:val="00375B04"/>
    <w:rsid w:val="00377A29"/>
    <w:rsid w:val="00377A64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5F1D"/>
    <w:rsid w:val="003C08A1"/>
    <w:rsid w:val="003C1A98"/>
    <w:rsid w:val="003C245D"/>
    <w:rsid w:val="003C26D8"/>
    <w:rsid w:val="003C2F21"/>
    <w:rsid w:val="003C3457"/>
    <w:rsid w:val="003C4B6E"/>
    <w:rsid w:val="003D0233"/>
    <w:rsid w:val="003D0411"/>
    <w:rsid w:val="003D05D9"/>
    <w:rsid w:val="003D0C48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4E3D"/>
    <w:rsid w:val="003F542B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3B1D"/>
    <w:rsid w:val="0041425C"/>
    <w:rsid w:val="00415D4D"/>
    <w:rsid w:val="0041645C"/>
    <w:rsid w:val="00417299"/>
    <w:rsid w:val="004173FF"/>
    <w:rsid w:val="00420E29"/>
    <w:rsid w:val="00423F42"/>
    <w:rsid w:val="00424382"/>
    <w:rsid w:val="0042565F"/>
    <w:rsid w:val="0042684E"/>
    <w:rsid w:val="00427569"/>
    <w:rsid w:val="00430624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2869"/>
    <w:rsid w:val="00463815"/>
    <w:rsid w:val="00464C7B"/>
    <w:rsid w:val="0046502F"/>
    <w:rsid w:val="00465D01"/>
    <w:rsid w:val="0046762C"/>
    <w:rsid w:val="00470254"/>
    <w:rsid w:val="00471E59"/>
    <w:rsid w:val="00474CC0"/>
    <w:rsid w:val="00475AA8"/>
    <w:rsid w:val="0047615E"/>
    <w:rsid w:val="004768EE"/>
    <w:rsid w:val="0048013A"/>
    <w:rsid w:val="00480175"/>
    <w:rsid w:val="0048273C"/>
    <w:rsid w:val="004827A7"/>
    <w:rsid w:val="00483A9F"/>
    <w:rsid w:val="004844F3"/>
    <w:rsid w:val="004850FC"/>
    <w:rsid w:val="004861F6"/>
    <w:rsid w:val="0048700D"/>
    <w:rsid w:val="004909F7"/>
    <w:rsid w:val="00490B2C"/>
    <w:rsid w:val="00491441"/>
    <w:rsid w:val="004926C4"/>
    <w:rsid w:val="00493F7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F11"/>
    <w:rsid w:val="004B0C45"/>
    <w:rsid w:val="004B26AB"/>
    <w:rsid w:val="004B3A7F"/>
    <w:rsid w:val="004B3AEC"/>
    <w:rsid w:val="004B7401"/>
    <w:rsid w:val="004C19A6"/>
    <w:rsid w:val="004C2A46"/>
    <w:rsid w:val="004C3712"/>
    <w:rsid w:val="004C4B88"/>
    <w:rsid w:val="004D012C"/>
    <w:rsid w:val="004D019B"/>
    <w:rsid w:val="004D1300"/>
    <w:rsid w:val="004D2021"/>
    <w:rsid w:val="004D20F3"/>
    <w:rsid w:val="004D371D"/>
    <w:rsid w:val="004D4314"/>
    <w:rsid w:val="004D4CD1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6EE4"/>
    <w:rsid w:val="004E6EF1"/>
    <w:rsid w:val="004E6FEB"/>
    <w:rsid w:val="004E799E"/>
    <w:rsid w:val="004F213C"/>
    <w:rsid w:val="004F2D2D"/>
    <w:rsid w:val="004F51EF"/>
    <w:rsid w:val="004F6139"/>
    <w:rsid w:val="004F6844"/>
    <w:rsid w:val="004F7D8D"/>
    <w:rsid w:val="004F7F90"/>
    <w:rsid w:val="00502F72"/>
    <w:rsid w:val="005040CF"/>
    <w:rsid w:val="005052F5"/>
    <w:rsid w:val="00506D0B"/>
    <w:rsid w:val="00510461"/>
    <w:rsid w:val="005104D1"/>
    <w:rsid w:val="0051198E"/>
    <w:rsid w:val="00511ACB"/>
    <w:rsid w:val="00511C7E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7725"/>
    <w:rsid w:val="005305C6"/>
    <w:rsid w:val="0053105A"/>
    <w:rsid w:val="0053183C"/>
    <w:rsid w:val="00535E27"/>
    <w:rsid w:val="005405F1"/>
    <w:rsid w:val="0054181E"/>
    <w:rsid w:val="00541E5B"/>
    <w:rsid w:val="00541FBB"/>
    <w:rsid w:val="00542EE0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5862"/>
    <w:rsid w:val="00576A2A"/>
    <w:rsid w:val="00576F36"/>
    <w:rsid w:val="005775EA"/>
    <w:rsid w:val="0058051D"/>
    <w:rsid w:val="005816EC"/>
    <w:rsid w:val="00582135"/>
    <w:rsid w:val="00582719"/>
    <w:rsid w:val="00584482"/>
    <w:rsid w:val="005878CC"/>
    <w:rsid w:val="00587A77"/>
    <w:rsid w:val="0059100A"/>
    <w:rsid w:val="00594709"/>
    <w:rsid w:val="005948FF"/>
    <w:rsid w:val="00594A02"/>
    <w:rsid w:val="005969FD"/>
    <w:rsid w:val="005A17E9"/>
    <w:rsid w:val="005A1A51"/>
    <w:rsid w:val="005A27FA"/>
    <w:rsid w:val="005A4ED3"/>
    <w:rsid w:val="005A5837"/>
    <w:rsid w:val="005A5C37"/>
    <w:rsid w:val="005A7669"/>
    <w:rsid w:val="005A79A2"/>
    <w:rsid w:val="005A7CAA"/>
    <w:rsid w:val="005B169B"/>
    <w:rsid w:val="005B2816"/>
    <w:rsid w:val="005B3160"/>
    <w:rsid w:val="005B3F6E"/>
    <w:rsid w:val="005B4212"/>
    <w:rsid w:val="005B4D59"/>
    <w:rsid w:val="005B5D32"/>
    <w:rsid w:val="005B740D"/>
    <w:rsid w:val="005B7F09"/>
    <w:rsid w:val="005B7F63"/>
    <w:rsid w:val="005C01E9"/>
    <w:rsid w:val="005C3441"/>
    <w:rsid w:val="005C3BF9"/>
    <w:rsid w:val="005C5FA3"/>
    <w:rsid w:val="005C74AF"/>
    <w:rsid w:val="005C7A87"/>
    <w:rsid w:val="005C7E2D"/>
    <w:rsid w:val="005D1324"/>
    <w:rsid w:val="005D4D56"/>
    <w:rsid w:val="005D50AE"/>
    <w:rsid w:val="005D700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3E9E"/>
    <w:rsid w:val="006247E4"/>
    <w:rsid w:val="00625657"/>
    <w:rsid w:val="006269A0"/>
    <w:rsid w:val="00626BFE"/>
    <w:rsid w:val="0062709F"/>
    <w:rsid w:val="006304BA"/>
    <w:rsid w:val="00630A30"/>
    <w:rsid w:val="00630A65"/>
    <w:rsid w:val="00633381"/>
    <w:rsid w:val="0063363B"/>
    <w:rsid w:val="006336EE"/>
    <w:rsid w:val="00635FDE"/>
    <w:rsid w:val="0063705E"/>
    <w:rsid w:val="00641D63"/>
    <w:rsid w:val="00644643"/>
    <w:rsid w:val="00644C12"/>
    <w:rsid w:val="00646A4E"/>
    <w:rsid w:val="00652F40"/>
    <w:rsid w:val="00655B01"/>
    <w:rsid w:val="00656AF4"/>
    <w:rsid w:val="006603A9"/>
    <w:rsid w:val="006604A5"/>
    <w:rsid w:val="0066155A"/>
    <w:rsid w:val="00661773"/>
    <w:rsid w:val="006673B8"/>
    <w:rsid w:val="00670DE8"/>
    <w:rsid w:val="00671EAD"/>
    <w:rsid w:val="00672866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EE8"/>
    <w:rsid w:val="00684788"/>
    <w:rsid w:val="00690F7E"/>
    <w:rsid w:val="00690F8D"/>
    <w:rsid w:val="006958BB"/>
    <w:rsid w:val="006A1F38"/>
    <w:rsid w:val="006A4B96"/>
    <w:rsid w:val="006A4F10"/>
    <w:rsid w:val="006A73CE"/>
    <w:rsid w:val="006A7686"/>
    <w:rsid w:val="006B0F95"/>
    <w:rsid w:val="006B1732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708E"/>
    <w:rsid w:val="0070722B"/>
    <w:rsid w:val="0070749F"/>
    <w:rsid w:val="00711CFA"/>
    <w:rsid w:val="007157B2"/>
    <w:rsid w:val="00717864"/>
    <w:rsid w:val="00720511"/>
    <w:rsid w:val="00721AAF"/>
    <w:rsid w:val="00723232"/>
    <w:rsid w:val="00724424"/>
    <w:rsid w:val="00724B6C"/>
    <w:rsid w:val="0072609A"/>
    <w:rsid w:val="00726BFD"/>
    <w:rsid w:val="00730D93"/>
    <w:rsid w:val="007343C7"/>
    <w:rsid w:val="007344FC"/>
    <w:rsid w:val="00734D66"/>
    <w:rsid w:val="00741711"/>
    <w:rsid w:val="00742E5D"/>
    <w:rsid w:val="00743CB7"/>
    <w:rsid w:val="0074556E"/>
    <w:rsid w:val="00746DB6"/>
    <w:rsid w:val="00746E3C"/>
    <w:rsid w:val="00747655"/>
    <w:rsid w:val="0075157B"/>
    <w:rsid w:val="00751B23"/>
    <w:rsid w:val="0075397D"/>
    <w:rsid w:val="00754F4B"/>
    <w:rsid w:val="00755E28"/>
    <w:rsid w:val="007602B3"/>
    <w:rsid w:val="007614EE"/>
    <w:rsid w:val="00762182"/>
    <w:rsid w:val="00762DE6"/>
    <w:rsid w:val="0076452E"/>
    <w:rsid w:val="00767364"/>
    <w:rsid w:val="0077034A"/>
    <w:rsid w:val="00772001"/>
    <w:rsid w:val="007728AE"/>
    <w:rsid w:val="007735B0"/>
    <w:rsid w:val="00774648"/>
    <w:rsid w:val="007757C1"/>
    <w:rsid w:val="007802BB"/>
    <w:rsid w:val="0078048F"/>
    <w:rsid w:val="00781101"/>
    <w:rsid w:val="00783B41"/>
    <w:rsid w:val="007840A8"/>
    <w:rsid w:val="007841A2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A0653"/>
    <w:rsid w:val="007A09B4"/>
    <w:rsid w:val="007A0B46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5C4"/>
    <w:rsid w:val="007C0D92"/>
    <w:rsid w:val="007C143F"/>
    <w:rsid w:val="007C2F52"/>
    <w:rsid w:val="007C5342"/>
    <w:rsid w:val="007C6D5A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5ACB"/>
    <w:rsid w:val="007E62FD"/>
    <w:rsid w:val="007E6CC7"/>
    <w:rsid w:val="007E79D2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A5C"/>
    <w:rsid w:val="00830DF2"/>
    <w:rsid w:val="0083320A"/>
    <w:rsid w:val="00833EF2"/>
    <w:rsid w:val="00834B81"/>
    <w:rsid w:val="00834EF0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D1F"/>
    <w:rsid w:val="0085742F"/>
    <w:rsid w:val="00861475"/>
    <w:rsid w:val="00864D37"/>
    <w:rsid w:val="00865A62"/>
    <w:rsid w:val="008702CC"/>
    <w:rsid w:val="00873D4C"/>
    <w:rsid w:val="0087559C"/>
    <w:rsid w:val="00877A30"/>
    <w:rsid w:val="0088030E"/>
    <w:rsid w:val="00880F29"/>
    <w:rsid w:val="0088221A"/>
    <w:rsid w:val="00882EF8"/>
    <w:rsid w:val="0088389F"/>
    <w:rsid w:val="0088458D"/>
    <w:rsid w:val="00884D0E"/>
    <w:rsid w:val="00885C28"/>
    <w:rsid w:val="00887642"/>
    <w:rsid w:val="00887F68"/>
    <w:rsid w:val="00890407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560A"/>
    <w:rsid w:val="008B6CC3"/>
    <w:rsid w:val="008B6EB6"/>
    <w:rsid w:val="008B728B"/>
    <w:rsid w:val="008C14C6"/>
    <w:rsid w:val="008C1C24"/>
    <w:rsid w:val="008C51EC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70D1"/>
    <w:rsid w:val="00907D36"/>
    <w:rsid w:val="00915766"/>
    <w:rsid w:val="009164F7"/>
    <w:rsid w:val="009169AB"/>
    <w:rsid w:val="009200EB"/>
    <w:rsid w:val="00920259"/>
    <w:rsid w:val="00920A6C"/>
    <w:rsid w:val="00920A75"/>
    <w:rsid w:val="00921899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79F5"/>
    <w:rsid w:val="00952581"/>
    <w:rsid w:val="009554E7"/>
    <w:rsid w:val="00956918"/>
    <w:rsid w:val="00960846"/>
    <w:rsid w:val="00961120"/>
    <w:rsid w:val="00962C83"/>
    <w:rsid w:val="00964879"/>
    <w:rsid w:val="009663ED"/>
    <w:rsid w:val="0096670D"/>
    <w:rsid w:val="00966A28"/>
    <w:rsid w:val="00966EA7"/>
    <w:rsid w:val="00971E78"/>
    <w:rsid w:val="0097494E"/>
    <w:rsid w:val="00976047"/>
    <w:rsid w:val="00977DCF"/>
    <w:rsid w:val="00981361"/>
    <w:rsid w:val="00982B25"/>
    <w:rsid w:val="0099107D"/>
    <w:rsid w:val="00992B0C"/>
    <w:rsid w:val="00995635"/>
    <w:rsid w:val="00995A99"/>
    <w:rsid w:val="00995DAE"/>
    <w:rsid w:val="0099699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248A"/>
    <w:rsid w:val="009C5AC4"/>
    <w:rsid w:val="009D0360"/>
    <w:rsid w:val="009D5A2B"/>
    <w:rsid w:val="009D65F9"/>
    <w:rsid w:val="009D727F"/>
    <w:rsid w:val="009D7DAE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932"/>
    <w:rsid w:val="00A022FF"/>
    <w:rsid w:val="00A03B40"/>
    <w:rsid w:val="00A03CD0"/>
    <w:rsid w:val="00A0687A"/>
    <w:rsid w:val="00A10510"/>
    <w:rsid w:val="00A122B3"/>
    <w:rsid w:val="00A13D36"/>
    <w:rsid w:val="00A15F9A"/>
    <w:rsid w:val="00A16FC1"/>
    <w:rsid w:val="00A17447"/>
    <w:rsid w:val="00A20995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62F"/>
    <w:rsid w:val="00A46788"/>
    <w:rsid w:val="00A50C75"/>
    <w:rsid w:val="00A50DB2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A3456"/>
    <w:rsid w:val="00AA6FDD"/>
    <w:rsid w:val="00AB05F6"/>
    <w:rsid w:val="00AB0691"/>
    <w:rsid w:val="00AB08E5"/>
    <w:rsid w:val="00AB1D8C"/>
    <w:rsid w:val="00AB2757"/>
    <w:rsid w:val="00AB27D0"/>
    <w:rsid w:val="00AB34A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6170"/>
    <w:rsid w:val="00AD63D6"/>
    <w:rsid w:val="00AD6875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B44"/>
    <w:rsid w:val="00B10A2C"/>
    <w:rsid w:val="00B112D1"/>
    <w:rsid w:val="00B12871"/>
    <w:rsid w:val="00B1408C"/>
    <w:rsid w:val="00B1447C"/>
    <w:rsid w:val="00B23FF5"/>
    <w:rsid w:val="00B243A2"/>
    <w:rsid w:val="00B24602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C"/>
    <w:rsid w:val="00B54319"/>
    <w:rsid w:val="00B543FE"/>
    <w:rsid w:val="00B548A8"/>
    <w:rsid w:val="00B60882"/>
    <w:rsid w:val="00B63D00"/>
    <w:rsid w:val="00B64DDB"/>
    <w:rsid w:val="00B66480"/>
    <w:rsid w:val="00B66936"/>
    <w:rsid w:val="00B66C16"/>
    <w:rsid w:val="00B743D3"/>
    <w:rsid w:val="00B75C8A"/>
    <w:rsid w:val="00B75E95"/>
    <w:rsid w:val="00B7617E"/>
    <w:rsid w:val="00B80E81"/>
    <w:rsid w:val="00B85613"/>
    <w:rsid w:val="00B903AE"/>
    <w:rsid w:val="00B91041"/>
    <w:rsid w:val="00B92242"/>
    <w:rsid w:val="00B94AFA"/>
    <w:rsid w:val="00B96365"/>
    <w:rsid w:val="00BA074E"/>
    <w:rsid w:val="00BA0985"/>
    <w:rsid w:val="00BA131A"/>
    <w:rsid w:val="00BA3809"/>
    <w:rsid w:val="00BA3D9C"/>
    <w:rsid w:val="00BA5BD7"/>
    <w:rsid w:val="00BA6C33"/>
    <w:rsid w:val="00BA7E11"/>
    <w:rsid w:val="00BB21FE"/>
    <w:rsid w:val="00BB2252"/>
    <w:rsid w:val="00BB25E0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203"/>
    <w:rsid w:val="00BC0244"/>
    <w:rsid w:val="00BC145F"/>
    <w:rsid w:val="00BC186A"/>
    <w:rsid w:val="00BC2329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6E81"/>
    <w:rsid w:val="00BF7403"/>
    <w:rsid w:val="00C002C9"/>
    <w:rsid w:val="00C00715"/>
    <w:rsid w:val="00C00C8C"/>
    <w:rsid w:val="00C01628"/>
    <w:rsid w:val="00C022D1"/>
    <w:rsid w:val="00C02759"/>
    <w:rsid w:val="00C0545B"/>
    <w:rsid w:val="00C05942"/>
    <w:rsid w:val="00C070F2"/>
    <w:rsid w:val="00C13FBD"/>
    <w:rsid w:val="00C142EC"/>
    <w:rsid w:val="00C16FCD"/>
    <w:rsid w:val="00C20241"/>
    <w:rsid w:val="00C21231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7BBD"/>
    <w:rsid w:val="00C5045A"/>
    <w:rsid w:val="00C5312E"/>
    <w:rsid w:val="00C569CD"/>
    <w:rsid w:val="00C632D4"/>
    <w:rsid w:val="00C64456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7D1C"/>
    <w:rsid w:val="00C801B1"/>
    <w:rsid w:val="00C834A2"/>
    <w:rsid w:val="00C83591"/>
    <w:rsid w:val="00C83C10"/>
    <w:rsid w:val="00C859BD"/>
    <w:rsid w:val="00C865AA"/>
    <w:rsid w:val="00C866F0"/>
    <w:rsid w:val="00C91BE2"/>
    <w:rsid w:val="00C924F8"/>
    <w:rsid w:val="00C93D30"/>
    <w:rsid w:val="00C9445A"/>
    <w:rsid w:val="00C9593B"/>
    <w:rsid w:val="00C95BF2"/>
    <w:rsid w:val="00C965BD"/>
    <w:rsid w:val="00C96A62"/>
    <w:rsid w:val="00C96AD3"/>
    <w:rsid w:val="00C976D2"/>
    <w:rsid w:val="00C979F8"/>
    <w:rsid w:val="00C97D3A"/>
    <w:rsid w:val="00CA021B"/>
    <w:rsid w:val="00CA1C8F"/>
    <w:rsid w:val="00CA202B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3407"/>
    <w:rsid w:val="00CD455B"/>
    <w:rsid w:val="00CD4A21"/>
    <w:rsid w:val="00CD5053"/>
    <w:rsid w:val="00CD6E88"/>
    <w:rsid w:val="00CE0E21"/>
    <w:rsid w:val="00CE23D1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6329"/>
    <w:rsid w:val="00D06C8C"/>
    <w:rsid w:val="00D11052"/>
    <w:rsid w:val="00D1194B"/>
    <w:rsid w:val="00D122B4"/>
    <w:rsid w:val="00D12D57"/>
    <w:rsid w:val="00D134FD"/>
    <w:rsid w:val="00D14826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749C"/>
    <w:rsid w:val="00D274C3"/>
    <w:rsid w:val="00D30784"/>
    <w:rsid w:val="00D32FCF"/>
    <w:rsid w:val="00D330FB"/>
    <w:rsid w:val="00D33806"/>
    <w:rsid w:val="00D36018"/>
    <w:rsid w:val="00D37618"/>
    <w:rsid w:val="00D40426"/>
    <w:rsid w:val="00D413E8"/>
    <w:rsid w:val="00D4154C"/>
    <w:rsid w:val="00D415D5"/>
    <w:rsid w:val="00D42EF5"/>
    <w:rsid w:val="00D43117"/>
    <w:rsid w:val="00D4325C"/>
    <w:rsid w:val="00D437A8"/>
    <w:rsid w:val="00D43D4C"/>
    <w:rsid w:val="00D46E63"/>
    <w:rsid w:val="00D5001D"/>
    <w:rsid w:val="00D51A3D"/>
    <w:rsid w:val="00D520A7"/>
    <w:rsid w:val="00D5240E"/>
    <w:rsid w:val="00D539CF"/>
    <w:rsid w:val="00D60211"/>
    <w:rsid w:val="00D61714"/>
    <w:rsid w:val="00D620A3"/>
    <w:rsid w:val="00D63D69"/>
    <w:rsid w:val="00D662B4"/>
    <w:rsid w:val="00D676FE"/>
    <w:rsid w:val="00D718D4"/>
    <w:rsid w:val="00D719A5"/>
    <w:rsid w:val="00D722C4"/>
    <w:rsid w:val="00D727E2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2A16"/>
    <w:rsid w:val="00D8334E"/>
    <w:rsid w:val="00D868B1"/>
    <w:rsid w:val="00D86ABC"/>
    <w:rsid w:val="00D870DB"/>
    <w:rsid w:val="00D901BA"/>
    <w:rsid w:val="00D90A03"/>
    <w:rsid w:val="00D90D9F"/>
    <w:rsid w:val="00D92D53"/>
    <w:rsid w:val="00D93769"/>
    <w:rsid w:val="00D94F66"/>
    <w:rsid w:val="00D97338"/>
    <w:rsid w:val="00DA0063"/>
    <w:rsid w:val="00DA2297"/>
    <w:rsid w:val="00DA2482"/>
    <w:rsid w:val="00DA35E1"/>
    <w:rsid w:val="00DA51B4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E1B64"/>
    <w:rsid w:val="00DE2B62"/>
    <w:rsid w:val="00DE522D"/>
    <w:rsid w:val="00DE5A9C"/>
    <w:rsid w:val="00DE645B"/>
    <w:rsid w:val="00DE656B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615"/>
    <w:rsid w:val="00E2189B"/>
    <w:rsid w:val="00E22314"/>
    <w:rsid w:val="00E25939"/>
    <w:rsid w:val="00E25CE0"/>
    <w:rsid w:val="00E25FF3"/>
    <w:rsid w:val="00E26187"/>
    <w:rsid w:val="00E2737D"/>
    <w:rsid w:val="00E2751D"/>
    <w:rsid w:val="00E30395"/>
    <w:rsid w:val="00E31947"/>
    <w:rsid w:val="00E31A12"/>
    <w:rsid w:val="00E31C60"/>
    <w:rsid w:val="00E32546"/>
    <w:rsid w:val="00E326D9"/>
    <w:rsid w:val="00E32ABB"/>
    <w:rsid w:val="00E34205"/>
    <w:rsid w:val="00E355DD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536FF"/>
    <w:rsid w:val="00E53A53"/>
    <w:rsid w:val="00E53CDF"/>
    <w:rsid w:val="00E55375"/>
    <w:rsid w:val="00E56142"/>
    <w:rsid w:val="00E56916"/>
    <w:rsid w:val="00E56A08"/>
    <w:rsid w:val="00E57F46"/>
    <w:rsid w:val="00E62E2A"/>
    <w:rsid w:val="00E6325D"/>
    <w:rsid w:val="00E646E8"/>
    <w:rsid w:val="00E64786"/>
    <w:rsid w:val="00E647C6"/>
    <w:rsid w:val="00E7143D"/>
    <w:rsid w:val="00E74F87"/>
    <w:rsid w:val="00E77872"/>
    <w:rsid w:val="00E80789"/>
    <w:rsid w:val="00E811AF"/>
    <w:rsid w:val="00E82025"/>
    <w:rsid w:val="00E87724"/>
    <w:rsid w:val="00E930E7"/>
    <w:rsid w:val="00E93E01"/>
    <w:rsid w:val="00E94443"/>
    <w:rsid w:val="00E9486A"/>
    <w:rsid w:val="00E94A48"/>
    <w:rsid w:val="00E9599F"/>
    <w:rsid w:val="00E959F6"/>
    <w:rsid w:val="00E9642D"/>
    <w:rsid w:val="00E96822"/>
    <w:rsid w:val="00E96A04"/>
    <w:rsid w:val="00E971BF"/>
    <w:rsid w:val="00E97AEC"/>
    <w:rsid w:val="00EA2F27"/>
    <w:rsid w:val="00EA49BB"/>
    <w:rsid w:val="00EA4E8E"/>
    <w:rsid w:val="00EA6B0B"/>
    <w:rsid w:val="00EA7CAC"/>
    <w:rsid w:val="00EA7D27"/>
    <w:rsid w:val="00EB347E"/>
    <w:rsid w:val="00EB351D"/>
    <w:rsid w:val="00EB563A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F2448"/>
    <w:rsid w:val="00EF347D"/>
    <w:rsid w:val="00EF44EB"/>
    <w:rsid w:val="00EF5872"/>
    <w:rsid w:val="00EF599D"/>
    <w:rsid w:val="00EF7AF7"/>
    <w:rsid w:val="00F10AE7"/>
    <w:rsid w:val="00F10FD8"/>
    <w:rsid w:val="00F16509"/>
    <w:rsid w:val="00F20004"/>
    <w:rsid w:val="00F22ED0"/>
    <w:rsid w:val="00F24034"/>
    <w:rsid w:val="00F26892"/>
    <w:rsid w:val="00F26903"/>
    <w:rsid w:val="00F32834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70BBD"/>
    <w:rsid w:val="00F72967"/>
    <w:rsid w:val="00F73613"/>
    <w:rsid w:val="00F7382E"/>
    <w:rsid w:val="00F75460"/>
    <w:rsid w:val="00F75B42"/>
    <w:rsid w:val="00F76400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1D4E"/>
    <w:rsid w:val="00F91E19"/>
    <w:rsid w:val="00F9361C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B0F86"/>
    <w:rsid w:val="00FB1094"/>
    <w:rsid w:val="00FB266E"/>
    <w:rsid w:val="00FB2746"/>
    <w:rsid w:val="00FB2A9A"/>
    <w:rsid w:val="00FB630C"/>
    <w:rsid w:val="00FB63EF"/>
    <w:rsid w:val="00FB7669"/>
    <w:rsid w:val="00FB7A68"/>
    <w:rsid w:val="00FC00DB"/>
    <w:rsid w:val="00FC1760"/>
    <w:rsid w:val="00FC510F"/>
    <w:rsid w:val="00FC7642"/>
    <w:rsid w:val="00FC7C22"/>
    <w:rsid w:val="00FD0314"/>
    <w:rsid w:val="00FD04D6"/>
    <w:rsid w:val="00FD24ED"/>
    <w:rsid w:val="00FD33E7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37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E6F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نص في بالون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نص أساسي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رأس الصفحة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semiHidden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تذييل الصفحة Char"/>
    <w:basedOn w:val="DefaultParagraphFont"/>
    <w:link w:val="Footer"/>
    <w:uiPriority w:val="99"/>
    <w:semiHidden/>
    <w:rsid w:val="00677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bs.gov.ps/calenderAr.aspx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8\Monthly\&#1588;&#1607;&#1585;%2012\news%20release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كانون أول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2009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2018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23501899026"/>
          <c:y val="1.1821931693081135E-2"/>
        </c:manualLayout>
      </c:layout>
      <c:overlay val="1"/>
    </c:title>
    <c:plotArea>
      <c:layout>
        <c:manualLayout>
          <c:layoutTarget val="inner"/>
          <c:xMode val="edge"/>
          <c:yMode val="edge"/>
          <c:x val="0.18831244503501599"/>
          <c:y val="9.0872013072631694E-2"/>
          <c:w val="0.78456910426278059"/>
          <c:h val="0.63294917781439886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4.0949757441310547E-2"/>
                  <c:y val="-4.8203499058294991E-2"/>
                </c:manualLayout>
              </c:layout>
              <c:showVal val="1"/>
            </c:dLbl>
            <c:dLbl>
              <c:idx val="9"/>
              <c:layout>
                <c:manualLayout>
                  <c:x val="-1.7777772414465161E-2"/>
                  <c:y val="-4.3804869218933874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2.7777770183243445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كانون أول 09</c:v>
                </c:pt>
                <c:pt idx="1">
                  <c:v>كانون أول 10</c:v>
                </c:pt>
                <c:pt idx="2">
                  <c:v>كانون أول 11</c:v>
                </c:pt>
                <c:pt idx="3">
                  <c:v>كانون أول 12</c:v>
                </c:pt>
                <c:pt idx="4">
                  <c:v>كانون أول 13</c:v>
                </c:pt>
                <c:pt idx="5">
                  <c:v>كانون أول 14</c:v>
                </c:pt>
                <c:pt idx="6">
                  <c:v>كانون أول 15</c:v>
                </c:pt>
                <c:pt idx="7">
                  <c:v>كانون أول 16</c:v>
                </c:pt>
                <c:pt idx="8">
                  <c:v>كانون أول 17</c:v>
                </c:pt>
                <c:pt idx="9">
                  <c:v>كانون أول 18</c:v>
                </c:pt>
              </c:strCache>
            </c:strRef>
          </c:cat>
          <c:val>
            <c:numRef>
              <c:f>Sheet1!$B$2:$B$11</c:f>
              <c:numCache>
                <c:formatCode>#,##0.0</c:formatCode>
                <c:ptCount val="10"/>
                <c:pt idx="0">
                  <c:v>318.33099999999979</c:v>
                </c:pt>
                <c:pt idx="1">
                  <c:v>349.06900000000002</c:v>
                </c:pt>
                <c:pt idx="2">
                  <c:v>362.24599999999975</c:v>
                </c:pt>
                <c:pt idx="3">
                  <c:v>390.46799999999979</c:v>
                </c:pt>
                <c:pt idx="4">
                  <c:v>388.6</c:v>
                </c:pt>
                <c:pt idx="5">
                  <c:v>416.1</c:v>
                </c:pt>
                <c:pt idx="6">
                  <c:v>416.9</c:v>
                </c:pt>
                <c:pt idx="7">
                  <c:v>457.1</c:v>
                </c:pt>
                <c:pt idx="8" formatCode="0.0">
                  <c:v>469.2</c:v>
                </c:pt>
                <c:pt idx="9" formatCode="0.0">
                  <c:v>495.4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1111219456701127E-2"/>
                  <c:y val="-5.3017162480050208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4.4943806970477763E-2"/>
                </c:manualLayout>
              </c:layout>
              <c:showVal val="1"/>
            </c:dLbl>
            <c:dLbl>
              <c:idx val="10"/>
              <c:layout>
                <c:manualLayout>
                  <c:x val="-4.4444428890839036E-3"/>
                  <c:y val="-3.4722212729054104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كانون أول 09</c:v>
                </c:pt>
                <c:pt idx="1">
                  <c:v>كانون أول 10</c:v>
                </c:pt>
                <c:pt idx="2">
                  <c:v>كانون أول 11</c:v>
                </c:pt>
                <c:pt idx="3">
                  <c:v>كانون أول 12</c:v>
                </c:pt>
                <c:pt idx="4">
                  <c:v>كانون أول 13</c:v>
                </c:pt>
                <c:pt idx="5">
                  <c:v>كانون أول 14</c:v>
                </c:pt>
                <c:pt idx="6">
                  <c:v>كانون أول 15</c:v>
                </c:pt>
                <c:pt idx="7">
                  <c:v>كانون أول 16</c:v>
                </c:pt>
                <c:pt idx="8">
                  <c:v>كانون أول 17</c:v>
                </c:pt>
                <c:pt idx="9">
                  <c:v>كانون أول 18</c:v>
                </c:pt>
              </c:strCache>
            </c:strRef>
          </c:cat>
          <c:val>
            <c:numRef>
              <c:f>Sheet1!$C$2:$C$11</c:f>
              <c:numCache>
                <c:formatCode>#,##0.0</c:formatCode>
                <c:ptCount val="10"/>
                <c:pt idx="0">
                  <c:v>40.133000000000003</c:v>
                </c:pt>
                <c:pt idx="1">
                  <c:v>64.477999999999994</c:v>
                </c:pt>
                <c:pt idx="2">
                  <c:v>71.203999999999994</c:v>
                </c:pt>
                <c:pt idx="3">
                  <c:v>73.188999999999979</c:v>
                </c:pt>
                <c:pt idx="4">
                  <c:v>75.2</c:v>
                </c:pt>
                <c:pt idx="5">
                  <c:v>80.3</c:v>
                </c:pt>
                <c:pt idx="6">
                  <c:v>77.599999999999994</c:v>
                </c:pt>
                <c:pt idx="7">
                  <c:v>84.5</c:v>
                </c:pt>
                <c:pt idx="8" formatCode="0.0">
                  <c:v>95.3</c:v>
                </c:pt>
                <c:pt idx="9" formatCode="0.0">
                  <c:v>100.2</c:v>
                </c:pt>
              </c:numCache>
            </c:numRef>
          </c:val>
        </c:ser>
        <c:marker val="1"/>
        <c:axId val="113669632"/>
        <c:axId val="113671552"/>
      </c:lineChart>
      <c:catAx>
        <c:axId val="113669632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3671552"/>
        <c:crosses val="autoZero"/>
        <c:auto val="1"/>
        <c:lblAlgn val="ctr"/>
        <c:lblOffset val="100"/>
      </c:catAx>
      <c:valAx>
        <c:axId val="113671552"/>
        <c:scaling>
          <c:orientation val="minMax"/>
          <c:max val="6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441508856877E-3"/>
              <c:y val="0.27565416979145307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3669632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70072"/>
          <c:y val="0.93568197138120379"/>
          <c:w val="0.59173485017842919"/>
          <c:h val="5.0716306755274054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E9BB1-D55E-4042-A1FB-65C89AEA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2</cp:revision>
  <cp:lastPrinted>2019-02-19T07:54:00Z</cp:lastPrinted>
  <dcterms:created xsi:type="dcterms:W3CDTF">2019-02-19T07:57:00Z</dcterms:created>
  <dcterms:modified xsi:type="dcterms:W3CDTF">2019-02-19T07:57:00Z</dcterms:modified>
</cp:coreProperties>
</file>