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887" w:rsidRDefault="002A4887" w:rsidP="002A4887">
      <w:pPr>
        <w:jc w:val="center"/>
        <w:rPr>
          <w:rFonts w:ascii="Simplified Arabic" w:hAnsi="Simplified Arabic" w:cs="Simplified Arabic"/>
          <w:b/>
          <w:bCs/>
          <w:sz w:val="32"/>
          <w:szCs w:val="32"/>
          <w:rtl/>
        </w:rPr>
      </w:pPr>
    </w:p>
    <w:p w:rsidR="002A4887" w:rsidRDefault="002A4887" w:rsidP="002A4887">
      <w:pPr>
        <w:jc w:val="center"/>
        <w:rPr>
          <w:rFonts w:ascii="Simplified Arabic" w:hAnsi="Simplified Arabic" w:cs="Simplified Arabic"/>
          <w:b/>
          <w:bCs/>
          <w:sz w:val="32"/>
          <w:szCs w:val="32"/>
          <w:rtl/>
        </w:rPr>
      </w:pPr>
    </w:p>
    <w:p w:rsidR="002A4887" w:rsidRPr="002A4887" w:rsidRDefault="002A4887" w:rsidP="002A4887">
      <w:pPr>
        <w:jc w:val="center"/>
        <w:rPr>
          <w:b/>
          <w:bCs/>
          <w:sz w:val="28"/>
          <w:szCs w:val="28"/>
        </w:rPr>
      </w:pPr>
      <w:r w:rsidRPr="002A4887">
        <w:rPr>
          <w:rFonts w:ascii="Simplified Arabic" w:hAnsi="Simplified Arabic" w:cs="Simplified Arabic"/>
          <w:b/>
          <w:bCs/>
          <w:sz w:val="28"/>
          <w:szCs w:val="28"/>
          <w:rtl/>
        </w:rPr>
        <w:t>الاحـصـــــاء الفلـسـطينـــي يـسـتعــــرض واقع اللاجئين الفلسطينيين بمناسبة اليوم العالمي للاجئين 20/06/</w:t>
      </w:r>
      <w:r w:rsidRPr="002A4887">
        <w:rPr>
          <w:rFonts w:ascii="Simplified Arabic" w:hAnsi="Simplified Arabic" w:cs="Simplified Arabic" w:hint="cs"/>
          <w:b/>
          <w:bCs/>
          <w:sz w:val="28"/>
          <w:szCs w:val="28"/>
          <w:rtl/>
        </w:rPr>
        <w:t>2018</w:t>
      </w:r>
    </w:p>
    <w:p w:rsidR="002A4887" w:rsidRDefault="002A4887" w:rsidP="002A4887">
      <w:pPr>
        <w:jc w:val="lowKashida"/>
        <w:rPr>
          <w:rFonts w:ascii="Simplified Arabic" w:hAnsi="Simplified Arabic" w:cs="Simplified Arabic"/>
          <w:b/>
          <w:bCs/>
          <w:sz w:val="25"/>
          <w:szCs w:val="25"/>
          <w:rtl/>
          <w:lang w:eastAsia="en-US"/>
        </w:rPr>
      </w:pPr>
    </w:p>
    <w:p w:rsidR="002A4887" w:rsidRPr="002A4887" w:rsidRDefault="002A4887" w:rsidP="002A4887">
      <w:pPr>
        <w:jc w:val="lowKashida"/>
        <w:rPr>
          <w:rFonts w:ascii="Simplified Arabic" w:hAnsi="Simplified Arabic" w:cs="Simplified Arabic"/>
          <w:b/>
          <w:bCs/>
          <w:sz w:val="25"/>
          <w:szCs w:val="25"/>
          <w:rtl/>
          <w:lang w:eastAsia="en-US"/>
        </w:rPr>
      </w:pPr>
      <w:r w:rsidRPr="002A4887">
        <w:rPr>
          <w:rFonts w:ascii="Simplified Arabic" w:hAnsi="Simplified Arabic" w:cs="Simplified Arabic"/>
          <w:b/>
          <w:bCs/>
          <w:sz w:val="25"/>
          <w:szCs w:val="25"/>
          <w:rtl/>
          <w:lang w:eastAsia="en-US"/>
        </w:rPr>
        <w:t>تطهير عرقي وإحلال سكاني وسيطرة على الأرض</w:t>
      </w:r>
    </w:p>
    <w:p w:rsidR="002A4887" w:rsidRPr="002A4887" w:rsidRDefault="002A4887" w:rsidP="002A4887">
      <w:pPr>
        <w:jc w:val="lowKashida"/>
        <w:rPr>
          <w:rFonts w:cs="Simplified Arabic"/>
          <w:color w:val="000000" w:themeColor="text1"/>
          <w:rtl/>
          <w:lang w:eastAsia="en-US"/>
        </w:rPr>
      </w:pPr>
      <w:r w:rsidRPr="002A4887">
        <w:rPr>
          <w:rFonts w:cs="Simplified Arabic" w:hint="cs"/>
          <w:color w:val="000000" w:themeColor="text1"/>
          <w:rtl/>
          <w:lang w:eastAsia="en-US"/>
        </w:rPr>
        <w:t>شكلت</w:t>
      </w:r>
      <w:r w:rsidRPr="002A4887">
        <w:rPr>
          <w:rFonts w:cs="Simplified Arabic"/>
          <w:color w:val="000000" w:themeColor="text1"/>
          <w:rtl/>
          <w:lang w:eastAsia="en-US"/>
        </w:rPr>
        <w:t xml:space="preserve"> أحداث نكبة فلسطين وما تلاها من تهجير مأساة كبرى للشعب الفلسطيني، </w:t>
      </w:r>
      <w:r w:rsidRPr="002A4887">
        <w:rPr>
          <w:rFonts w:cs="Simplified Arabic" w:hint="cs"/>
          <w:color w:val="000000" w:themeColor="text1"/>
          <w:rtl/>
          <w:lang w:eastAsia="en-US"/>
        </w:rPr>
        <w:t>لما مثلته وما زالت هذه ال</w:t>
      </w:r>
      <w:r w:rsidRPr="002A4887">
        <w:rPr>
          <w:rFonts w:cs="Simplified Arabic"/>
          <w:color w:val="000000" w:themeColor="text1"/>
          <w:rtl/>
          <w:lang w:eastAsia="en-US"/>
        </w:rPr>
        <w:t xml:space="preserve">نكبة </w:t>
      </w:r>
      <w:r w:rsidRPr="002A4887">
        <w:rPr>
          <w:rFonts w:cs="Simplified Arabic" w:hint="cs"/>
          <w:color w:val="000000" w:themeColor="text1"/>
          <w:rtl/>
          <w:lang w:eastAsia="en-US"/>
        </w:rPr>
        <w:t xml:space="preserve">من </w:t>
      </w:r>
      <w:r w:rsidRPr="002A4887">
        <w:rPr>
          <w:rFonts w:cs="Simplified Arabic"/>
          <w:color w:val="000000" w:themeColor="text1"/>
          <w:rtl/>
          <w:lang w:eastAsia="en-US"/>
        </w:rPr>
        <w:t xml:space="preserve">عملية تطهير عرقي </w:t>
      </w:r>
      <w:r w:rsidRPr="002A4887">
        <w:rPr>
          <w:rFonts w:cs="Simplified Arabic" w:hint="cs"/>
          <w:color w:val="000000" w:themeColor="text1"/>
          <w:rtl/>
          <w:lang w:eastAsia="en-US"/>
        </w:rPr>
        <w:t xml:space="preserve">حيث تم </w:t>
      </w:r>
      <w:r w:rsidRPr="002A4887">
        <w:rPr>
          <w:rFonts w:cs="Simplified Arabic"/>
          <w:color w:val="000000" w:themeColor="text1"/>
          <w:rtl/>
          <w:lang w:eastAsia="en-US"/>
        </w:rPr>
        <w:t>تدمير وطرد لشعب</w:t>
      </w:r>
      <w:r w:rsidRPr="002A4887">
        <w:rPr>
          <w:rFonts w:cs="Simplified Arabic" w:hint="cs"/>
          <w:color w:val="000000" w:themeColor="text1"/>
          <w:rtl/>
          <w:lang w:eastAsia="en-US"/>
        </w:rPr>
        <w:t xml:space="preserve"> بكامله</w:t>
      </w:r>
      <w:r w:rsidRPr="002A4887">
        <w:rPr>
          <w:rFonts w:cs="Simplified Arabic"/>
          <w:color w:val="000000" w:themeColor="text1"/>
          <w:rtl/>
          <w:lang w:eastAsia="en-US"/>
        </w:rPr>
        <w:t xml:space="preserve"> وإحلال </w:t>
      </w:r>
      <w:r w:rsidRPr="002A4887">
        <w:rPr>
          <w:rFonts w:cs="Simplified Arabic" w:hint="cs"/>
          <w:color w:val="000000" w:themeColor="text1"/>
          <w:rtl/>
          <w:lang w:eastAsia="en-US"/>
        </w:rPr>
        <w:t>جماعات وأفراد من شتى بقاع العالم</w:t>
      </w:r>
      <w:r w:rsidRPr="002A4887">
        <w:rPr>
          <w:rFonts w:cs="Simplified Arabic"/>
          <w:color w:val="000000" w:themeColor="text1"/>
          <w:rtl/>
          <w:lang w:eastAsia="en-US"/>
        </w:rPr>
        <w:t xml:space="preserve"> مكانه، وتشريد </w:t>
      </w:r>
      <w:r w:rsidRPr="002A4887">
        <w:rPr>
          <w:rFonts w:cs="Simplified Arabic" w:hint="cs"/>
          <w:color w:val="000000" w:themeColor="text1"/>
          <w:rtl/>
          <w:lang w:eastAsia="en-US"/>
        </w:rPr>
        <w:t>ما يربو عن</w:t>
      </w:r>
      <w:r w:rsidRPr="002A4887">
        <w:rPr>
          <w:rFonts w:cs="Simplified Arabic"/>
          <w:color w:val="000000" w:themeColor="text1"/>
          <w:rtl/>
          <w:lang w:eastAsia="en-US"/>
        </w:rPr>
        <w:t xml:space="preserve"> 800 ألف فلسطيني من قراهم ومدنهم من أصل 1.4 مليون فلسطيني كانوا يقيمون في فلسطين التاريخية عام 1948 في 1,300 قرية ومدينة فلسطينية</w:t>
      </w:r>
      <w:r w:rsidRPr="002A4887">
        <w:rPr>
          <w:rFonts w:cs="Simplified Arabic" w:hint="cs"/>
          <w:color w:val="000000" w:themeColor="text1"/>
          <w:rtl/>
          <w:lang w:eastAsia="en-US"/>
        </w:rPr>
        <w:t>.</w:t>
      </w:r>
    </w:p>
    <w:p w:rsidR="002A4887" w:rsidRPr="002A4887" w:rsidRDefault="002A4887" w:rsidP="002A4887">
      <w:pPr>
        <w:tabs>
          <w:tab w:val="num" w:pos="430"/>
        </w:tabs>
        <w:ind w:left="70"/>
        <w:jc w:val="lowKashida"/>
        <w:rPr>
          <w:rFonts w:cs="Simplified Arabic"/>
          <w:sz w:val="16"/>
          <w:szCs w:val="16"/>
          <w:rtl/>
          <w:lang w:eastAsia="en-US"/>
        </w:rPr>
      </w:pPr>
    </w:p>
    <w:p w:rsidR="002A4887" w:rsidRPr="002A4887" w:rsidRDefault="002A4887" w:rsidP="002A4887">
      <w:pPr>
        <w:tabs>
          <w:tab w:val="num" w:pos="430"/>
        </w:tabs>
        <w:ind w:left="70"/>
        <w:jc w:val="center"/>
        <w:rPr>
          <w:rFonts w:ascii="Simplified Arabic" w:hAnsi="Simplified Arabic" w:cs="Simplified Arabic"/>
          <w:b/>
          <w:bCs/>
          <w:sz w:val="25"/>
          <w:szCs w:val="25"/>
          <w:rtl/>
          <w:lang w:eastAsia="en-US"/>
        </w:rPr>
      </w:pPr>
      <w:r w:rsidRPr="002A4887">
        <w:rPr>
          <w:rFonts w:ascii="Simplified Arabic" w:hAnsi="Simplified Arabic" w:cs="Simplified Arabic"/>
          <w:b/>
          <w:bCs/>
          <w:sz w:val="25"/>
          <w:szCs w:val="25"/>
          <w:rtl/>
          <w:lang w:eastAsia="en-US"/>
        </w:rPr>
        <w:t>أعداد المخيمات الفلسطينية الرسمية التي تعترف بها وكالة الغوث حسب دولة الاقامة</w:t>
      </w:r>
    </w:p>
    <w:tbl>
      <w:tblPr>
        <w:tblStyle w:val="TableGrid"/>
        <w:bidiVisual/>
        <w:tblW w:w="0" w:type="auto"/>
        <w:jc w:val="center"/>
        <w:tblInd w:w="70" w:type="dxa"/>
        <w:tblLook w:val="04A0"/>
      </w:tblPr>
      <w:tblGrid>
        <w:gridCol w:w="5031"/>
      </w:tblGrid>
      <w:tr w:rsidR="002A4887" w:rsidTr="002A4887">
        <w:trPr>
          <w:jc w:val="center"/>
        </w:trPr>
        <w:tc>
          <w:tcPr>
            <w:tcW w:w="4611" w:type="dxa"/>
          </w:tcPr>
          <w:p w:rsidR="002A4887" w:rsidRDefault="002A4887" w:rsidP="00A615A0">
            <w:pPr>
              <w:tabs>
                <w:tab w:val="num" w:pos="430"/>
              </w:tabs>
              <w:jc w:val="center"/>
              <w:rPr>
                <w:rFonts w:cs="Simplified Arabic"/>
                <w:b/>
                <w:bCs/>
                <w:sz w:val="20"/>
                <w:szCs w:val="20"/>
                <w:rtl/>
                <w:lang w:eastAsia="en-US"/>
              </w:rPr>
            </w:pPr>
            <w:r w:rsidRPr="00411431">
              <w:rPr>
                <w:rFonts w:cs="Simplified Arabic"/>
                <w:b/>
                <w:bCs/>
                <w:noProof/>
                <w:sz w:val="20"/>
                <w:szCs w:val="20"/>
                <w:rtl/>
                <w:lang w:eastAsia="en-US"/>
              </w:rPr>
              <w:drawing>
                <wp:inline distT="0" distB="0" distL="0" distR="0">
                  <wp:extent cx="3038475" cy="2076450"/>
                  <wp:effectExtent l="1905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rsidR="002A4887" w:rsidRPr="002A4887" w:rsidRDefault="002A4887" w:rsidP="002A4887">
      <w:pPr>
        <w:tabs>
          <w:tab w:val="num" w:pos="430"/>
        </w:tabs>
        <w:jc w:val="lowKashida"/>
        <w:rPr>
          <w:rFonts w:cs="Simplified Arabic"/>
          <w:b/>
          <w:bCs/>
          <w:sz w:val="8"/>
          <w:szCs w:val="8"/>
          <w:rtl/>
          <w:lang w:eastAsia="en-US"/>
        </w:rPr>
      </w:pPr>
    </w:p>
    <w:p w:rsidR="002A4887" w:rsidRPr="002A4887" w:rsidRDefault="002A4887" w:rsidP="002A4887">
      <w:pPr>
        <w:tabs>
          <w:tab w:val="num" w:pos="430"/>
        </w:tabs>
        <w:ind w:left="70"/>
        <w:jc w:val="lowKashida"/>
        <w:rPr>
          <w:rFonts w:cs="Simplified Arabic"/>
          <w:color w:val="548DD4"/>
          <w:sz w:val="20"/>
          <w:szCs w:val="20"/>
          <w:lang w:eastAsia="en-US"/>
        </w:rPr>
      </w:pPr>
      <w:r w:rsidRPr="002A4887">
        <w:rPr>
          <w:rFonts w:cs="Simplified Arabic"/>
          <w:b/>
          <w:bCs/>
          <w:sz w:val="20"/>
          <w:szCs w:val="20"/>
          <w:rtl/>
          <w:lang w:eastAsia="en-US"/>
        </w:rPr>
        <w:t>المصدر</w:t>
      </w:r>
      <w:r w:rsidRPr="002A4887">
        <w:rPr>
          <w:rFonts w:cs="Simplified Arabic"/>
          <w:sz w:val="20"/>
          <w:szCs w:val="20"/>
          <w:rtl/>
          <w:lang w:eastAsia="en-US"/>
        </w:rPr>
        <w:t>: وكالة الامم المتحدة لاغاثة وتشغيل اللاجئين الفلسطينيين في الشرق الادنى</w:t>
      </w:r>
      <w:r w:rsidRPr="002A4887">
        <w:rPr>
          <w:rFonts w:cs="Simplified Arabic" w:hint="cs"/>
          <w:sz w:val="20"/>
          <w:szCs w:val="20"/>
          <w:rtl/>
          <w:lang w:eastAsia="en-US"/>
        </w:rPr>
        <w:t xml:space="preserve"> (الاونروا)</w:t>
      </w:r>
      <w:r w:rsidRPr="002A4887">
        <w:rPr>
          <w:rFonts w:cs="Simplified Arabic"/>
          <w:sz w:val="20"/>
          <w:szCs w:val="20"/>
          <w:rtl/>
          <w:lang w:eastAsia="en-US"/>
        </w:rPr>
        <w:t>، احصاءات سنوية 2018</w:t>
      </w:r>
      <w:r w:rsidRPr="002A4887">
        <w:rPr>
          <w:rFonts w:cs="Simplified Arabic" w:hint="cs"/>
          <w:sz w:val="20"/>
          <w:szCs w:val="20"/>
          <w:rtl/>
          <w:lang w:eastAsia="en-US"/>
        </w:rPr>
        <w:t>،</w:t>
      </w:r>
      <w:r w:rsidRPr="002A4887">
        <w:rPr>
          <w:rFonts w:cs="Simplified Arabic"/>
          <w:sz w:val="20"/>
          <w:szCs w:val="20"/>
          <w:rtl/>
          <w:lang w:eastAsia="en-US"/>
        </w:rPr>
        <w:t xml:space="preserve"> (01/01/2017) </w:t>
      </w:r>
    </w:p>
    <w:p w:rsidR="002A4887" w:rsidRPr="0088753F" w:rsidRDefault="002A4887" w:rsidP="002A4887">
      <w:pPr>
        <w:tabs>
          <w:tab w:val="num" w:pos="430"/>
        </w:tabs>
        <w:ind w:left="70"/>
        <w:jc w:val="lowKashida"/>
        <w:rPr>
          <w:rFonts w:cs="Simplified Arabic"/>
          <w:color w:val="548DD4"/>
          <w:sz w:val="8"/>
          <w:szCs w:val="8"/>
          <w:rtl/>
          <w:lang w:eastAsia="en-US"/>
        </w:rPr>
      </w:pPr>
    </w:p>
    <w:p w:rsidR="002A4887" w:rsidRPr="002A4887" w:rsidRDefault="002A4887" w:rsidP="002A4887">
      <w:pPr>
        <w:tabs>
          <w:tab w:val="num" w:pos="430"/>
        </w:tabs>
        <w:jc w:val="lowKashida"/>
        <w:rPr>
          <w:rFonts w:cs="Simplified Arabic"/>
          <w:rtl/>
          <w:lang w:eastAsia="en-US"/>
        </w:rPr>
      </w:pPr>
      <w:r w:rsidRPr="002A4887">
        <w:rPr>
          <w:rFonts w:cs="Simplified Arabic" w:hint="cs"/>
          <w:rtl/>
          <w:lang w:eastAsia="en-US"/>
        </w:rPr>
        <w:t xml:space="preserve">وقد صدرت عدة تقديرات رسمية حول أعداد اللاجئين الفلسطينيين عشية حرب عام 1948 من مصادر مختلفة، إلا أن للأمم المتحدة تقديرين: الأول يشير الى أن عدد اللاجئين الفلسطينيين بلغ نحو 726 ألف لاجئ وذلك بناءً على تقديرات عام 1949.  والثاني </w:t>
      </w:r>
      <w:r w:rsidRPr="002A4887">
        <w:rPr>
          <w:rFonts w:cs="Simplified Arabic"/>
          <w:rtl/>
          <w:lang w:eastAsia="en-US"/>
        </w:rPr>
        <w:t>957</w:t>
      </w:r>
      <w:r w:rsidRPr="002A4887">
        <w:rPr>
          <w:rFonts w:cs="Simplified Arabic" w:hint="cs"/>
          <w:rtl/>
          <w:lang w:eastAsia="en-US"/>
        </w:rPr>
        <w:t xml:space="preserve"> ألف لاجئ بناءً على تقديرات عام 1950.  </w:t>
      </w:r>
    </w:p>
    <w:p w:rsidR="002A4887" w:rsidRPr="002A4887" w:rsidRDefault="002A4887" w:rsidP="002A4887">
      <w:pPr>
        <w:pStyle w:val="Heading3"/>
        <w:jc w:val="both"/>
        <w:rPr>
          <w:sz w:val="16"/>
          <w:szCs w:val="16"/>
          <w:rtl/>
          <w:lang w:eastAsia="en-US"/>
        </w:rPr>
      </w:pPr>
    </w:p>
    <w:p w:rsidR="002A4887" w:rsidRPr="002A4887" w:rsidRDefault="002A4887" w:rsidP="002A4887">
      <w:pPr>
        <w:pStyle w:val="Heading3"/>
        <w:jc w:val="both"/>
        <w:rPr>
          <w:rFonts w:ascii="Simplified Arabic" w:hAnsi="Simplified Arabic"/>
          <w:sz w:val="25"/>
          <w:szCs w:val="25"/>
          <w:rtl/>
          <w:lang w:eastAsia="en-US"/>
        </w:rPr>
      </w:pPr>
      <w:r w:rsidRPr="002A4887">
        <w:rPr>
          <w:rFonts w:ascii="Simplified Arabic" w:hAnsi="Simplified Arabic"/>
          <w:sz w:val="25"/>
          <w:szCs w:val="25"/>
          <w:rtl/>
          <w:lang w:eastAsia="en-US"/>
        </w:rPr>
        <w:t>5.9 مليون لاجئ مسجل في وكالة الغوث</w:t>
      </w:r>
    </w:p>
    <w:p w:rsidR="002A4887" w:rsidRPr="002A4887" w:rsidRDefault="002A4887" w:rsidP="002A4887">
      <w:pPr>
        <w:jc w:val="both"/>
        <w:rPr>
          <w:rFonts w:cs="Simplified Arabic"/>
          <w:color w:val="000000" w:themeColor="text1"/>
          <w:rtl/>
          <w:lang w:eastAsia="en-US"/>
        </w:rPr>
      </w:pPr>
      <w:r w:rsidRPr="002A4887">
        <w:rPr>
          <w:rFonts w:cs="Simplified Arabic" w:hint="cs"/>
          <w:color w:val="000000" w:themeColor="text1"/>
          <w:rtl/>
          <w:lang w:eastAsia="en-US"/>
        </w:rPr>
        <w:t>تشير سجلات وكالة الغوث (الأونروا) إلى ان عدد اللاجئين الفلسطينيين المسجلين لديها في عام 2017 نحو 5.9 مليون لاجئ وهذه الارقام تمثل الحد الادنى لعدد اللاجئين الفلسطينيين، وقد شكل اللاجئون الفلسطينيون المقيمون في الضفة الغربية والمسجلون لدى وكالة الغوث في  العام 2017 ما نسبته 17.0% من إجمالي اللاجئين المسجلين لدى وكالة الغوث مقابل 24.4% في قطاع غزة.  أما على مستوى الدول العربية، فقد بلغت نسبة اللاجئين الفلسطينيين المسجلين لدى وكالة الغوث في الأردن 39.0% من إجمالي اللاجئين الفلسطينين في حين بلغت النسبة في لبنان 9.1% وفي سوريا 10.5%.</w:t>
      </w:r>
    </w:p>
    <w:p w:rsidR="002A4887" w:rsidRDefault="002A4887" w:rsidP="002A4887">
      <w:pPr>
        <w:jc w:val="both"/>
        <w:rPr>
          <w:rFonts w:cs="Simplified Arabic"/>
          <w:sz w:val="21"/>
          <w:szCs w:val="21"/>
          <w:rtl/>
          <w:lang w:eastAsia="en-US"/>
        </w:rPr>
      </w:pPr>
    </w:p>
    <w:p w:rsidR="002A4887" w:rsidRDefault="002A4887" w:rsidP="002A4887">
      <w:pPr>
        <w:jc w:val="both"/>
        <w:rPr>
          <w:rFonts w:cs="Simplified Arabic"/>
          <w:sz w:val="21"/>
          <w:szCs w:val="21"/>
          <w:rtl/>
          <w:lang w:eastAsia="en-US"/>
        </w:rPr>
      </w:pPr>
    </w:p>
    <w:p w:rsidR="002A4887" w:rsidRDefault="002A4887" w:rsidP="002A4887">
      <w:pPr>
        <w:jc w:val="both"/>
        <w:rPr>
          <w:rFonts w:cs="Simplified Arabic"/>
          <w:sz w:val="21"/>
          <w:szCs w:val="21"/>
          <w:rtl/>
          <w:lang w:eastAsia="en-US"/>
        </w:rPr>
      </w:pPr>
    </w:p>
    <w:p w:rsidR="002A4887" w:rsidRDefault="002A4887" w:rsidP="002A4887">
      <w:pPr>
        <w:jc w:val="both"/>
        <w:rPr>
          <w:rFonts w:cs="Simplified Arabic"/>
          <w:sz w:val="21"/>
          <w:szCs w:val="21"/>
          <w:rtl/>
          <w:lang w:eastAsia="en-US"/>
        </w:rPr>
      </w:pPr>
    </w:p>
    <w:p w:rsidR="002A4887" w:rsidRDefault="002A4887" w:rsidP="002A4887">
      <w:pPr>
        <w:jc w:val="both"/>
        <w:rPr>
          <w:rFonts w:cs="Simplified Arabic"/>
          <w:sz w:val="21"/>
          <w:szCs w:val="21"/>
          <w:rtl/>
          <w:lang w:eastAsia="en-US"/>
        </w:rPr>
      </w:pPr>
    </w:p>
    <w:p w:rsidR="002A4887" w:rsidRDefault="002A4887" w:rsidP="002A4887">
      <w:pPr>
        <w:jc w:val="both"/>
        <w:rPr>
          <w:rFonts w:cs="Simplified Arabic"/>
          <w:sz w:val="21"/>
          <w:szCs w:val="21"/>
          <w:rtl/>
          <w:lang w:eastAsia="en-US"/>
        </w:rPr>
      </w:pPr>
    </w:p>
    <w:p w:rsidR="002A4887" w:rsidRDefault="002A4887" w:rsidP="002A4887">
      <w:pPr>
        <w:jc w:val="both"/>
        <w:rPr>
          <w:rFonts w:cs="Simplified Arabic"/>
          <w:sz w:val="21"/>
          <w:szCs w:val="21"/>
          <w:rtl/>
          <w:lang w:eastAsia="en-US"/>
        </w:rPr>
      </w:pPr>
    </w:p>
    <w:p w:rsidR="002A4887" w:rsidRPr="008C6AF4" w:rsidRDefault="002A4887" w:rsidP="002A4887">
      <w:pPr>
        <w:jc w:val="both"/>
        <w:rPr>
          <w:rFonts w:cs="Simplified Arabic"/>
          <w:sz w:val="21"/>
          <w:szCs w:val="21"/>
          <w:rtl/>
          <w:lang w:eastAsia="en-US"/>
        </w:rPr>
      </w:pPr>
    </w:p>
    <w:p w:rsidR="00D90D60" w:rsidRDefault="00D90D60" w:rsidP="002A4887">
      <w:pPr>
        <w:jc w:val="center"/>
        <w:rPr>
          <w:rFonts w:ascii="Simplified Arabic" w:hAnsi="Simplified Arabic" w:cs="Simplified Arabic"/>
          <w:b/>
          <w:bCs/>
          <w:sz w:val="25"/>
          <w:szCs w:val="25"/>
          <w:rtl/>
          <w:lang w:eastAsia="en-US"/>
        </w:rPr>
      </w:pPr>
    </w:p>
    <w:p w:rsidR="00D90D60" w:rsidRDefault="00D90D60" w:rsidP="002A4887">
      <w:pPr>
        <w:jc w:val="center"/>
        <w:rPr>
          <w:rFonts w:ascii="Simplified Arabic" w:hAnsi="Simplified Arabic" w:cs="Simplified Arabic"/>
          <w:b/>
          <w:bCs/>
          <w:sz w:val="25"/>
          <w:szCs w:val="25"/>
          <w:rtl/>
          <w:lang w:eastAsia="en-US"/>
        </w:rPr>
      </w:pPr>
    </w:p>
    <w:p w:rsidR="002A4887" w:rsidRPr="002A4887" w:rsidRDefault="002A4887" w:rsidP="002A4887">
      <w:pPr>
        <w:jc w:val="center"/>
        <w:rPr>
          <w:rFonts w:ascii="Simplified Arabic" w:hAnsi="Simplified Arabic" w:cs="Simplified Arabic"/>
          <w:b/>
          <w:bCs/>
          <w:sz w:val="25"/>
          <w:szCs w:val="25"/>
          <w:rtl/>
          <w:lang w:eastAsia="en-US"/>
        </w:rPr>
      </w:pPr>
      <w:r w:rsidRPr="002A4887">
        <w:rPr>
          <w:rFonts w:ascii="Simplified Arabic" w:hAnsi="Simplified Arabic" w:cs="Simplified Arabic"/>
          <w:b/>
          <w:bCs/>
          <w:sz w:val="25"/>
          <w:szCs w:val="25"/>
          <w:rtl/>
          <w:lang w:eastAsia="en-US"/>
        </w:rPr>
        <w:t>التوزيع النسبي للاجئين الفلسطينيين حسب دولة الاقامة 2017،  (وفق بيانات وكالة غوث وتشغيل اللاجئين الفلسطينيين)</w:t>
      </w:r>
    </w:p>
    <w:tbl>
      <w:tblPr>
        <w:tblStyle w:val="TableGrid"/>
        <w:bidiVisual/>
        <w:tblW w:w="0" w:type="auto"/>
        <w:jc w:val="center"/>
        <w:tblLook w:val="04A0"/>
      </w:tblPr>
      <w:tblGrid>
        <w:gridCol w:w="5001"/>
      </w:tblGrid>
      <w:tr w:rsidR="002A4887" w:rsidTr="002A4887">
        <w:trPr>
          <w:jc w:val="center"/>
        </w:trPr>
        <w:tc>
          <w:tcPr>
            <w:tcW w:w="4681" w:type="dxa"/>
          </w:tcPr>
          <w:p w:rsidR="002A4887" w:rsidRDefault="002A4887" w:rsidP="00A615A0">
            <w:pPr>
              <w:jc w:val="center"/>
              <w:rPr>
                <w:rFonts w:cs="Simplified Arabic"/>
                <w:b/>
                <w:bCs/>
                <w:sz w:val="20"/>
                <w:szCs w:val="20"/>
                <w:rtl/>
                <w:lang w:eastAsia="en-US"/>
              </w:rPr>
            </w:pPr>
            <w:r w:rsidRPr="00411431">
              <w:rPr>
                <w:rFonts w:cs="Simplified Arabic"/>
                <w:b/>
                <w:bCs/>
                <w:noProof/>
                <w:sz w:val="20"/>
                <w:szCs w:val="20"/>
                <w:rtl/>
                <w:lang w:eastAsia="en-US"/>
              </w:rPr>
              <w:drawing>
                <wp:inline distT="0" distB="0" distL="0" distR="0">
                  <wp:extent cx="3038475" cy="1933575"/>
                  <wp:effectExtent l="0" t="0" r="0" b="0"/>
                  <wp:docPr id="4"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2A4887" w:rsidRPr="002A4887" w:rsidRDefault="002A4887" w:rsidP="002A4887">
      <w:pPr>
        <w:tabs>
          <w:tab w:val="num" w:pos="430"/>
        </w:tabs>
        <w:ind w:left="70"/>
        <w:jc w:val="lowKashida"/>
        <w:rPr>
          <w:rFonts w:cs="Simplified Arabic"/>
          <w:b/>
          <w:bCs/>
          <w:sz w:val="8"/>
          <w:szCs w:val="8"/>
          <w:rtl/>
          <w:lang w:eastAsia="en-US"/>
        </w:rPr>
      </w:pPr>
    </w:p>
    <w:p w:rsidR="002A4887" w:rsidRPr="002A4887" w:rsidRDefault="002A4887" w:rsidP="002A4887">
      <w:pPr>
        <w:tabs>
          <w:tab w:val="num" w:pos="430"/>
        </w:tabs>
        <w:ind w:left="70"/>
        <w:jc w:val="lowKashida"/>
        <w:rPr>
          <w:rFonts w:cs="Simplified Arabic"/>
          <w:sz w:val="20"/>
          <w:szCs w:val="20"/>
          <w:lang w:eastAsia="en-US"/>
        </w:rPr>
      </w:pPr>
      <w:r w:rsidRPr="002A4887">
        <w:rPr>
          <w:rFonts w:cs="Simplified Arabic"/>
          <w:b/>
          <w:bCs/>
          <w:sz w:val="20"/>
          <w:szCs w:val="20"/>
          <w:rtl/>
          <w:lang w:eastAsia="en-US"/>
        </w:rPr>
        <w:t>المصدر</w:t>
      </w:r>
      <w:r w:rsidRPr="002A4887">
        <w:rPr>
          <w:rFonts w:cs="Simplified Arabic"/>
          <w:sz w:val="20"/>
          <w:szCs w:val="20"/>
          <w:rtl/>
          <w:lang w:eastAsia="en-US"/>
        </w:rPr>
        <w:t>: وكالة الامم المتحدة لاغاثة وتشغيل اللاجئين الفلسطينيين في الشرق الادنى</w:t>
      </w:r>
      <w:r w:rsidRPr="002A4887">
        <w:rPr>
          <w:rFonts w:cs="Simplified Arabic" w:hint="cs"/>
          <w:sz w:val="20"/>
          <w:szCs w:val="20"/>
          <w:rtl/>
          <w:lang w:eastAsia="en-US"/>
        </w:rPr>
        <w:t xml:space="preserve"> (الاونروا)</w:t>
      </w:r>
      <w:r w:rsidRPr="002A4887">
        <w:rPr>
          <w:rFonts w:cs="Simplified Arabic"/>
          <w:sz w:val="20"/>
          <w:szCs w:val="20"/>
          <w:rtl/>
          <w:lang w:eastAsia="en-US"/>
        </w:rPr>
        <w:t>، احصاءات سنوية 2018</w:t>
      </w:r>
      <w:r w:rsidRPr="002A4887">
        <w:rPr>
          <w:rFonts w:cs="Simplified Arabic" w:hint="cs"/>
          <w:sz w:val="20"/>
          <w:szCs w:val="20"/>
          <w:rtl/>
          <w:lang w:eastAsia="en-US"/>
        </w:rPr>
        <w:t>،</w:t>
      </w:r>
      <w:r w:rsidRPr="002A4887">
        <w:rPr>
          <w:rFonts w:cs="Simplified Arabic"/>
          <w:sz w:val="20"/>
          <w:szCs w:val="20"/>
          <w:rtl/>
          <w:lang w:eastAsia="en-US"/>
        </w:rPr>
        <w:t xml:space="preserve"> (01/01/2017) </w:t>
      </w:r>
    </w:p>
    <w:p w:rsidR="002A4887" w:rsidRPr="00227C85" w:rsidRDefault="002A4887" w:rsidP="002A4887">
      <w:pPr>
        <w:jc w:val="lowKashida"/>
        <w:rPr>
          <w:rFonts w:cs="Simplified Arabic"/>
          <w:b/>
          <w:bCs/>
          <w:sz w:val="10"/>
          <w:szCs w:val="10"/>
          <w:rtl/>
          <w:lang w:eastAsia="en-US"/>
        </w:rPr>
      </w:pPr>
    </w:p>
    <w:p w:rsidR="002A4887" w:rsidRPr="002A4887" w:rsidRDefault="002A4887" w:rsidP="002A4887">
      <w:pPr>
        <w:jc w:val="lowKashida"/>
        <w:rPr>
          <w:rFonts w:ascii="Simplified Arabic" w:hAnsi="Simplified Arabic" w:cs="Simplified Arabic"/>
          <w:b/>
          <w:bCs/>
          <w:sz w:val="16"/>
          <w:szCs w:val="16"/>
          <w:rtl/>
          <w:lang w:eastAsia="en-US"/>
        </w:rPr>
      </w:pPr>
    </w:p>
    <w:p w:rsidR="002A4887" w:rsidRPr="00996B7F" w:rsidRDefault="002A4887" w:rsidP="002A4887">
      <w:pPr>
        <w:jc w:val="center"/>
        <w:rPr>
          <w:rFonts w:ascii="Simplified Arabic" w:hAnsi="Simplified Arabic" w:cs="Simplified Arabic"/>
          <w:b/>
          <w:bCs/>
          <w:sz w:val="28"/>
          <w:szCs w:val="28"/>
          <w:rtl/>
          <w:lang w:eastAsia="en-US"/>
        </w:rPr>
      </w:pPr>
      <w:r w:rsidRPr="00996B7F">
        <w:rPr>
          <w:rFonts w:ascii="Simplified Arabic" w:hAnsi="Simplified Arabic" w:cs="Simplified Arabic"/>
          <w:b/>
          <w:bCs/>
          <w:sz w:val="28"/>
          <w:szCs w:val="28"/>
          <w:rtl/>
          <w:lang w:eastAsia="en-US"/>
        </w:rPr>
        <w:t>أوضاع اللاجئين الفلسطين</w:t>
      </w:r>
      <w:r w:rsidR="00820694">
        <w:rPr>
          <w:rFonts w:ascii="Simplified Arabic" w:hAnsi="Simplified Arabic" w:cs="Simplified Arabic" w:hint="cs"/>
          <w:b/>
          <w:bCs/>
          <w:sz w:val="28"/>
          <w:szCs w:val="28"/>
          <w:rtl/>
          <w:lang w:eastAsia="en-US"/>
        </w:rPr>
        <w:t>ي</w:t>
      </w:r>
      <w:r w:rsidRPr="00996B7F">
        <w:rPr>
          <w:rFonts w:ascii="Simplified Arabic" w:hAnsi="Simplified Arabic" w:cs="Simplified Arabic"/>
          <w:b/>
          <w:bCs/>
          <w:sz w:val="28"/>
          <w:szCs w:val="28"/>
          <w:rtl/>
          <w:lang w:eastAsia="en-US"/>
        </w:rPr>
        <w:t>ين في دولة فلسطين</w:t>
      </w:r>
    </w:p>
    <w:p w:rsidR="002A4887" w:rsidRPr="00794AAA" w:rsidRDefault="002A4887" w:rsidP="002A4887">
      <w:pPr>
        <w:jc w:val="lowKashida"/>
        <w:rPr>
          <w:rFonts w:cs="Simplified Arabic"/>
          <w:b/>
          <w:bCs/>
          <w:color w:val="000000" w:themeColor="text1"/>
          <w:sz w:val="6"/>
          <w:szCs w:val="6"/>
          <w:rtl/>
          <w:lang w:eastAsia="en-US"/>
        </w:rPr>
      </w:pPr>
    </w:p>
    <w:p w:rsidR="002A4887" w:rsidRPr="002A4887" w:rsidRDefault="002A4887" w:rsidP="002A4887">
      <w:pPr>
        <w:jc w:val="lowKashida"/>
        <w:rPr>
          <w:rFonts w:cs="Simplified Arabic"/>
          <w:b/>
          <w:bCs/>
          <w:color w:val="000000" w:themeColor="text1"/>
          <w:sz w:val="16"/>
          <w:szCs w:val="16"/>
          <w:rtl/>
          <w:lang w:eastAsia="en-US"/>
        </w:rPr>
      </w:pPr>
    </w:p>
    <w:p w:rsidR="002A4887" w:rsidRPr="002A4887" w:rsidRDefault="002A4887" w:rsidP="002A4887">
      <w:pPr>
        <w:jc w:val="lowKashida"/>
        <w:rPr>
          <w:rFonts w:cs="Simplified Arabic"/>
          <w:b/>
          <w:bCs/>
          <w:color w:val="000000" w:themeColor="text1"/>
          <w:sz w:val="25"/>
          <w:szCs w:val="25"/>
          <w:rtl/>
          <w:lang w:eastAsia="en-US"/>
        </w:rPr>
      </w:pPr>
      <w:r w:rsidRPr="002A4887">
        <w:rPr>
          <w:rFonts w:cs="Simplified Arabic" w:hint="cs"/>
          <w:b/>
          <w:bCs/>
          <w:color w:val="000000" w:themeColor="text1"/>
          <w:sz w:val="25"/>
          <w:szCs w:val="25"/>
          <w:rtl/>
          <w:lang w:eastAsia="en-US"/>
        </w:rPr>
        <w:t xml:space="preserve">حوالي 43% من مجمل السكان في دولة فلسطين لاجئون </w:t>
      </w:r>
    </w:p>
    <w:p w:rsidR="002A4887" w:rsidRPr="002A4887" w:rsidRDefault="002A4887" w:rsidP="002A4887">
      <w:pPr>
        <w:tabs>
          <w:tab w:val="num" w:pos="430"/>
        </w:tabs>
        <w:jc w:val="lowKashida"/>
        <w:rPr>
          <w:rFonts w:ascii="Simplified Arabic" w:hAnsi="Simplified Arabic" w:cs="Simplified Arabic"/>
          <w:color w:val="000000" w:themeColor="text1"/>
          <w:rtl/>
          <w:lang w:eastAsia="en-US"/>
        </w:rPr>
      </w:pPr>
      <w:r w:rsidRPr="002A4887">
        <w:rPr>
          <w:rFonts w:ascii="Simplified Arabic" w:hAnsi="Simplified Arabic" w:cs="Simplified Arabic"/>
          <w:color w:val="000000" w:themeColor="text1"/>
          <w:rtl/>
          <w:lang w:eastAsia="en-US"/>
        </w:rPr>
        <w:t xml:space="preserve">تشير بيانات عام </w:t>
      </w:r>
      <w:r w:rsidRPr="002A4887">
        <w:rPr>
          <w:rFonts w:ascii="Simplified Arabic" w:hAnsi="Simplified Arabic" w:cs="Simplified Arabic"/>
          <w:color w:val="000000" w:themeColor="text1"/>
          <w:lang w:eastAsia="en-US"/>
        </w:rPr>
        <w:t>2017</w:t>
      </w:r>
      <w:r w:rsidRPr="002A4887">
        <w:rPr>
          <w:rFonts w:ascii="Simplified Arabic" w:hAnsi="Simplified Arabic" w:cs="Simplified Arabic"/>
          <w:color w:val="000000" w:themeColor="text1"/>
          <w:rtl/>
          <w:lang w:eastAsia="en-US"/>
        </w:rPr>
        <w:t xml:space="preserve"> إلى أن نسبة السكان اللاجئين في دولة فلسطين بلغت </w:t>
      </w:r>
      <w:r w:rsidRPr="002A4887">
        <w:rPr>
          <w:rFonts w:ascii="Simplified Arabic" w:hAnsi="Simplified Arabic" w:cs="Simplified Arabic"/>
          <w:color w:val="000000" w:themeColor="text1"/>
          <w:lang w:eastAsia="en-US"/>
        </w:rPr>
        <w:t>42.5</w:t>
      </w:r>
      <w:r w:rsidRPr="002A4887">
        <w:rPr>
          <w:rFonts w:ascii="Simplified Arabic" w:hAnsi="Simplified Arabic" w:cs="Simplified Arabic"/>
          <w:color w:val="000000" w:themeColor="text1"/>
          <w:rtl/>
          <w:lang w:eastAsia="en-US"/>
        </w:rPr>
        <w:t xml:space="preserve">% من مجمل السكان الفلسطينيين المقيمين في دولة فلسطين، وأن </w:t>
      </w:r>
      <w:r w:rsidRPr="002A4887">
        <w:rPr>
          <w:rFonts w:ascii="Simplified Arabic" w:hAnsi="Simplified Arabic" w:cs="Simplified Arabic"/>
          <w:color w:val="000000" w:themeColor="text1"/>
          <w:lang w:eastAsia="en-US"/>
        </w:rPr>
        <w:t>26.6</w:t>
      </w:r>
      <w:r w:rsidRPr="002A4887">
        <w:rPr>
          <w:rFonts w:ascii="Simplified Arabic" w:hAnsi="Simplified Arabic" w:cs="Simplified Arabic"/>
          <w:color w:val="000000" w:themeColor="text1"/>
          <w:rtl/>
          <w:lang w:eastAsia="en-US"/>
        </w:rPr>
        <w:t xml:space="preserve">% من السكان في الضفة الغربية هم لاجئون، في حين بلغت نسبة اللاجئين في قطاع غزة </w:t>
      </w:r>
      <w:r w:rsidRPr="002A4887">
        <w:rPr>
          <w:rFonts w:ascii="Simplified Arabic" w:hAnsi="Simplified Arabic" w:cs="Simplified Arabic"/>
          <w:color w:val="000000" w:themeColor="text1"/>
          <w:lang w:eastAsia="en-US"/>
        </w:rPr>
        <w:t>66.2</w:t>
      </w:r>
      <w:r w:rsidRPr="002A4887">
        <w:rPr>
          <w:rFonts w:ascii="Simplified Arabic" w:hAnsi="Simplified Arabic" w:cs="Simplified Arabic"/>
          <w:color w:val="000000" w:themeColor="text1"/>
          <w:rtl/>
          <w:lang w:eastAsia="en-US"/>
        </w:rPr>
        <w:t xml:space="preserve">%. </w:t>
      </w:r>
    </w:p>
    <w:p w:rsidR="002A4887" w:rsidRPr="0088753F" w:rsidRDefault="002A4887" w:rsidP="002A4887">
      <w:pPr>
        <w:tabs>
          <w:tab w:val="num" w:pos="430"/>
        </w:tabs>
        <w:ind w:left="70"/>
        <w:rPr>
          <w:rFonts w:cs="Simplified Arabic"/>
          <w:b/>
          <w:bCs/>
          <w:sz w:val="10"/>
          <w:szCs w:val="10"/>
          <w:rtl/>
          <w:lang w:eastAsia="en-US"/>
        </w:rPr>
      </w:pPr>
    </w:p>
    <w:p w:rsidR="002A4887" w:rsidRPr="002A4887" w:rsidRDefault="002A4887" w:rsidP="002A4887">
      <w:pPr>
        <w:tabs>
          <w:tab w:val="num" w:pos="430"/>
        </w:tabs>
        <w:ind w:left="70"/>
        <w:jc w:val="center"/>
        <w:rPr>
          <w:rFonts w:ascii="Simplified Arabic" w:hAnsi="Simplified Arabic" w:cs="Simplified Arabic"/>
          <w:b/>
          <w:bCs/>
          <w:sz w:val="25"/>
          <w:szCs w:val="25"/>
          <w:rtl/>
          <w:lang w:eastAsia="en-US"/>
        </w:rPr>
      </w:pPr>
      <w:r w:rsidRPr="002A4887">
        <w:rPr>
          <w:rFonts w:ascii="Simplified Arabic" w:hAnsi="Simplified Arabic" w:cs="Simplified Arabic"/>
          <w:b/>
          <w:bCs/>
          <w:sz w:val="25"/>
          <w:szCs w:val="25"/>
          <w:rtl/>
          <w:lang w:eastAsia="en-US"/>
        </w:rPr>
        <w:t xml:space="preserve">نسبة اللاجئين في دولة فلسطين حسب المنطقة، </w:t>
      </w:r>
      <w:r w:rsidRPr="002A4887">
        <w:rPr>
          <w:rFonts w:ascii="Simplified Arabic" w:hAnsi="Simplified Arabic" w:cs="Simplified Arabic"/>
          <w:b/>
          <w:bCs/>
          <w:sz w:val="25"/>
          <w:szCs w:val="25"/>
          <w:lang w:eastAsia="en-US"/>
        </w:rPr>
        <w:t>2017</w:t>
      </w:r>
    </w:p>
    <w:tbl>
      <w:tblPr>
        <w:tblStyle w:val="TableGrid"/>
        <w:bidiVisual/>
        <w:tblW w:w="0" w:type="auto"/>
        <w:jc w:val="center"/>
        <w:tblInd w:w="70" w:type="dxa"/>
        <w:tblLook w:val="04A0"/>
      </w:tblPr>
      <w:tblGrid>
        <w:gridCol w:w="4911"/>
      </w:tblGrid>
      <w:tr w:rsidR="002A4887" w:rsidTr="002A4887">
        <w:trPr>
          <w:jc w:val="center"/>
        </w:trPr>
        <w:tc>
          <w:tcPr>
            <w:tcW w:w="4681" w:type="dxa"/>
          </w:tcPr>
          <w:p w:rsidR="002A4887" w:rsidRDefault="002A4887" w:rsidP="002A4887">
            <w:pPr>
              <w:tabs>
                <w:tab w:val="num" w:pos="430"/>
              </w:tabs>
              <w:rPr>
                <w:rFonts w:cs="Simplified Arabic"/>
                <w:b/>
                <w:bCs/>
                <w:sz w:val="20"/>
                <w:szCs w:val="20"/>
                <w:rtl/>
                <w:lang w:eastAsia="en-US"/>
              </w:rPr>
            </w:pPr>
            <w:r w:rsidRPr="00E615C9">
              <w:rPr>
                <w:rFonts w:cs="Simplified Arabic" w:hint="cs"/>
                <w:b/>
                <w:bCs/>
                <w:noProof/>
                <w:sz w:val="20"/>
                <w:szCs w:val="20"/>
                <w:rtl/>
                <w:lang w:eastAsia="en-US"/>
              </w:rPr>
              <w:drawing>
                <wp:inline distT="0" distB="0" distL="0" distR="0">
                  <wp:extent cx="2981325" cy="2000250"/>
                  <wp:effectExtent l="0" t="0" r="0"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2A4887" w:rsidRPr="002A4887" w:rsidRDefault="002A4887" w:rsidP="002A4887">
      <w:pPr>
        <w:jc w:val="lowKashida"/>
        <w:rPr>
          <w:rFonts w:ascii="Simplified Arabic" w:hAnsi="Simplified Arabic" w:cs="Simplified Arabic"/>
          <w:b/>
          <w:bCs/>
          <w:sz w:val="8"/>
          <w:szCs w:val="8"/>
          <w:rtl/>
          <w:lang w:eastAsia="en-US"/>
        </w:rPr>
      </w:pPr>
    </w:p>
    <w:p w:rsidR="002A4887" w:rsidRPr="002A4887" w:rsidRDefault="002A4887" w:rsidP="002A4887">
      <w:pPr>
        <w:jc w:val="lowKashida"/>
        <w:rPr>
          <w:rFonts w:ascii="Simplified Arabic" w:hAnsi="Simplified Arabic" w:cs="Simplified Arabic"/>
          <w:b/>
          <w:bCs/>
          <w:color w:val="000000"/>
          <w:sz w:val="20"/>
          <w:szCs w:val="20"/>
          <w:rtl/>
        </w:rPr>
      </w:pPr>
      <w:r w:rsidRPr="002A4887">
        <w:rPr>
          <w:rFonts w:ascii="Simplified Arabic" w:hAnsi="Simplified Arabic" w:cs="Simplified Arabic"/>
          <w:b/>
          <w:bCs/>
          <w:sz w:val="20"/>
          <w:szCs w:val="20"/>
          <w:rtl/>
          <w:lang w:eastAsia="en-US"/>
        </w:rPr>
        <w:t>المصدر:</w:t>
      </w:r>
      <w:r w:rsidRPr="002A4887">
        <w:rPr>
          <w:rFonts w:ascii="Simplified Arabic" w:hAnsi="Simplified Arabic" w:cs="Simplified Arabic"/>
          <w:sz w:val="20"/>
          <w:szCs w:val="20"/>
          <w:lang w:eastAsia="en-US"/>
        </w:rPr>
        <w:t xml:space="preserve"> </w:t>
      </w:r>
      <w:r w:rsidRPr="002A4887">
        <w:rPr>
          <w:rFonts w:ascii="Simplified Arabic" w:hAnsi="Simplified Arabic" w:cs="Simplified Arabic"/>
          <w:b/>
          <w:bCs/>
          <w:sz w:val="20"/>
          <w:szCs w:val="20"/>
          <w:rtl/>
          <w:lang w:eastAsia="en-US"/>
        </w:rPr>
        <w:t xml:space="preserve">الجهاز المركزي للإحصاء الفلسطيني، </w:t>
      </w:r>
      <w:r w:rsidRPr="002A4887">
        <w:rPr>
          <w:rFonts w:ascii="Simplified Arabic" w:hAnsi="Simplified Arabic" w:cs="Simplified Arabic"/>
          <w:b/>
          <w:bCs/>
          <w:sz w:val="20"/>
          <w:szCs w:val="20"/>
          <w:lang w:eastAsia="en-US"/>
        </w:rPr>
        <w:t>2018</w:t>
      </w:r>
      <w:r w:rsidRPr="002A4887">
        <w:rPr>
          <w:rFonts w:ascii="Simplified Arabic" w:hAnsi="Simplified Arabic" w:cs="Simplified Arabic"/>
          <w:b/>
          <w:bCs/>
          <w:sz w:val="20"/>
          <w:szCs w:val="20"/>
          <w:rtl/>
          <w:lang w:eastAsia="en-US"/>
        </w:rPr>
        <w:t>.</w:t>
      </w:r>
      <w:r w:rsidRPr="002A4887">
        <w:rPr>
          <w:rFonts w:ascii="Simplified Arabic" w:hAnsi="Simplified Arabic" w:cs="Simplified Arabic"/>
          <w:sz w:val="20"/>
          <w:szCs w:val="20"/>
          <w:rtl/>
          <w:lang w:eastAsia="en-US"/>
        </w:rPr>
        <w:t xml:space="preserve"> </w:t>
      </w:r>
      <w:r w:rsidRPr="002A4887">
        <w:rPr>
          <w:rFonts w:ascii="Simplified Arabic" w:hAnsi="Simplified Arabic" w:cs="Simplified Arabic" w:hint="cs"/>
          <w:sz w:val="20"/>
          <w:szCs w:val="20"/>
          <w:rtl/>
          <w:lang w:eastAsia="en-US"/>
        </w:rPr>
        <w:t>التعداد العام للسكان والمساكن والمنشآت 2017</w:t>
      </w:r>
      <w:r w:rsidRPr="002A4887">
        <w:rPr>
          <w:rFonts w:ascii="Simplified Arabic" w:hAnsi="Simplified Arabic" w:cs="Simplified Arabic"/>
          <w:sz w:val="20"/>
          <w:szCs w:val="20"/>
          <w:rtl/>
          <w:lang w:eastAsia="en-US"/>
        </w:rPr>
        <w:t xml:space="preserve">.  رام الله </w:t>
      </w:r>
      <w:r w:rsidRPr="002A4887">
        <w:rPr>
          <w:rFonts w:ascii="Simplified Arabic" w:hAnsi="Simplified Arabic" w:cs="Simplified Arabic" w:hint="cs"/>
          <w:sz w:val="20"/>
          <w:szCs w:val="20"/>
          <w:rtl/>
          <w:lang w:eastAsia="en-US"/>
        </w:rPr>
        <w:t xml:space="preserve">- </w:t>
      </w:r>
      <w:r w:rsidRPr="002A4887">
        <w:rPr>
          <w:rFonts w:ascii="Simplified Arabic" w:hAnsi="Simplified Arabic" w:cs="Simplified Arabic"/>
          <w:sz w:val="20"/>
          <w:szCs w:val="20"/>
          <w:rtl/>
          <w:lang w:eastAsia="en-US"/>
        </w:rPr>
        <w:t>فلسطين</w:t>
      </w:r>
      <w:r w:rsidRPr="002A4887">
        <w:rPr>
          <w:rFonts w:ascii="Simplified Arabic" w:hAnsi="Simplified Arabic" w:cs="Simplified Arabic"/>
          <w:b/>
          <w:bCs/>
          <w:color w:val="000000"/>
          <w:sz w:val="20"/>
          <w:szCs w:val="20"/>
          <w:rtl/>
        </w:rPr>
        <w:t xml:space="preserve">    </w:t>
      </w:r>
    </w:p>
    <w:p w:rsidR="002A4887" w:rsidRPr="002A4887" w:rsidRDefault="002A4887" w:rsidP="002A4887">
      <w:pPr>
        <w:jc w:val="lowKashida"/>
        <w:rPr>
          <w:rFonts w:cs="Simplified Arabic"/>
          <w:b/>
          <w:bCs/>
          <w:color w:val="000000" w:themeColor="text1"/>
          <w:sz w:val="16"/>
          <w:szCs w:val="16"/>
          <w:rtl/>
        </w:rPr>
      </w:pPr>
    </w:p>
    <w:p w:rsidR="002A4887" w:rsidRPr="002A4887" w:rsidRDefault="002A4887" w:rsidP="002A4887">
      <w:pPr>
        <w:jc w:val="lowKashida"/>
        <w:rPr>
          <w:rFonts w:ascii="Simplified Arabic" w:hAnsi="Simplified Arabic" w:cs="Simplified Arabic"/>
          <w:b/>
          <w:bCs/>
          <w:sz w:val="25"/>
          <w:szCs w:val="25"/>
          <w:rtl/>
          <w:lang w:eastAsia="en-US"/>
        </w:rPr>
      </w:pPr>
      <w:r w:rsidRPr="002A4887">
        <w:rPr>
          <w:rFonts w:ascii="Simplified Arabic" w:hAnsi="Simplified Arabic" w:cs="Simplified Arabic"/>
          <w:b/>
          <w:bCs/>
          <w:sz w:val="25"/>
          <w:szCs w:val="25"/>
          <w:rtl/>
          <w:lang w:eastAsia="en-US"/>
        </w:rPr>
        <w:t xml:space="preserve">يمتاز اللاجئون الفلسطينيون بأنهم مجتمع فتي </w:t>
      </w:r>
    </w:p>
    <w:p w:rsidR="002A4887" w:rsidRPr="002A4887" w:rsidRDefault="002A4887" w:rsidP="002A4887">
      <w:pPr>
        <w:jc w:val="lowKashida"/>
        <w:rPr>
          <w:rFonts w:ascii="Simplified Arabic" w:hAnsi="Simplified Arabic" w:cs="Simplified Arabic"/>
          <w:color w:val="000000" w:themeColor="text1"/>
          <w:rtl/>
          <w:lang w:eastAsia="en-US"/>
        </w:rPr>
      </w:pPr>
      <w:r w:rsidRPr="002A4887">
        <w:rPr>
          <w:rFonts w:ascii="Simplified Arabic" w:hAnsi="Simplified Arabic" w:cs="Simplified Arabic"/>
          <w:color w:val="000000" w:themeColor="text1"/>
          <w:rtl/>
        </w:rPr>
        <w:t xml:space="preserve">بلغت نسبة الأفراد الذين تقل أعمارهم عن 15 سنة 39.9% من إجمالي السكان في دولة فلسطين في العام 2017، فبلغت هذه النسبة للأفراد اللاجئين 39.3% من إجمالي اللاجئين، بينما بلغت النسبة لغير اللاجئين 38.6% من إجمالي غير اللاجئين. وبلغت نسبة كبار السن 60 سنة فأكثر اللاجئين 4.9% من إجمالي للاجئين في دولة فلسطين في حين بلغت لغير اللاجئين 5.0% من إجمالي غير اللاجئين.  </w:t>
      </w:r>
    </w:p>
    <w:p w:rsidR="002A4887" w:rsidRPr="002A4887" w:rsidRDefault="002A4887" w:rsidP="002A4887">
      <w:pPr>
        <w:jc w:val="lowKashida"/>
        <w:rPr>
          <w:rFonts w:cs="Simplified Arabic"/>
          <w:color w:val="FF0000"/>
          <w:sz w:val="16"/>
          <w:szCs w:val="16"/>
          <w:rtl/>
          <w:lang w:eastAsia="en-US"/>
        </w:rPr>
      </w:pPr>
    </w:p>
    <w:p w:rsidR="002A4887" w:rsidRPr="002A4887" w:rsidRDefault="002A4887" w:rsidP="002A4887">
      <w:pPr>
        <w:pStyle w:val="Heading3"/>
        <w:jc w:val="both"/>
        <w:rPr>
          <w:rFonts w:ascii="Simplified Arabic" w:hAnsi="Simplified Arabic"/>
          <w:sz w:val="25"/>
          <w:szCs w:val="25"/>
          <w:rtl/>
          <w:lang w:eastAsia="en-US"/>
        </w:rPr>
      </w:pPr>
      <w:r w:rsidRPr="002A4887">
        <w:rPr>
          <w:rFonts w:ascii="Simplified Arabic" w:hAnsi="Simplified Arabic"/>
          <w:sz w:val="25"/>
          <w:szCs w:val="25"/>
          <w:rtl/>
          <w:lang w:eastAsia="en-US"/>
        </w:rPr>
        <w:t xml:space="preserve">اللاجئات الفلسطينيات المقيمات في دولة فلسطين أكثر خصوبة </w:t>
      </w:r>
    </w:p>
    <w:p w:rsidR="002A4887" w:rsidRPr="002A4887" w:rsidRDefault="002A4887" w:rsidP="002A4887">
      <w:pPr>
        <w:jc w:val="lowKashida"/>
        <w:rPr>
          <w:rFonts w:ascii="Simplified Arabic" w:hAnsi="Simplified Arabic" w:cs="Simplified Arabic"/>
          <w:color w:val="000000" w:themeColor="text1"/>
          <w:rtl/>
        </w:rPr>
      </w:pPr>
      <w:r w:rsidRPr="002A4887">
        <w:rPr>
          <w:rFonts w:ascii="Simplified Arabic" w:hAnsi="Simplified Arabic" w:cs="Simplified Arabic"/>
          <w:color w:val="000000" w:themeColor="text1"/>
          <w:rtl/>
        </w:rPr>
        <w:t>بلغ متوسط عدد الابناء الذين سبق انجابهم للنساء اللواتي سبق لهن الزواج في دولة فلسطين 4.4 مولودا، في حين بلغ هذا المتوسط حسب حالة اللجوء 4.5 للنساء اللاجئات مقابل 4.3 مولود للنساء غير اللاجئات.</w:t>
      </w:r>
    </w:p>
    <w:p w:rsidR="002A4887" w:rsidRDefault="002A4887" w:rsidP="002A4887">
      <w:pPr>
        <w:tabs>
          <w:tab w:val="num" w:pos="430"/>
        </w:tabs>
        <w:ind w:left="70"/>
        <w:jc w:val="center"/>
        <w:rPr>
          <w:rFonts w:ascii="Simplified Arabic" w:hAnsi="Simplified Arabic" w:cs="Simplified Arabic"/>
          <w:b/>
          <w:bCs/>
          <w:sz w:val="25"/>
          <w:szCs w:val="25"/>
          <w:rtl/>
          <w:lang w:eastAsia="en-US"/>
        </w:rPr>
      </w:pPr>
    </w:p>
    <w:p w:rsidR="002A4887" w:rsidRDefault="002A4887" w:rsidP="002A4887">
      <w:pPr>
        <w:tabs>
          <w:tab w:val="num" w:pos="430"/>
        </w:tabs>
        <w:ind w:left="70"/>
        <w:jc w:val="center"/>
        <w:rPr>
          <w:rFonts w:ascii="Simplified Arabic" w:hAnsi="Simplified Arabic" w:cs="Simplified Arabic"/>
          <w:b/>
          <w:bCs/>
          <w:sz w:val="25"/>
          <w:szCs w:val="25"/>
          <w:rtl/>
          <w:lang w:eastAsia="en-US"/>
        </w:rPr>
      </w:pPr>
    </w:p>
    <w:p w:rsidR="002A4887" w:rsidRPr="002A4887" w:rsidRDefault="002A4887" w:rsidP="002A4887">
      <w:pPr>
        <w:tabs>
          <w:tab w:val="num" w:pos="430"/>
        </w:tabs>
        <w:ind w:left="70"/>
        <w:jc w:val="center"/>
        <w:rPr>
          <w:rFonts w:ascii="Simplified Arabic" w:hAnsi="Simplified Arabic" w:cs="Simplified Arabic"/>
          <w:b/>
          <w:bCs/>
          <w:sz w:val="25"/>
          <w:szCs w:val="25"/>
          <w:rtl/>
          <w:lang w:eastAsia="en-US"/>
        </w:rPr>
      </w:pPr>
      <w:r w:rsidRPr="002A4887">
        <w:rPr>
          <w:rFonts w:ascii="Simplified Arabic" w:hAnsi="Simplified Arabic" w:cs="Simplified Arabic"/>
          <w:b/>
          <w:bCs/>
          <w:sz w:val="25"/>
          <w:szCs w:val="25"/>
          <w:rtl/>
          <w:lang w:eastAsia="en-US"/>
        </w:rPr>
        <w:t>متوسط عدد الابناء الذين سبق انجابهن في دولة فلسطين حسب حالة اللجوء، 2017</w:t>
      </w:r>
    </w:p>
    <w:tbl>
      <w:tblPr>
        <w:tblStyle w:val="TableGrid"/>
        <w:bidiVisual/>
        <w:tblW w:w="0" w:type="auto"/>
        <w:jc w:val="center"/>
        <w:tblInd w:w="70" w:type="dxa"/>
        <w:tblLook w:val="04A0"/>
      </w:tblPr>
      <w:tblGrid>
        <w:gridCol w:w="4821"/>
      </w:tblGrid>
      <w:tr w:rsidR="002A4887" w:rsidTr="002A4887">
        <w:trPr>
          <w:jc w:val="center"/>
        </w:trPr>
        <w:tc>
          <w:tcPr>
            <w:tcW w:w="4611" w:type="dxa"/>
          </w:tcPr>
          <w:p w:rsidR="002A4887" w:rsidRDefault="002A4887" w:rsidP="00A615A0">
            <w:pPr>
              <w:tabs>
                <w:tab w:val="num" w:pos="430"/>
              </w:tabs>
              <w:jc w:val="center"/>
              <w:rPr>
                <w:rFonts w:cs="Simplified Arabic"/>
                <w:b/>
                <w:bCs/>
                <w:sz w:val="20"/>
                <w:szCs w:val="20"/>
                <w:rtl/>
                <w:lang w:eastAsia="en-US"/>
              </w:rPr>
            </w:pPr>
            <w:r w:rsidRPr="00E615C9">
              <w:rPr>
                <w:rFonts w:cs="Simplified Arabic"/>
                <w:b/>
                <w:bCs/>
                <w:noProof/>
                <w:sz w:val="20"/>
                <w:szCs w:val="20"/>
                <w:rtl/>
                <w:lang w:eastAsia="en-US"/>
              </w:rPr>
              <w:drawing>
                <wp:inline distT="0" distB="0" distL="0" distR="0">
                  <wp:extent cx="2905125" cy="1914525"/>
                  <wp:effectExtent l="19050" t="0" r="0" b="0"/>
                  <wp:docPr id="10"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2A4887" w:rsidRPr="002A4887" w:rsidRDefault="002A4887" w:rsidP="002A4887">
      <w:pPr>
        <w:jc w:val="lowKashida"/>
        <w:rPr>
          <w:rFonts w:ascii="Simplified Arabic" w:hAnsi="Simplified Arabic" w:cs="Simplified Arabic"/>
          <w:b/>
          <w:bCs/>
          <w:color w:val="000000"/>
          <w:sz w:val="20"/>
          <w:szCs w:val="20"/>
          <w:rtl/>
        </w:rPr>
      </w:pPr>
      <w:r w:rsidRPr="002A4887">
        <w:rPr>
          <w:rFonts w:ascii="Simplified Arabic" w:hAnsi="Simplified Arabic" w:cs="Simplified Arabic"/>
          <w:b/>
          <w:bCs/>
          <w:sz w:val="20"/>
          <w:szCs w:val="20"/>
          <w:rtl/>
          <w:lang w:eastAsia="en-US"/>
        </w:rPr>
        <w:t>المصدر:</w:t>
      </w:r>
      <w:r w:rsidRPr="002A4887">
        <w:rPr>
          <w:rFonts w:ascii="Simplified Arabic" w:hAnsi="Simplified Arabic" w:cs="Simplified Arabic"/>
          <w:sz w:val="20"/>
          <w:szCs w:val="20"/>
          <w:lang w:eastAsia="en-US"/>
        </w:rPr>
        <w:t xml:space="preserve"> </w:t>
      </w:r>
      <w:r w:rsidRPr="002A4887">
        <w:rPr>
          <w:rFonts w:ascii="Simplified Arabic" w:hAnsi="Simplified Arabic" w:cs="Simplified Arabic"/>
          <w:b/>
          <w:bCs/>
          <w:sz w:val="20"/>
          <w:szCs w:val="20"/>
          <w:rtl/>
          <w:lang w:eastAsia="en-US"/>
        </w:rPr>
        <w:t xml:space="preserve">الجهاز المركزي للإحصاء الفلسطيني، </w:t>
      </w:r>
      <w:r w:rsidRPr="002A4887">
        <w:rPr>
          <w:rFonts w:ascii="Simplified Arabic" w:hAnsi="Simplified Arabic" w:cs="Simplified Arabic"/>
          <w:b/>
          <w:bCs/>
          <w:sz w:val="20"/>
          <w:szCs w:val="20"/>
          <w:lang w:eastAsia="en-US"/>
        </w:rPr>
        <w:t>2018</w:t>
      </w:r>
      <w:r w:rsidRPr="002A4887">
        <w:rPr>
          <w:rFonts w:ascii="Simplified Arabic" w:hAnsi="Simplified Arabic" w:cs="Simplified Arabic"/>
          <w:b/>
          <w:bCs/>
          <w:sz w:val="20"/>
          <w:szCs w:val="20"/>
          <w:rtl/>
          <w:lang w:eastAsia="en-US"/>
        </w:rPr>
        <w:t>.</w:t>
      </w:r>
      <w:r w:rsidRPr="002A4887">
        <w:rPr>
          <w:rFonts w:ascii="Simplified Arabic" w:hAnsi="Simplified Arabic" w:cs="Simplified Arabic"/>
          <w:sz w:val="20"/>
          <w:szCs w:val="20"/>
          <w:rtl/>
          <w:lang w:eastAsia="en-US"/>
        </w:rPr>
        <w:t xml:space="preserve"> </w:t>
      </w:r>
      <w:r w:rsidRPr="002A4887">
        <w:rPr>
          <w:rFonts w:ascii="Simplified Arabic" w:hAnsi="Simplified Arabic" w:cs="Simplified Arabic" w:hint="cs"/>
          <w:sz w:val="20"/>
          <w:szCs w:val="20"/>
          <w:rtl/>
          <w:lang w:eastAsia="en-US"/>
        </w:rPr>
        <w:t>التعداد العام للسكان والمساكن والمنشآت 2017</w:t>
      </w:r>
      <w:r w:rsidRPr="002A4887">
        <w:rPr>
          <w:rFonts w:ascii="Simplified Arabic" w:hAnsi="Simplified Arabic" w:cs="Simplified Arabic"/>
          <w:sz w:val="20"/>
          <w:szCs w:val="20"/>
          <w:rtl/>
          <w:lang w:eastAsia="en-US"/>
        </w:rPr>
        <w:t xml:space="preserve">.  رام الله </w:t>
      </w:r>
      <w:r w:rsidRPr="002A4887">
        <w:rPr>
          <w:rFonts w:ascii="Simplified Arabic" w:hAnsi="Simplified Arabic" w:cs="Simplified Arabic" w:hint="cs"/>
          <w:sz w:val="20"/>
          <w:szCs w:val="20"/>
          <w:rtl/>
          <w:lang w:eastAsia="en-US"/>
        </w:rPr>
        <w:t xml:space="preserve">- </w:t>
      </w:r>
      <w:r w:rsidRPr="002A4887">
        <w:rPr>
          <w:rFonts w:ascii="Simplified Arabic" w:hAnsi="Simplified Arabic" w:cs="Simplified Arabic"/>
          <w:sz w:val="20"/>
          <w:szCs w:val="20"/>
          <w:rtl/>
          <w:lang w:eastAsia="en-US"/>
        </w:rPr>
        <w:t>فلسطين</w:t>
      </w:r>
      <w:r w:rsidRPr="002A4887">
        <w:rPr>
          <w:rFonts w:ascii="Simplified Arabic" w:hAnsi="Simplified Arabic" w:cs="Simplified Arabic"/>
          <w:b/>
          <w:bCs/>
          <w:color w:val="000000"/>
          <w:sz w:val="20"/>
          <w:szCs w:val="20"/>
          <w:rtl/>
        </w:rPr>
        <w:t xml:space="preserve">    </w:t>
      </w:r>
    </w:p>
    <w:p w:rsidR="002A4887" w:rsidRPr="00C0155D" w:rsidRDefault="002A4887" w:rsidP="002A4887">
      <w:pPr>
        <w:rPr>
          <w:rFonts w:cs="Simplified Arabic"/>
          <w:b/>
          <w:bCs/>
          <w:color w:val="000000" w:themeColor="text1"/>
          <w:sz w:val="10"/>
          <w:szCs w:val="10"/>
          <w:highlight w:val="yellow"/>
          <w:rtl/>
        </w:rPr>
      </w:pPr>
    </w:p>
    <w:p w:rsidR="002A4887" w:rsidRPr="002A4887" w:rsidRDefault="002A4887" w:rsidP="002A4887">
      <w:pPr>
        <w:rPr>
          <w:rFonts w:ascii="Simplified Arabic" w:hAnsi="Simplified Arabic" w:cs="Simplified Arabic"/>
          <w:b/>
          <w:bCs/>
          <w:sz w:val="25"/>
          <w:szCs w:val="25"/>
          <w:rtl/>
        </w:rPr>
      </w:pPr>
      <w:r w:rsidRPr="002A4887">
        <w:rPr>
          <w:rFonts w:ascii="Simplified Arabic" w:hAnsi="Simplified Arabic" w:cs="Simplified Arabic"/>
          <w:b/>
          <w:bCs/>
          <w:sz w:val="25"/>
          <w:szCs w:val="25"/>
          <w:rtl/>
        </w:rPr>
        <w:t>الاعاقة/الصعوبة بين اللاجئين أكثر انتشاراً</w:t>
      </w:r>
    </w:p>
    <w:p w:rsidR="002A4887" w:rsidRPr="002A4887" w:rsidRDefault="002A4887" w:rsidP="002A4887">
      <w:pPr>
        <w:jc w:val="lowKashida"/>
        <w:rPr>
          <w:rFonts w:ascii="Simplified Arabic" w:hAnsi="Simplified Arabic" w:cs="Simplified Arabic"/>
          <w:color w:val="000000" w:themeColor="text1"/>
          <w:rtl/>
        </w:rPr>
      </w:pPr>
      <w:r w:rsidRPr="002A4887">
        <w:rPr>
          <w:rFonts w:ascii="Simplified Arabic" w:hAnsi="Simplified Arabic" w:cs="Simplified Arabic"/>
          <w:color w:val="000000" w:themeColor="text1"/>
          <w:rtl/>
        </w:rPr>
        <w:t>بالاستناد الى بيانات التعداد العام للسكان والمساكن والمنشآت 2017، فإن 6.8% من اللاجئين الفلسطينيين يعانون من اعاقة/ صعوبة مقارنة بـ 5.1% بين غير اللاجئين.  وحول انواع الاعاقات/ الصعوبات بين اللاجئين وغير اللاجئين تبين أن الأفراد الذين يعانون من اعاقة/ صعوبة في النظر ترتفع بين اللاجئين مقارنة بغير اللاجئين إذ بلغت 3.1% و2.3% على التوالي، في حين بلغت نسبة الأفراد الذين يعانون من اعاقة/ صعوبة في الحركة بين اللاجئين 3.5% مقابل 2.5% بين غير اللاجئين.</w:t>
      </w:r>
    </w:p>
    <w:p w:rsidR="002A4887" w:rsidRPr="002A4887" w:rsidRDefault="002A4887" w:rsidP="002A4887">
      <w:pPr>
        <w:pStyle w:val="xl31"/>
        <w:pBdr>
          <w:left w:val="none" w:sz="0" w:space="0" w:color="auto"/>
          <w:right w:val="none" w:sz="0" w:space="0" w:color="auto"/>
        </w:pBdr>
        <w:bidi/>
        <w:spacing w:before="0" w:beforeAutospacing="0" w:after="0" w:afterAutospacing="0"/>
        <w:jc w:val="lowKashida"/>
        <w:rPr>
          <w:rFonts w:hint="default"/>
          <w:color w:val="000000" w:themeColor="text1"/>
          <w:sz w:val="16"/>
          <w:szCs w:val="16"/>
          <w:rtl/>
        </w:rPr>
      </w:pPr>
    </w:p>
    <w:p w:rsidR="002A4887" w:rsidRPr="002A4887" w:rsidRDefault="002A4887" w:rsidP="002A4887">
      <w:pPr>
        <w:jc w:val="both"/>
        <w:rPr>
          <w:rFonts w:ascii="Simplified Arabic" w:hAnsi="Simplified Arabic" w:cs="Simplified Arabic"/>
          <w:b/>
          <w:bCs/>
          <w:sz w:val="25"/>
          <w:szCs w:val="25"/>
          <w:rtl/>
        </w:rPr>
      </w:pPr>
      <w:r w:rsidRPr="002A4887">
        <w:rPr>
          <w:rFonts w:ascii="Simplified Arabic" w:hAnsi="Simplified Arabic" w:cs="Simplified Arabic"/>
          <w:b/>
          <w:bCs/>
          <w:sz w:val="25"/>
          <w:szCs w:val="25"/>
          <w:rtl/>
        </w:rPr>
        <w:t>حوالي 39% من الافراد اللاجئين فقراء في عام 2017</w:t>
      </w:r>
    </w:p>
    <w:p w:rsidR="002A4887" w:rsidRPr="002A4887" w:rsidRDefault="002A4887" w:rsidP="002A4887">
      <w:pPr>
        <w:jc w:val="lowKashida"/>
        <w:rPr>
          <w:rFonts w:ascii="Simplified Arabic" w:hAnsi="Simplified Arabic" w:cs="Simplified Arabic"/>
          <w:color w:val="000000" w:themeColor="text1"/>
          <w:rtl/>
          <w:lang w:eastAsia="en-US"/>
        </w:rPr>
      </w:pPr>
      <w:r w:rsidRPr="002A4887">
        <w:rPr>
          <w:rFonts w:ascii="Simplified Arabic" w:hAnsi="Simplified Arabic" w:cs="Simplified Arabic"/>
          <w:color w:val="000000" w:themeColor="text1"/>
          <w:rtl/>
        </w:rPr>
        <w:t>بلغت نسبة الفقر بين اللاجئين 38.5%  خلال عام 2017 وفقا لأنماط الاستهلاك الشهري، بما معناه ان استهلاك اسرهم الشهري كان دون خط الفقر الذي بلغ للأسرة الفلسطينية المكونة من 5 افراد (2 بالغين و3 اطفال) 2470 شيكل، بينما بلغت هذه النسبة للأفراد غير اللاجيئن 22.3%.  أما الفقراء حسب خط الفقر المدقع فقد بلغت نسبة الافراد اللاجئين الذين عانوا من الفقر المدقع 23.0% بما معناه ان استهلاك اسرهم الشهري كان دون خط الفقر المدقع الذي بلغ للأسرة الفلسطينية المكونة من 5 افراد (2 بالغين و3 اطفال) 1974 شيكل،  وقد كانت نسبة الافراد غير اللاجئين الذين عانوا الفقر المدقع 12.2%ومقارنة مع المعدل العام نجد أن نسب الفقر بين اللاجئين كانت اعلى من المعدل العام، حيث بلغت نسبة الافراد الفقراء في فلسطين 29.2%، وكانت نسبة الافراد الذين عانوا من الفقر المدقع في فلسطين 16.8% خلال عام 2017.</w:t>
      </w:r>
    </w:p>
    <w:p w:rsidR="002A4887" w:rsidRPr="002A4887" w:rsidRDefault="002A4887" w:rsidP="002A4887">
      <w:pPr>
        <w:jc w:val="lowKashida"/>
        <w:rPr>
          <w:sz w:val="16"/>
          <w:szCs w:val="16"/>
          <w:rtl/>
          <w:lang w:eastAsia="en-US"/>
        </w:rPr>
      </w:pPr>
    </w:p>
    <w:p w:rsidR="002A4887" w:rsidRPr="002A4887" w:rsidRDefault="002A4887" w:rsidP="002A4887">
      <w:pPr>
        <w:pStyle w:val="Heading3"/>
        <w:jc w:val="both"/>
        <w:rPr>
          <w:rFonts w:ascii="Simplified Arabic" w:hAnsi="Simplified Arabic"/>
          <w:sz w:val="25"/>
          <w:szCs w:val="25"/>
          <w:rtl/>
          <w:lang w:eastAsia="en-US"/>
        </w:rPr>
      </w:pPr>
      <w:r w:rsidRPr="002A4887">
        <w:rPr>
          <w:rFonts w:ascii="Simplified Arabic" w:hAnsi="Simplified Arabic"/>
          <w:sz w:val="25"/>
          <w:szCs w:val="25"/>
          <w:rtl/>
          <w:lang w:eastAsia="en-US"/>
        </w:rPr>
        <w:t xml:space="preserve">معدلات المشاركة في القوى العاملة منخفضة في فلسطين </w:t>
      </w:r>
      <w:r w:rsidRPr="002A4887">
        <w:rPr>
          <w:rFonts w:ascii="Simplified Arabic" w:hAnsi="Simplified Arabic"/>
          <w:sz w:val="25"/>
          <w:szCs w:val="25"/>
          <w:highlight w:val="yellow"/>
          <w:rtl/>
          <w:lang w:eastAsia="en-US"/>
        </w:rPr>
        <w:t xml:space="preserve"> </w:t>
      </w:r>
    </w:p>
    <w:p w:rsidR="002A4887" w:rsidRPr="002A4887" w:rsidRDefault="002A4887" w:rsidP="002A4887">
      <w:pPr>
        <w:jc w:val="lowKashida"/>
        <w:rPr>
          <w:rFonts w:ascii="Simplified Arabic" w:hAnsi="Simplified Arabic" w:cs="Simplified Arabic"/>
          <w:color w:val="000000" w:themeColor="text1"/>
          <w:rtl/>
        </w:rPr>
      </w:pPr>
      <w:r w:rsidRPr="002A4887">
        <w:rPr>
          <w:rFonts w:ascii="Simplified Arabic" w:hAnsi="Simplified Arabic" w:cs="Simplified Arabic"/>
          <w:color w:val="000000" w:themeColor="text1"/>
          <w:rtl/>
        </w:rPr>
        <w:t xml:space="preserve">أظهرت نتائج مسح القوى العاملة لعام </w:t>
      </w:r>
      <w:r w:rsidRPr="002A4887">
        <w:rPr>
          <w:rFonts w:ascii="Simplified Arabic" w:hAnsi="Simplified Arabic" w:cs="Simplified Arabic"/>
          <w:color w:val="000000" w:themeColor="text1"/>
        </w:rPr>
        <w:t>2017</w:t>
      </w:r>
      <w:r w:rsidRPr="002A4887">
        <w:rPr>
          <w:rFonts w:ascii="Simplified Arabic" w:hAnsi="Simplified Arabic" w:cs="Simplified Arabic"/>
          <w:color w:val="000000" w:themeColor="text1"/>
          <w:rtl/>
        </w:rPr>
        <w:t xml:space="preserve"> بأن نسبة المشاركة في القوى العاملة بلغت 45.3%، بواقع 45.2%  بين اللاجئين 15 سنة فأكثر المقيمين في دولة فلسطين مقابل </w:t>
      </w:r>
      <w:r w:rsidRPr="002A4887">
        <w:rPr>
          <w:rFonts w:ascii="Simplified Arabic" w:hAnsi="Simplified Arabic" w:cs="Simplified Arabic"/>
          <w:color w:val="000000" w:themeColor="text1"/>
        </w:rPr>
        <w:t>45.3</w:t>
      </w:r>
      <w:r w:rsidRPr="002A4887">
        <w:rPr>
          <w:rFonts w:ascii="Simplified Arabic" w:hAnsi="Simplified Arabic" w:cs="Simplified Arabic"/>
          <w:color w:val="000000" w:themeColor="text1"/>
          <w:rtl/>
        </w:rPr>
        <w:t xml:space="preserve">%  لدى غير اللاجئين.  </w:t>
      </w:r>
    </w:p>
    <w:p w:rsidR="002A4887" w:rsidRPr="002A4887" w:rsidRDefault="002A4887" w:rsidP="002A4887">
      <w:pPr>
        <w:pStyle w:val="Heading3"/>
        <w:jc w:val="both"/>
        <w:rPr>
          <w:color w:val="000000" w:themeColor="text1"/>
          <w:sz w:val="16"/>
          <w:szCs w:val="16"/>
          <w:rtl/>
          <w:lang w:eastAsia="en-US"/>
        </w:rPr>
      </w:pPr>
    </w:p>
    <w:p w:rsidR="002A4887" w:rsidRPr="002A4887" w:rsidRDefault="002A4887" w:rsidP="002A4887">
      <w:pPr>
        <w:pStyle w:val="Heading3"/>
        <w:jc w:val="both"/>
        <w:rPr>
          <w:rFonts w:ascii="Simplified Arabic" w:hAnsi="Simplified Arabic"/>
          <w:sz w:val="25"/>
          <w:szCs w:val="25"/>
          <w:rtl/>
          <w:lang w:eastAsia="en-US"/>
        </w:rPr>
      </w:pPr>
      <w:r w:rsidRPr="002A4887">
        <w:rPr>
          <w:rFonts w:ascii="Simplified Arabic" w:hAnsi="Simplified Arabic"/>
          <w:sz w:val="25"/>
          <w:szCs w:val="25"/>
          <w:rtl/>
          <w:lang w:eastAsia="en-US"/>
        </w:rPr>
        <w:t>معدلات البطالة مرتفعة بين اللاجئين</w:t>
      </w:r>
    </w:p>
    <w:p w:rsidR="002A4887" w:rsidRPr="002A4887" w:rsidRDefault="002A4887" w:rsidP="002A4887">
      <w:pPr>
        <w:jc w:val="lowKashida"/>
        <w:rPr>
          <w:rFonts w:ascii="Simplified Arabic" w:hAnsi="Simplified Arabic" w:cs="Simplified Arabic"/>
          <w:color w:val="000000" w:themeColor="text1"/>
          <w:rtl/>
        </w:rPr>
      </w:pPr>
      <w:r w:rsidRPr="002A4887">
        <w:rPr>
          <w:rFonts w:ascii="Simplified Arabic" w:hAnsi="Simplified Arabic" w:cs="Simplified Arabic"/>
          <w:color w:val="000000" w:themeColor="text1"/>
          <w:rtl/>
        </w:rPr>
        <w:t xml:space="preserve">تشير البيانات إلى وجود فرقاً واضحاً في معدلات البطالة بين اللاجئين وغير اللاجئين، إذ وصل معدل البطالة بين اللاجئين الى 34.7% مقابل </w:t>
      </w:r>
      <w:r w:rsidRPr="002A4887">
        <w:rPr>
          <w:rFonts w:ascii="Simplified Arabic" w:hAnsi="Simplified Arabic" w:cs="Simplified Arabic"/>
          <w:color w:val="000000" w:themeColor="text1"/>
        </w:rPr>
        <w:t>22.8</w:t>
      </w:r>
      <w:r w:rsidRPr="002A4887">
        <w:rPr>
          <w:rFonts w:ascii="Simplified Arabic" w:hAnsi="Simplified Arabic" w:cs="Simplified Arabic"/>
          <w:color w:val="000000" w:themeColor="text1"/>
          <w:rtl/>
        </w:rPr>
        <w:t>% بين غير اللاجئين.</w:t>
      </w:r>
    </w:p>
    <w:p w:rsidR="002A4887" w:rsidRDefault="002A4887" w:rsidP="002A4887">
      <w:pPr>
        <w:jc w:val="lowKashida"/>
        <w:rPr>
          <w:rFonts w:cs="Simplified Arabic"/>
          <w:color w:val="000000" w:themeColor="text1"/>
          <w:sz w:val="16"/>
          <w:szCs w:val="16"/>
          <w:rtl/>
        </w:rPr>
      </w:pPr>
    </w:p>
    <w:p w:rsidR="002A4887" w:rsidRDefault="002A4887" w:rsidP="002A4887">
      <w:pPr>
        <w:jc w:val="lowKashida"/>
        <w:rPr>
          <w:rFonts w:cs="Simplified Arabic"/>
          <w:color w:val="000000" w:themeColor="text1"/>
          <w:sz w:val="16"/>
          <w:szCs w:val="16"/>
          <w:rtl/>
        </w:rPr>
      </w:pPr>
    </w:p>
    <w:p w:rsidR="002A4887" w:rsidRDefault="002A4887" w:rsidP="002A4887">
      <w:pPr>
        <w:jc w:val="lowKashida"/>
        <w:rPr>
          <w:rFonts w:cs="Simplified Arabic"/>
          <w:color w:val="000000" w:themeColor="text1"/>
          <w:sz w:val="16"/>
          <w:szCs w:val="16"/>
          <w:rtl/>
        </w:rPr>
      </w:pPr>
    </w:p>
    <w:p w:rsidR="002A4887" w:rsidRDefault="002A4887" w:rsidP="002A4887">
      <w:pPr>
        <w:jc w:val="lowKashida"/>
        <w:rPr>
          <w:rFonts w:cs="Simplified Arabic"/>
          <w:color w:val="000000" w:themeColor="text1"/>
          <w:sz w:val="16"/>
          <w:szCs w:val="16"/>
          <w:rtl/>
        </w:rPr>
      </w:pPr>
    </w:p>
    <w:p w:rsidR="002A4887" w:rsidRDefault="002A4887" w:rsidP="002A4887">
      <w:pPr>
        <w:jc w:val="lowKashida"/>
        <w:rPr>
          <w:rFonts w:cs="Simplified Arabic"/>
          <w:color w:val="000000" w:themeColor="text1"/>
          <w:sz w:val="16"/>
          <w:szCs w:val="16"/>
          <w:rtl/>
        </w:rPr>
      </w:pPr>
    </w:p>
    <w:p w:rsidR="002A4887" w:rsidRDefault="002A4887" w:rsidP="002A4887">
      <w:pPr>
        <w:jc w:val="lowKashida"/>
        <w:rPr>
          <w:rFonts w:cs="Simplified Arabic"/>
          <w:color w:val="000000" w:themeColor="text1"/>
          <w:sz w:val="16"/>
          <w:szCs w:val="16"/>
          <w:rtl/>
        </w:rPr>
      </w:pPr>
    </w:p>
    <w:p w:rsidR="002A4887" w:rsidRDefault="002A4887" w:rsidP="002A4887">
      <w:pPr>
        <w:jc w:val="lowKashida"/>
        <w:rPr>
          <w:rFonts w:cs="Simplified Arabic"/>
          <w:color w:val="000000" w:themeColor="text1"/>
          <w:sz w:val="16"/>
          <w:szCs w:val="16"/>
          <w:rtl/>
        </w:rPr>
      </w:pPr>
    </w:p>
    <w:p w:rsidR="00D90D60" w:rsidRDefault="00D90D60" w:rsidP="002A4887">
      <w:pPr>
        <w:jc w:val="lowKashida"/>
        <w:rPr>
          <w:rFonts w:cs="Simplified Arabic"/>
          <w:color w:val="000000" w:themeColor="text1"/>
          <w:rtl/>
        </w:rPr>
      </w:pPr>
    </w:p>
    <w:p w:rsidR="002A4887" w:rsidRPr="002A4887" w:rsidRDefault="002A4887" w:rsidP="002A4887">
      <w:pPr>
        <w:jc w:val="lowKashida"/>
        <w:rPr>
          <w:rFonts w:cs="Simplified Arabic"/>
          <w:color w:val="000000" w:themeColor="text1"/>
          <w:sz w:val="16"/>
          <w:szCs w:val="16"/>
          <w:rtl/>
        </w:rPr>
      </w:pPr>
    </w:p>
    <w:p w:rsidR="002A4887" w:rsidRPr="002A4887" w:rsidRDefault="002A4887" w:rsidP="002A4887">
      <w:pPr>
        <w:pStyle w:val="Heading3"/>
        <w:jc w:val="both"/>
        <w:rPr>
          <w:rFonts w:ascii="Simplified Arabic" w:hAnsi="Simplified Arabic"/>
          <w:sz w:val="25"/>
          <w:szCs w:val="25"/>
          <w:rtl/>
          <w:lang w:eastAsia="en-US"/>
        </w:rPr>
      </w:pPr>
      <w:r w:rsidRPr="002A4887">
        <w:rPr>
          <w:rFonts w:ascii="Simplified Arabic" w:hAnsi="Simplified Arabic"/>
          <w:sz w:val="25"/>
          <w:szCs w:val="25"/>
          <w:rtl/>
          <w:lang w:eastAsia="en-US"/>
        </w:rPr>
        <w:t xml:space="preserve">ثلث اللاجئين يعملون كمتخصصين وفنيين </w:t>
      </w:r>
    </w:p>
    <w:p w:rsidR="002A4887" w:rsidRPr="002A4887" w:rsidRDefault="002A4887" w:rsidP="002A4887">
      <w:pPr>
        <w:pStyle w:val="BodyTextIndent"/>
        <w:ind w:left="0"/>
        <w:jc w:val="lowKashida"/>
        <w:rPr>
          <w:rFonts w:ascii="Simplified Arabic" w:hAnsi="Simplified Arabic" w:cs="Simplified Arabic"/>
          <w:color w:val="000000" w:themeColor="text1"/>
          <w:rtl/>
        </w:rPr>
      </w:pPr>
      <w:r w:rsidRPr="002A4887">
        <w:rPr>
          <w:rFonts w:ascii="Simplified Arabic" w:hAnsi="Simplified Arabic" w:cs="Simplified Arabic"/>
          <w:color w:val="000000" w:themeColor="text1"/>
          <w:rtl/>
        </w:rPr>
        <w:t xml:space="preserve">خلال عام </w:t>
      </w:r>
      <w:r w:rsidRPr="002A4887">
        <w:rPr>
          <w:rFonts w:ascii="Simplified Arabic" w:hAnsi="Simplified Arabic" w:cs="Simplified Arabic"/>
          <w:color w:val="000000" w:themeColor="text1"/>
        </w:rPr>
        <w:t>2017</w:t>
      </w:r>
      <w:r w:rsidRPr="002A4887">
        <w:rPr>
          <w:rFonts w:ascii="Simplified Arabic" w:hAnsi="Simplified Arabic" w:cs="Simplified Arabic"/>
          <w:color w:val="000000" w:themeColor="text1"/>
          <w:rtl/>
        </w:rPr>
        <w:t xml:space="preserve">، تعتبر مهنة "الفنيون والمتخصصون والمساعدون والكتبة"، المهنة الاكثر استيعاباً للاجئين حيث بلغت نسبة العاملين فيها من بين اللاجئين العاملين </w:t>
      </w:r>
      <w:r w:rsidRPr="002A4887">
        <w:rPr>
          <w:rFonts w:ascii="Simplified Arabic" w:hAnsi="Simplified Arabic" w:cs="Simplified Arabic"/>
          <w:color w:val="000000" w:themeColor="text1"/>
        </w:rPr>
        <w:t>32.8</w:t>
      </w:r>
      <w:r w:rsidRPr="002A4887">
        <w:rPr>
          <w:rFonts w:ascii="Simplified Arabic" w:hAnsi="Simplified Arabic" w:cs="Simplified Arabic"/>
          <w:color w:val="000000" w:themeColor="text1"/>
          <w:rtl/>
        </w:rPr>
        <w:t xml:space="preserve">% مقابل 22.4% بين العاملين  غير اللاجئين.  كما شكلت مهنة المشرعون وموظفو إدارة العليا النسبة الأدنى لكل من اللاجئين وغير اللاجئين على حد سواء، بنسبة </w:t>
      </w:r>
      <w:r w:rsidRPr="002A4887">
        <w:rPr>
          <w:rFonts w:ascii="Simplified Arabic" w:hAnsi="Simplified Arabic" w:cs="Simplified Arabic"/>
          <w:color w:val="000000" w:themeColor="text1"/>
        </w:rPr>
        <w:t>2.9</w:t>
      </w:r>
      <w:r w:rsidRPr="002A4887">
        <w:rPr>
          <w:rFonts w:ascii="Simplified Arabic" w:hAnsi="Simplified Arabic" w:cs="Simplified Arabic"/>
          <w:color w:val="000000" w:themeColor="text1"/>
          <w:rtl/>
        </w:rPr>
        <w:t xml:space="preserve">% بين اللاجئين العاملين مقابل </w:t>
      </w:r>
      <w:r w:rsidRPr="002A4887">
        <w:rPr>
          <w:rFonts w:ascii="Simplified Arabic" w:hAnsi="Simplified Arabic" w:cs="Simplified Arabic"/>
          <w:color w:val="000000" w:themeColor="text1"/>
        </w:rPr>
        <w:t>4.3</w:t>
      </w:r>
      <w:r w:rsidRPr="002A4887">
        <w:rPr>
          <w:rFonts w:ascii="Simplified Arabic" w:hAnsi="Simplified Arabic" w:cs="Simplified Arabic"/>
          <w:color w:val="000000" w:themeColor="text1"/>
          <w:rtl/>
        </w:rPr>
        <w:t>% لغير اللاجئين العاملين.</w:t>
      </w:r>
    </w:p>
    <w:p w:rsidR="002A4887" w:rsidRPr="002A4887" w:rsidRDefault="002A4887" w:rsidP="002A4887">
      <w:pPr>
        <w:pStyle w:val="BodyTextIndent"/>
        <w:ind w:left="0"/>
        <w:jc w:val="lowKashida"/>
        <w:rPr>
          <w:rFonts w:ascii="Simplified Arabic" w:hAnsi="Simplified Arabic" w:cs="Simplified Arabic"/>
          <w:color w:val="000000" w:themeColor="text1"/>
          <w:sz w:val="16"/>
          <w:szCs w:val="16"/>
          <w:rtl/>
        </w:rPr>
      </w:pPr>
    </w:p>
    <w:p w:rsidR="002A4887" w:rsidRPr="002A4887" w:rsidRDefault="002A4887" w:rsidP="002A4887">
      <w:pPr>
        <w:ind w:left="-76"/>
        <w:jc w:val="both"/>
        <w:rPr>
          <w:rFonts w:ascii="Simplified Arabic" w:hAnsi="Simplified Arabic" w:cs="Simplified Arabic"/>
          <w:color w:val="000000" w:themeColor="text1"/>
          <w:rtl/>
        </w:rPr>
      </w:pPr>
      <w:r w:rsidRPr="00D42F20">
        <w:rPr>
          <w:rFonts w:cs="Simplified Arabic" w:hint="cs"/>
          <w:color w:val="000000" w:themeColor="text1"/>
          <w:sz w:val="21"/>
          <w:szCs w:val="21"/>
          <w:rtl/>
        </w:rPr>
        <w:t xml:space="preserve">  </w:t>
      </w:r>
      <w:r w:rsidRPr="002A4887">
        <w:rPr>
          <w:rFonts w:ascii="Simplified Arabic" w:hAnsi="Simplified Arabic" w:cs="Simplified Arabic"/>
          <w:color w:val="000000" w:themeColor="text1"/>
          <w:rtl/>
        </w:rPr>
        <w:t>اشارت النتائج الى أن نسبة العاملين الذين يعملون في الضفة الغربية من بين الافراد المشاركين في القوى العاملة (15 سنة فاكثر) للعام 2017 قد بلغت 57.6% بتفاوت واضح حسب حالة اللجوء، إذ بلغت نسبة العاملين من اللاجئين 40.3% في حين بلغت لغير اللاجئين 67.9%، في المقابل بلغت نسبة العاملين في قطاع غزة للاجئين حوالي 52.3% مقابل 15.8% لغير اللاجئين.  وبلغت نسبة العاملين في إسرائيل والمستعمرات 13.0% وبتفاوت ما بين اللاجئين وغير اللاجئين فبلغت للاجئين 7.4% مقابل 16.3% لغير اللاجئين.</w:t>
      </w:r>
    </w:p>
    <w:p w:rsidR="002A4887" w:rsidRPr="002A4887" w:rsidRDefault="002A4887" w:rsidP="002A4887">
      <w:pPr>
        <w:pStyle w:val="BodyTextIndent"/>
        <w:ind w:left="0"/>
        <w:jc w:val="lowKashida"/>
        <w:rPr>
          <w:rFonts w:cs="Simplified Arabic"/>
          <w:color w:val="000000" w:themeColor="text1"/>
          <w:sz w:val="16"/>
          <w:szCs w:val="16"/>
          <w:rtl/>
        </w:rPr>
      </w:pPr>
    </w:p>
    <w:p w:rsidR="002A4887" w:rsidRPr="002A4887" w:rsidRDefault="002A4887" w:rsidP="002A4887">
      <w:pPr>
        <w:pStyle w:val="Heading3"/>
        <w:jc w:val="both"/>
        <w:rPr>
          <w:rFonts w:ascii="Simplified Arabic" w:hAnsi="Simplified Arabic"/>
          <w:sz w:val="25"/>
          <w:szCs w:val="25"/>
          <w:rtl/>
          <w:lang w:eastAsia="en-US"/>
        </w:rPr>
      </w:pPr>
      <w:r w:rsidRPr="002A4887">
        <w:rPr>
          <w:rFonts w:ascii="Simplified Arabic" w:hAnsi="Simplified Arabic"/>
          <w:sz w:val="25"/>
          <w:szCs w:val="25"/>
          <w:rtl/>
          <w:lang w:eastAsia="en-US"/>
        </w:rPr>
        <w:t xml:space="preserve">ارتفاع نسبة التحصيل العلمي بين اللاجئين </w:t>
      </w:r>
    </w:p>
    <w:p w:rsidR="002A4887" w:rsidRPr="002A4887" w:rsidRDefault="002A4887" w:rsidP="002A4887">
      <w:pPr>
        <w:pStyle w:val="BodyTextIndent"/>
        <w:ind w:left="0"/>
        <w:jc w:val="lowKashida"/>
        <w:rPr>
          <w:rFonts w:ascii="Simplified Arabic" w:hAnsi="Simplified Arabic" w:cs="Simplified Arabic"/>
          <w:color w:val="000000" w:themeColor="text1"/>
          <w:rtl/>
        </w:rPr>
      </w:pPr>
      <w:r w:rsidRPr="002A4887">
        <w:rPr>
          <w:rFonts w:ascii="Simplified Arabic" w:hAnsi="Simplified Arabic" w:cs="Simplified Arabic"/>
          <w:color w:val="000000" w:themeColor="text1"/>
          <w:rtl/>
        </w:rPr>
        <w:t xml:space="preserve">بلغت نسبة الأمية بين اللاجئين الفلسطينيين 15 سنة فأكثر 3.0% في حين بلغت لغير اللاجئين 3.6%،  كما ارتفعت نسبة اللاجئين الفلسطينيين 15 سنة فأكثر الحاصلين على درجة البكالوريوس فأعلى فبلغت 18.1% من مجمل اللاجئين 15 سنة فأكثر في حين بلغت لغير اللاجئين 16.6%. </w:t>
      </w:r>
    </w:p>
    <w:p w:rsidR="002A4887" w:rsidRPr="002A4887" w:rsidRDefault="002A4887" w:rsidP="002A4887">
      <w:pPr>
        <w:rPr>
          <w:sz w:val="16"/>
          <w:szCs w:val="16"/>
          <w:lang w:eastAsia="en-US"/>
        </w:rPr>
      </w:pPr>
    </w:p>
    <w:p w:rsidR="002A4887" w:rsidRPr="00996B7F" w:rsidRDefault="002A4887" w:rsidP="002A4887">
      <w:pPr>
        <w:pStyle w:val="Heading3"/>
        <w:rPr>
          <w:rFonts w:ascii="Simplified Arabic" w:hAnsi="Simplified Arabic"/>
          <w:sz w:val="28"/>
          <w:szCs w:val="28"/>
          <w:rtl/>
          <w:lang w:eastAsia="en-US"/>
        </w:rPr>
      </w:pPr>
      <w:r w:rsidRPr="00996B7F">
        <w:rPr>
          <w:rFonts w:ascii="Simplified Arabic" w:hAnsi="Simplified Arabic"/>
          <w:sz w:val="28"/>
          <w:szCs w:val="28"/>
          <w:rtl/>
          <w:lang w:eastAsia="en-US"/>
        </w:rPr>
        <w:t>أوضاع اللاجئين الفلسطينيين في الشتات</w:t>
      </w:r>
    </w:p>
    <w:p w:rsidR="002A4887" w:rsidRPr="008C6AF4" w:rsidRDefault="002A4887" w:rsidP="002A4887">
      <w:pPr>
        <w:rPr>
          <w:sz w:val="8"/>
          <w:szCs w:val="8"/>
          <w:rtl/>
          <w:lang w:eastAsia="en-US"/>
        </w:rPr>
      </w:pPr>
    </w:p>
    <w:p w:rsidR="002A4887" w:rsidRPr="002A4887" w:rsidRDefault="002A4887" w:rsidP="002A4887">
      <w:pPr>
        <w:ind w:left="-2"/>
        <w:jc w:val="lowKashida"/>
        <w:rPr>
          <w:rFonts w:ascii="Simplified Arabic" w:hAnsi="Simplified Arabic" w:cs="Simplified Arabic"/>
          <w:b/>
          <w:bCs/>
          <w:sz w:val="16"/>
          <w:szCs w:val="16"/>
          <w:rtl/>
          <w:lang w:eastAsia="en-US"/>
        </w:rPr>
      </w:pPr>
    </w:p>
    <w:p w:rsidR="002A4887" w:rsidRPr="002A4887" w:rsidRDefault="002A4887" w:rsidP="002A4887">
      <w:pPr>
        <w:ind w:left="-2"/>
        <w:jc w:val="lowKashida"/>
        <w:rPr>
          <w:rFonts w:ascii="Simplified Arabic" w:hAnsi="Simplified Arabic" w:cs="Simplified Arabic"/>
          <w:b/>
          <w:bCs/>
          <w:sz w:val="25"/>
          <w:szCs w:val="25"/>
          <w:rtl/>
          <w:lang w:eastAsia="en-US"/>
        </w:rPr>
      </w:pPr>
      <w:r w:rsidRPr="002A4887">
        <w:rPr>
          <w:rFonts w:ascii="Simplified Arabic" w:hAnsi="Simplified Arabic" w:cs="Simplified Arabic"/>
          <w:b/>
          <w:bCs/>
          <w:sz w:val="25"/>
          <w:szCs w:val="25"/>
          <w:rtl/>
          <w:lang w:eastAsia="en-US"/>
        </w:rPr>
        <w:t>الفلسطينيون في الأردن</w:t>
      </w:r>
    </w:p>
    <w:p w:rsidR="002A4887" w:rsidRPr="002A4887" w:rsidRDefault="002A4887" w:rsidP="002A4887">
      <w:pPr>
        <w:jc w:val="lowKashida"/>
        <w:rPr>
          <w:rFonts w:ascii="Simplified Arabic" w:hAnsi="Simplified Arabic" w:cs="Simplified Arabic"/>
          <w:rtl/>
        </w:rPr>
      </w:pPr>
      <w:r w:rsidRPr="002A4887">
        <w:rPr>
          <w:rFonts w:ascii="Simplified Arabic" w:hAnsi="Simplified Arabic" w:cs="Simplified Arabic"/>
          <w:rtl/>
        </w:rPr>
        <w:t>في دراسة أعدت من مؤسسة (</w:t>
      </w:r>
      <w:r w:rsidRPr="002A4887">
        <w:rPr>
          <w:rFonts w:ascii="Simplified Arabic" w:hAnsi="Simplified Arabic" w:cs="Simplified Arabic"/>
        </w:rPr>
        <w:t>FAFO</w:t>
      </w:r>
      <w:r w:rsidRPr="002A4887">
        <w:rPr>
          <w:rFonts w:ascii="Simplified Arabic" w:hAnsi="Simplified Arabic" w:cs="Simplified Arabic"/>
          <w:rtl/>
        </w:rPr>
        <w:t>) حول الأوضاع المعيشية في المخيمات الفلسطينية في الاردن لعام 2011 أظهرت الدراسة أن 39.9% من سكان المخيمات دون سن 15 سنة من العمر، في حين بلغت نسبة الأفراد 65 سنة فأكثر 4.3%، كما بلغ متوسط حجم الأسرة في المخيمات 5.1 فرداً، وبلغت نسبة الامية بين الافراد 15 سنة فاكثر 8.6%.</w:t>
      </w:r>
    </w:p>
    <w:p w:rsidR="002A4887" w:rsidRPr="002A4887" w:rsidRDefault="002A4887" w:rsidP="002A4887">
      <w:pPr>
        <w:jc w:val="lowKashida"/>
        <w:rPr>
          <w:rFonts w:cs="Simplified Arabic"/>
          <w:sz w:val="16"/>
          <w:szCs w:val="16"/>
          <w:rtl/>
        </w:rPr>
      </w:pPr>
    </w:p>
    <w:p w:rsidR="002A4887" w:rsidRPr="002A4887" w:rsidRDefault="002A4887" w:rsidP="002A4887">
      <w:pPr>
        <w:ind w:left="-2"/>
        <w:jc w:val="lowKashida"/>
        <w:rPr>
          <w:rFonts w:ascii="Simplified Arabic" w:hAnsi="Simplified Arabic" w:cs="Simplified Arabic"/>
          <w:b/>
          <w:bCs/>
          <w:sz w:val="25"/>
          <w:szCs w:val="25"/>
          <w:rtl/>
          <w:lang w:eastAsia="en-US"/>
        </w:rPr>
      </w:pPr>
      <w:r w:rsidRPr="002A4887">
        <w:rPr>
          <w:rFonts w:ascii="Simplified Arabic" w:hAnsi="Simplified Arabic" w:cs="Simplified Arabic"/>
          <w:b/>
          <w:bCs/>
          <w:sz w:val="25"/>
          <w:szCs w:val="25"/>
          <w:rtl/>
          <w:lang w:eastAsia="en-US"/>
        </w:rPr>
        <w:t>الفلسطينيون في لبنان</w:t>
      </w:r>
    </w:p>
    <w:p w:rsidR="002A4887" w:rsidRPr="002A4887" w:rsidRDefault="002A4887" w:rsidP="002A4887">
      <w:pPr>
        <w:autoSpaceDE w:val="0"/>
        <w:autoSpaceDN w:val="0"/>
        <w:adjustRightInd w:val="0"/>
        <w:jc w:val="both"/>
        <w:textAlignment w:val="center"/>
        <w:rPr>
          <w:rFonts w:ascii="Simplified Arabic" w:hAnsi="Simplified Arabic" w:cs="Simplified Arabic"/>
          <w:rtl/>
        </w:rPr>
      </w:pPr>
      <w:r w:rsidRPr="002A4887">
        <w:rPr>
          <w:rFonts w:ascii="Simplified Arabic" w:hAnsi="Simplified Arabic" w:cs="Simplified Arabic"/>
          <w:rtl/>
        </w:rPr>
        <w:t xml:space="preserve">أظهرت نتائج التعداد العام للاجئين الفلسطينيين في المخيمات والتجمعات الفلسطينية في لبنان لعام 2017، أن اللاجئين الفلسطينيين في لبنان يتمركزون في منطقة صيدا بواقع 35.8% ثم منطقة الشمال بواقع 25.1% بينما بلغت نسبتهم في منطقة صور 14.7% ثم في بيروت بواقع 13.4%، كما بلغت هذه النسبة في منطقة الشوف 7.1% ثم منطقة البقاع بواقع 4%. وأشارت النتائج الى أن حوالي 4.9% من اللاجئين الفلسطينيين يملكون جنسية غير الجنسية الفلسطينية. </w:t>
      </w:r>
    </w:p>
    <w:p w:rsidR="002A4887" w:rsidRPr="002A4887" w:rsidRDefault="002A4887" w:rsidP="002A4887">
      <w:pPr>
        <w:autoSpaceDE w:val="0"/>
        <w:autoSpaceDN w:val="0"/>
        <w:adjustRightInd w:val="0"/>
        <w:jc w:val="both"/>
        <w:textAlignment w:val="center"/>
        <w:rPr>
          <w:rFonts w:ascii="Simplified Arabic" w:hAnsi="Simplified Arabic" w:cs="Simplified Arabic"/>
          <w:sz w:val="16"/>
          <w:szCs w:val="16"/>
          <w:rtl/>
        </w:rPr>
      </w:pPr>
    </w:p>
    <w:p w:rsidR="002A4887" w:rsidRPr="002A4887" w:rsidRDefault="002A4887" w:rsidP="002A4887">
      <w:pPr>
        <w:autoSpaceDE w:val="0"/>
        <w:autoSpaceDN w:val="0"/>
        <w:adjustRightInd w:val="0"/>
        <w:jc w:val="both"/>
        <w:textAlignment w:val="center"/>
        <w:rPr>
          <w:rFonts w:ascii="Simplified Arabic" w:hAnsi="Simplified Arabic" w:cs="Simplified Arabic"/>
          <w:rtl/>
        </w:rPr>
      </w:pPr>
      <w:r w:rsidRPr="002A4887">
        <w:rPr>
          <w:rFonts w:ascii="Simplified Arabic" w:hAnsi="Simplified Arabic" w:cs="Simplified Arabic"/>
          <w:rtl/>
        </w:rPr>
        <w:t xml:space="preserve">كما بلغ متوسط حجم الأسرة 4 أفراد، وبلغت نسبة الاسر التي ترأسها انثى 17%، في حين بلغ معدل الخصوبة الكلي للمراة الفلسطينية 2.6 مولودا. </w:t>
      </w:r>
    </w:p>
    <w:p w:rsidR="002A4887" w:rsidRPr="002A4887" w:rsidRDefault="002A4887" w:rsidP="002A4887">
      <w:pPr>
        <w:autoSpaceDE w:val="0"/>
        <w:autoSpaceDN w:val="0"/>
        <w:adjustRightInd w:val="0"/>
        <w:jc w:val="both"/>
        <w:textAlignment w:val="center"/>
        <w:rPr>
          <w:rFonts w:ascii="Simplified Arabic" w:hAnsi="Simplified Arabic" w:cs="Simplified Arabic"/>
          <w:sz w:val="16"/>
          <w:szCs w:val="16"/>
          <w:rtl/>
        </w:rPr>
      </w:pPr>
    </w:p>
    <w:p w:rsidR="002A4887" w:rsidRPr="002A4887" w:rsidRDefault="002A4887" w:rsidP="002A4887">
      <w:pPr>
        <w:autoSpaceDE w:val="0"/>
        <w:autoSpaceDN w:val="0"/>
        <w:adjustRightInd w:val="0"/>
        <w:jc w:val="both"/>
        <w:textAlignment w:val="center"/>
        <w:rPr>
          <w:rFonts w:ascii="Simplified Arabic" w:hAnsi="Simplified Arabic" w:cs="Simplified Arabic"/>
          <w:rtl/>
        </w:rPr>
      </w:pPr>
      <w:r w:rsidRPr="002A4887">
        <w:rPr>
          <w:rFonts w:ascii="Simplified Arabic" w:hAnsi="Simplified Arabic" w:cs="Simplified Arabic"/>
          <w:rtl/>
        </w:rPr>
        <w:t>أشارت النتائج إلى أن حوالي 7.2% من اللاجئين الفلسطينيين   (10 سنوات فأكثر) في لبنان أميون (لا يستطيعون القراءة والكتابة). وبلغت نسبة الالتحاق بالتعليم للأفراد (3-13 سنة) 93.6%، بينما بلغت نسبة الحاصلين على شهادة جامعية فأعلى 10.5%.</w:t>
      </w:r>
    </w:p>
    <w:p w:rsidR="002A4887" w:rsidRPr="002A4887" w:rsidRDefault="002A4887" w:rsidP="002A4887">
      <w:pPr>
        <w:autoSpaceDE w:val="0"/>
        <w:autoSpaceDN w:val="0"/>
        <w:adjustRightInd w:val="0"/>
        <w:jc w:val="both"/>
        <w:textAlignment w:val="center"/>
        <w:rPr>
          <w:rFonts w:ascii="Simplified Arabic" w:hAnsi="Simplified Arabic" w:cs="Simplified Arabic"/>
          <w:sz w:val="16"/>
          <w:szCs w:val="16"/>
        </w:rPr>
      </w:pPr>
    </w:p>
    <w:p w:rsidR="006C4E7B" w:rsidRPr="00D90D60" w:rsidRDefault="002A4887" w:rsidP="00D90D60">
      <w:pPr>
        <w:autoSpaceDE w:val="0"/>
        <w:autoSpaceDN w:val="0"/>
        <w:adjustRightInd w:val="0"/>
        <w:jc w:val="both"/>
        <w:textAlignment w:val="center"/>
        <w:rPr>
          <w:rFonts w:ascii="Simplified Arabic" w:hAnsi="Simplified Arabic" w:cs="Simplified Arabic"/>
        </w:rPr>
      </w:pPr>
      <w:r w:rsidRPr="002A4887">
        <w:rPr>
          <w:rFonts w:ascii="Simplified Arabic" w:hAnsi="Simplified Arabic" w:cs="Simplified Arabic"/>
          <w:rtl/>
        </w:rPr>
        <w:t>اظهرت النتائج أن معدل البطالة</w:t>
      </w:r>
      <w:r w:rsidRPr="002A4887">
        <w:rPr>
          <w:rFonts w:ascii="Simplified Arabic" w:hAnsi="Simplified Arabic" w:cs="Simplified Arabic"/>
          <w:color w:val="FF0000"/>
          <w:rtl/>
        </w:rPr>
        <w:t xml:space="preserve"> </w:t>
      </w:r>
      <w:r w:rsidRPr="002A4887">
        <w:rPr>
          <w:rFonts w:ascii="Simplified Arabic" w:hAnsi="Simplified Arabic" w:cs="Simplified Arabic"/>
          <w:rtl/>
        </w:rPr>
        <w:t>بين اللاجئين الفلسطينين (15 سنة فأكثر) في لبنان قد بلغ 18.4% من المشاركين في القوى العاملة.  ويرتفع معدل البطالة بين فئة الشباب 15-19 سنة لتصل الى 44%، في حين تبلغ  نسبة البطالة 29% للأفراد من 20-29 سنة.</w:t>
      </w:r>
    </w:p>
    <w:sectPr w:rsidR="006C4E7B" w:rsidRPr="00D90D60" w:rsidSect="002A4887">
      <w:footerReference w:type="even" r:id="rId10"/>
      <w:footerReference w:type="default" r:id="rId11"/>
      <w:headerReference w:type="first" r:id="rId12"/>
      <w:pgSz w:w="11906" w:h="16838" w:code="9"/>
      <w:pgMar w:top="720" w:right="720" w:bottom="720" w:left="720" w:header="680" w:footer="680"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0E2" w:rsidRDefault="001200E2" w:rsidP="002A4887">
      <w:r>
        <w:separator/>
      </w:r>
    </w:p>
  </w:endnote>
  <w:endnote w:type="continuationSeparator" w:id="0">
    <w:p w:rsidR="001200E2" w:rsidRDefault="001200E2" w:rsidP="002A48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DD" w:rsidRDefault="00004799">
    <w:pPr>
      <w:pStyle w:val="Footer"/>
      <w:framePr w:wrap="around" w:vAnchor="text" w:hAnchor="margin" w:xAlign="center" w:y="1"/>
      <w:rPr>
        <w:rStyle w:val="PageNumber"/>
        <w:rtl/>
        <w:lang w:eastAsia="en-US"/>
      </w:rPr>
    </w:pPr>
    <w:r>
      <w:rPr>
        <w:rStyle w:val="PageNumber"/>
        <w:rtl/>
      </w:rPr>
      <w:fldChar w:fldCharType="begin"/>
    </w:r>
    <w:r w:rsidR="008C1DB2">
      <w:rPr>
        <w:rStyle w:val="PageNumber"/>
        <w:lang w:eastAsia="en-US"/>
      </w:rPr>
      <w:instrText xml:space="preserve">PAGE  </w:instrText>
    </w:r>
    <w:r>
      <w:rPr>
        <w:rStyle w:val="PageNumber"/>
        <w:rtl/>
      </w:rPr>
      <w:fldChar w:fldCharType="separate"/>
    </w:r>
    <w:r w:rsidR="008C1DB2">
      <w:rPr>
        <w:rStyle w:val="PageNumber"/>
        <w:noProof/>
        <w:rtl/>
      </w:rPr>
      <w:t>2</w:t>
    </w:r>
    <w:r>
      <w:rPr>
        <w:rStyle w:val="PageNumber"/>
        <w:rtl/>
      </w:rPr>
      <w:fldChar w:fldCharType="end"/>
    </w:r>
  </w:p>
  <w:p w:rsidR="003746DD" w:rsidRDefault="001200E2">
    <w:pPr>
      <w:pStyle w:val="Footer"/>
      <w:rPr>
        <w:rtl/>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DD" w:rsidRDefault="00004799">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8C1DB2">
      <w:rPr>
        <w:rStyle w:val="PageNumber"/>
        <w:sz w:val="20"/>
        <w:szCs w:val="20"/>
        <w:lang w:eastAsia="en-US"/>
      </w:rPr>
      <w:instrText xml:space="preserve">PAGE  </w:instrText>
    </w:r>
    <w:r>
      <w:rPr>
        <w:rStyle w:val="PageNumber"/>
        <w:sz w:val="20"/>
        <w:szCs w:val="20"/>
        <w:rtl/>
      </w:rPr>
      <w:fldChar w:fldCharType="separate"/>
    </w:r>
    <w:r w:rsidR="00820694">
      <w:rPr>
        <w:rStyle w:val="PageNumber"/>
        <w:noProof/>
        <w:sz w:val="20"/>
        <w:szCs w:val="20"/>
        <w:rtl/>
      </w:rPr>
      <w:t>2</w:t>
    </w:r>
    <w:r>
      <w:rPr>
        <w:rStyle w:val="PageNumber"/>
        <w:sz w:val="20"/>
        <w:szCs w:val="20"/>
        <w:rtl/>
      </w:rPr>
      <w:fldChar w:fldCharType="end"/>
    </w:r>
  </w:p>
  <w:p w:rsidR="003746DD" w:rsidRDefault="001200E2">
    <w:pPr>
      <w:pStyle w:val="Footer"/>
      <w:rPr>
        <w:rtl/>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0E2" w:rsidRDefault="001200E2" w:rsidP="002A4887">
      <w:r>
        <w:separator/>
      </w:r>
    </w:p>
  </w:footnote>
  <w:footnote w:type="continuationSeparator" w:id="0">
    <w:p w:rsidR="001200E2" w:rsidRDefault="001200E2" w:rsidP="002A4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bottom w:val="single" w:sz="4" w:space="0" w:color="auto"/>
      </w:tblBorders>
      <w:tblLook w:val="04A0"/>
    </w:tblPr>
    <w:tblGrid>
      <w:gridCol w:w="3473"/>
      <w:gridCol w:w="3474"/>
      <w:gridCol w:w="3474"/>
    </w:tblGrid>
    <w:tr w:rsidR="003746DD" w:rsidTr="00B10EE0">
      <w:tc>
        <w:tcPr>
          <w:tcW w:w="3473" w:type="dxa"/>
          <w:vAlign w:val="center"/>
        </w:tcPr>
        <w:p w:rsidR="003746DD" w:rsidRDefault="008C1DB2" w:rsidP="00B10EE0">
          <w:pPr>
            <w:pStyle w:val="Header"/>
            <w:ind w:left="-1"/>
            <w:jc w:val="center"/>
            <w:rPr>
              <w:rFonts w:cs="Simplified Arabic"/>
              <w:b/>
              <w:bCs/>
              <w:sz w:val="28"/>
              <w:szCs w:val="28"/>
              <w:rtl/>
            </w:rPr>
          </w:pPr>
          <w:r>
            <w:rPr>
              <w:rFonts w:cs="Simplified Arabic" w:hint="cs"/>
              <w:b/>
              <w:bCs/>
              <w:sz w:val="28"/>
              <w:szCs w:val="28"/>
              <w:rtl/>
            </w:rPr>
            <w:t>فلسطين</w:t>
          </w:r>
        </w:p>
        <w:p w:rsidR="003746DD" w:rsidRDefault="008C1DB2"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3746DD" w:rsidRDefault="008C1DB2" w:rsidP="00B10EE0">
          <w:pPr>
            <w:pStyle w:val="Header"/>
            <w:rPr>
              <w:rtl/>
            </w:rPr>
          </w:pPr>
          <w:r>
            <w:rPr>
              <w:noProof/>
              <w:snapToGrid/>
              <w:rtl/>
            </w:rPr>
            <w:drawing>
              <wp:anchor distT="0" distB="0" distL="114300" distR="114300" simplePos="0" relativeHeight="251659264"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3746DD" w:rsidRDefault="008C1DB2"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3746DD" w:rsidRPr="00237AA1" w:rsidRDefault="001200E2" w:rsidP="00237AA1">
    <w:pPr>
      <w:pStyle w:val="Header"/>
      <w:rPr>
        <w:rt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A4887"/>
    <w:rsid w:val="00004799"/>
    <w:rsid w:val="00006988"/>
    <w:rsid w:val="001200E2"/>
    <w:rsid w:val="002A4887"/>
    <w:rsid w:val="004C7DB1"/>
    <w:rsid w:val="006C4E7B"/>
    <w:rsid w:val="00820694"/>
    <w:rsid w:val="00880269"/>
    <w:rsid w:val="008C1DB2"/>
    <w:rsid w:val="00996B7F"/>
    <w:rsid w:val="009B67AD"/>
    <w:rsid w:val="00A56A99"/>
    <w:rsid w:val="00C77053"/>
    <w:rsid w:val="00D90D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887"/>
    <w:pPr>
      <w:bidi/>
      <w:spacing w:after="0" w:line="240" w:lineRule="auto"/>
    </w:pPr>
    <w:rPr>
      <w:rFonts w:ascii="Times New Roman" w:eastAsia="Times New Roman" w:hAnsi="Times New Roman" w:cs="Times New Roman"/>
      <w:sz w:val="24"/>
      <w:szCs w:val="24"/>
      <w:lang w:eastAsia="ar-SA"/>
    </w:rPr>
  </w:style>
  <w:style w:type="paragraph" w:styleId="Heading3">
    <w:name w:val="heading 3"/>
    <w:basedOn w:val="Normal"/>
    <w:next w:val="Normal"/>
    <w:link w:val="Heading3Char"/>
    <w:qFormat/>
    <w:rsid w:val="002A4887"/>
    <w:pPr>
      <w:keepNext/>
      <w:jc w:val="center"/>
      <w:outlineLvl w:val="2"/>
    </w:pPr>
    <w:rPr>
      <w:rFonts w:cs="Simplified Arabic"/>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A4887"/>
    <w:rPr>
      <w:rFonts w:ascii="Times New Roman" w:eastAsia="Times New Roman" w:hAnsi="Times New Roman" w:cs="Simplified Arabic"/>
      <w:b/>
      <w:bCs/>
      <w:lang w:eastAsia="ar-SA"/>
    </w:rPr>
  </w:style>
  <w:style w:type="paragraph" w:styleId="BodyTextIndent">
    <w:name w:val="Body Text Indent"/>
    <w:basedOn w:val="Normal"/>
    <w:link w:val="BodyTextIndentChar"/>
    <w:semiHidden/>
    <w:rsid w:val="002A4887"/>
    <w:pPr>
      <w:ind w:left="2040"/>
    </w:pPr>
  </w:style>
  <w:style w:type="character" w:customStyle="1" w:styleId="BodyTextIndentChar">
    <w:name w:val="Body Text Indent Char"/>
    <w:basedOn w:val="DefaultParagraphFont"/>
    <w:link w:val="BodyTextIndent"/>
    <w:semiHidden/>
    <w:rsid w:val="002A4887"/>
    <w:rPr>
      <w:rFonts w:ascii="Times New Roman" w:eastAsia="Times New Roman" w:hAnsi="Times New Roman" w:cs="Times New Roman"/>
      <w:sz w:val="24"/>
      <w:szCs w:val="24"/>
      <w:lang w:eastAsia="ar-SA"/>
    </w:rPr>
  </w:style>
  <w:style w:type="paragraph" w:styleId="Header">
    <w:name w:val="header"/>
    <w:basedOn w:val="Normal"/>
    <w:link w:val="HeaderChar"/>
    <w:rsid w:val="002A4887"/>
    <w:pPr>
      <w:tabs>
        <w:tab w:val="center" w:pos="4320"/>
        <w:tab w:val="right" w:pos="8640"/>
      </w:tabs>
    </w:pPr>
    <w:rPr>
      <w:rFonts w:cs="Traditional Arabic"/>
      <w:snapToGrid w:val="0"/>
      <w:sz w:val="20"/>
      <w:szCs w:val="20"/>
      <w:lang w:eastAsia="en-US"/>
    </w:rPr>
  </w:style>
  <w:style w:type="character" w:customStyle="1" w:styleId="HeaderChar">
    <w:name w:val="Header Char"/>
    <w:basedOn w:val="DefaultParagraphFont"/>
    <w:link w:val="Header"/>
    <w:rsid w:val="002A4887"/>
    <w:rPr>
      <w:rFonts w:ascii="Times New Roman" w:eastAsia="Times New Roman" w:hAnsi="Times New Roman" w:cs="Traditional Arabic"/>
      <w:snapToGrid w:val="0"/>
      <w:sz w:val="20"/>
      <w:szCs w:val="20"/>
    </w:rPr>
  </w:style>
  <w:style w:type="paragraph" w:styleId="Footer">
    <w:name w:val="footer"/>
    <w:basedOn w:val="Normal"/>
    <w:link w:val="FooterChar"/>
    <w:semiHidden/>
    <w:rsid w:val="002A4887"/>
    <w:pPr>
      <w:tabs>
        <w:tab w:val="center" w:pos="4153"/>
        <w:tab w:val="right" w:pos="8306"/>
      </w:tabs>
    </w:pPr>
  </w:style>
  <w:style w:type="character" w:customStyle="1" w:styleId="FooterChar">
    <w:name w:val="Footer Char"/>
    <w:basedOn w:val="DefaultParagraphFont"/>
    <w:link w:val="Footer"/>
    <w:semiHidden/>
    <w:rsid w:val="002A4887"/>
    <w:rPr>
      <w:rFonts w:ascii="Times New Roman" w:eastAsia="Times New Roman" w:hAnsi="Times New Roman" w:cs="Times New Roman"/>
      <w:sz w:val="24"/>
      <w:szCs w:val="24"/>
      <w:lang w:eastAsia="ar-SA"/>
    </w:rPr>
  </w:style>
  <w:style w:type="character" w:styleId="PageNumber">
    <w:name w:val="page number"/>
    <w:basedOn w:val="DefaultParagraphFont"/>
    <w:semiHidden/>
    <w:rsid w:val="002A4887"/>
  </w:style>
  <w:style w:type="paragraph" w:customStyle="1" w:styleId="xl31">
    <w:name w:val="xl31"/>
    <w:basedOn w:val="Normal"/>
    <w:rsid w:val="002A4887"/>
    <w:pPr>
      <w:pBdr>
        <w:left w:val="single" w:sz="4" w:space="0" w:color="auto"/>
        <w:right w:val="single" w:sz="4" w:space="0" w:color="auto"/>
      </w:pBdr>
      <w:bidi w:val="0"/>
      <w:spacing w:before="100" w:beforeAutospacing="1" w:after="100" w:afterAutospacing="1"/>
    </w:pPr>
    <w:rPr>
      <w:rFonts w:cs="Simplified Arabic" w:hint="cs"/>
      <w:b/>
      <w:bCs/>
    </w:rPr>
  </w:style>
  <w:style w:type="table" w:styleId="TableGrid">
    <w:name w:val="Table Grid"/>
    <w:basedOn w:val="TableNormal"/>
    <w:uiPriority w:val="59"/>
    <w:rsid w:val="002A48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4887"/>
    <w:rPr>
      <w:rFonts w:ascii="Tahoma" w:hAnsi="Tahoma" w:cs="Tahoma"/>
      <w:sz w:val="16"/>
      <w:szCs w:val="16"/>
    </w:rPr>
  </w:style>
  <w:style w:type="character" w:customStyle="1" w:styleId="BalloonTextChar">
    <w:name w:val="Balloon Text Char"/>
    <w:basedOn w:val="DefaultParagraphFont"/>
    <w:link w:val="BalloonText"/>
    <w:uiPriority w:val="99"/>
    <w:semiHidden/>
    <w:rsid w:val="002A4887"/>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728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plotArea>
      <c:layout>
        <c:manualLayout>
          <c:layoutTarget val="inner"/>
          <c:xMode val="edge"/>
          <c:yMode val="edge"/>
          <c:x val="3.9568345323741011E-2"/>
          <c:y val="5.9828849518810165E-2"/>
          <c:w val="0.8489208633093791"/>
          <c:h val="0.65995133420824936"/>
        </c:manualLayout>
      </c:layout>
      <c:barChart>
        <c:barDir val="col"/>
        <c:grouping val="clustered"/>
        <c:ser>
          <c:idx val="0"/>
          <c:order val="0"/>
          <c:tx>
            <c:strRef>
              <c:f>Sheet1!$A$2</c:f>
              <c:strCache>
                <c:ptCount val="1"/>
              </c:strCache>
            </c:strRef>
          </c:tx>
          <c:dPt>
            <c:idx val="0"/>
            <c:spPr>
              <a:solidFill>
                <a:schemeClr val="accent2"/>
              </a:solidFill>
            </c:spPr>
          </c:dPt>
          <c:dPt>
            <c:idx val="1"/>
            <c:spPr>
              <a:solidFill>
                <a:schemeClr val="tx2">
                  <a:lumMod val="40000"/>
                  <a:lumOff val="60000"/>
                </a:schemeClr>
              </a:solidFill>
            </c:spPr>
          </c:dPt>
          <c:dPt>
            <c:idx val="2"/>
            <c:spPr>
              <a:solidFill>
                <a:schemeClr val="accent3">
                  <a:lumMod val="60000"/>
                  <a:lumOff val="40000"/>
                </a:schemeClr>
              </a:solidFill>
            </c:spPr>
          </c:dPt>
          <c:dPt>
            <c:idx val="4"/>
            <c:spPr>
              <a:solidFill>
                <a:schemeClr val="accent5">
                  <a:lumMod val="50000"/>
                </a:schemeClr>
              </a:solidFill>
            </c:spPr>
          </c:dPt>
          <c:dLbls>
            <c:dLbl>
              <c:idx val="2"/>
              <c:tx>
                <c:rich>
                  <a:bodyPr/>
                  <a:lstStyle/>
                  <a:p>
                    <a:r>
                      <a:rPr lang="ar-SA"/>
                      <a:t>9</a:t>
                    </a:r>
                  </a:p>
                </c:rich>
              </c:tx>
            </c:dLbl>
            <c:showVal val="1"/>
          </c:dLbls>
          <c:cat>
            <c:strRef>
              <c:f>Sheet1!$B$1:$F$1</c:f>
              <c:strCache>
                <c:ptCount val="5"/>
                <c:pt idx="0">
                  <c:v>لبنان</c:v>
                </c:pt>
                <c:pt idx="1">
                  <c:v>الأردن</c:v>
                </c:pt>
                <c:pt idx="2">
                  <c:v>سوريا</c:v>
                </c:pt>
                <c:pt idx="3">
                  <c:v>الضفة الغربية</c:v>
                </c:pt>
                <c:pt idx="4">
                  <c:v>قطاع غزة</c:v>
                </c:pt>
              </c:strCache>
            </c:strRef>
          </c:cat>
          <c:val>
            <c:numRef>
              <c:f>Sheet1!$B$2:$F$2</c:f>
              <c:numCache>
                <c:formatCode>General</c:formatCode>
                <c:ptCount val="5"/>
                <c:pt idx="0">
                  <c:v>12</c:v>
                </c:pt>
                <c:pt idx="1">
                  <c:v>10</c:v>
                </c:pt>
                <c:pt idx="2">
                  <c:v>9</c:v>
                </c:pt>
                <c:pt idx="3">
                  <c:v>19</c:v>
                </c:pt>
                <c:pt idx="4">
                  <c:v>8</c:v>
                </c:pt>
              </c:numCache>
            </c:numRef>
          </c:val>
        </c:ser>
        <c:dLbls>
          <c:showVal val="1"/>
        </c:dLbls>
        <c:axId val="103941632"/>
        <c:axId val="116905856"/>
      </c:barChart>
      <c:catAx>
        <c:axId val="103941632"/>
        <c:scaling>
          <c:orientation val="minMax"/>
        </c:scaling>
        <c:axPos val="b"/>
        <c:numFmt formatCode="General" sourceLinked="1"/>
        <c:tickLblPos val="nextTo"/>
        <c:txPr>
          <a:bodyPr rot="0" vert="horz"/>
          <a:lstStyle/>
          <a:p>
            <a:pPr>
              <a:defRPr sz="800">
                <a:latin typeface="Arial" pitchFamily="34" charset="0"/>
                <a:cs typeface="Arial" pitchFamily="34" charset="0"/>
              </a:defRPr>
            </a:pPr>
            <a:endParaRPr lang="ar-SA"/>
          </a:p>
        </c:txPr>
        <c:crossAx val="116905856"/>
        <c:crosses val="autoZero"/>
        <c:auto val="1"/>
        <c:lblAlgn val="ctr"/>
        <c:lblOffset val="100"/>
        <c:tickLblSkip val="1"/>
        <c:tickMarkSkip val="1"/>
      </c:catAx>
      <c:valAx>
        <c:axId val="116905856"/>
        <c:scaling>
          <c:orientation val="minMax"/>
        </c:scaling>
        <c:axPos val="l"/>
        <c:majorGridlines/>
        <c:numFmt formatCode="General" sourceLinked="1"/>
        <c:tickLblPos val="nextTo"/>
        <c:txPr>
          <a:bodyPr rot="0" vert="horz"/>
          <a:lstStyle/>
          <a:p>
            <a:pPr>
              <a:defRPr sz="800">
                <a:latin typeface="Arial" pitchFamily="34" charset="0"/>
                <a:cs typeface="Arial" pitchFamily="34" charset="0"/>
              </a:defRPr>
            </a:pPr>
            <a:endParaRPr lang="ar-SA"/>
          </a:p>
        </c:txPr>
        <c:crossAx val="103941632"/>
        <c:crosses val="autoZero"/>
        <c:crossBetween val="between"/>
        <c:majorUnit val="5"/>
      </c:valAx>
      <c:spPr>
        <a:ln>
          <a:noFill/>
        </a:ln>
      </c:spPr>
    </c:plotArea>
    <c:plotVisOnly val="1"/>
    <c:dispBlanksAs val="gap"/>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view3D>
      <c:perspective val="30"/>
    </c:view3D>
    <c:plotArea>
      <c:layout>
        <c:manualLayout>
          <c:layoutTarget val="inner"/>
          <c:xMode val="edge"/>
          <c:yMode val="edge"/>
          <c:x val="0"/>
          <c:y val="0"/>
          <c:w val="0.9758025092224295"/>
          <c:h val="0.93241658189853616"/>
        </c:manualLayout>
      </c:layout>
      <c:pie3DChart>
        <c:varyColors val="1"/>
        <c:ser>
          <c:idx val="0"/>
          <c:order val="0"/>
          <c:tx>
            <c:strRef>
              <c:f>Sheet1!$A$2</c:f>
              <c:strCache>
                <c:ptCount val="1"/>
                <c:pt idx="0">
                  <c:v>East</c:v>
                </c:pt>
              </c:strCache>
            </c:strRef>
          </c:tx>
          <c:dPt>
            <c:idx val="0"/>
            <c:spPr>
              <a:solidFill>
                <a:schemeClr val="accent6"/>
              </a:solidFill>
            </c:spPr>
          </c:dPt>
          <c:dPt>
            <c:idx val="1"/>
            <c:spPr>
              <a:solidFill>
                <a:schemeClr val="tx2">
                  <a:lumMod val="40000"/>
                  <a:lumOff val="60000"/>
                </a:schemeClr>
              </a:solidFill>
            </c:spPr>
          </c:dPt>
          <c:dPt>
            <c:idx val="2"/>
            <c:spPr>
              <a:solidFill>
                <a:schemeClr val="bg2">
                  <a:lumMod val="25000"/>
                </a:schemeClr>
              </a:solidFill>
            </c:spPr>
          </c:dPt>
          <c:dLbls>
            <c:dLbl>
              <c:idx val="0"/>
              <c:layout>
                <c:manualLayout>
                  <c:x val="0.23896871138530826"/>
                  <c:y val="-6.7911944532944954E-2"/>
                </c:manualLayout>
              </c:layout>
              <c:showCatName val="1"/>
              <c:showPercent val="1"/>
            </c:dLbl>
            <c:dLbl>
              <c:idx val="1"/>
              <c:layout>
                <c:manualLayout>
                  <c:x val="-9.1034806216234068E-2"/>
                  <c:y val="0.31937311304296651"/>
                </c:manualLayout>
              </c:layout>
              <c:showCatName val="1"/>
              <c:showPercent val="1"/>
            </c:dLbl>
            <c:dLbl>
              <c:idx val="2"/>
              <c:layout>
                <c:manualLayout>
                  <c:x val="-0.12688962848716076"/>
                  <c:y val="4.4709844795412096E-2"/>
                </c:manualLayout>
              </c:layout>
              <c:showCatName val="1"/>
              <c:showPercent val="1"/>
            </c:dLbl>
            <c:dLbl>
              <c:idx val="3"/>
              <c:layout>
                <c:manualLayout>
                  <c:x val="-5.4629253817499723E-3"/>
                  <c:y val="-0.12603340767375168"/>
                </c:manualLayout>
              </c:layout>
              <c:showCatName val="1"/>
              <c:showPercent val="1"/>
            </c:dLbl>
            <c:numFmt formatCode="0.0%" sourceLinked="0"/>
            <c:txPr>
              <a:bodyPr/>
              <a:lstStyle/>
              <a:p>
                <a:pPr>
                  <a:defRPr sz="800">
                    <a:latin typeface="Arial" pitchFamily="34" charset="0"/>
                    <a:cs typeface="Arial" pitchFamily="34" charset="0"/>
                  </a:defRPr>
                </a:pPr>
                <a:endParaRPr lang="ar-SA"/>
              </a:p>
            </c:txPr>
            <c:showCatName val="1"/>
            <c:showPercent val="1"/>
            <c:showLeaderLines val="1"/>
          </c:dLbls>
          <c:cat>
            <c:strRef>
              <c:f>Sheet1!$B$1:$E$1</c:f>
              <c:strCache>
                <c:ptCount val="4"/>
                <c:pt idx="0">
                  <c:v>لبنان</c:v>
                </c:pt>
                <c:pt idx="1">
                  <c:v>الأردن</c:v>
                </c:pt>
                <c:pt idx="2">
                  <c:v>سوريا</c:v>
                </c:pt>
                <c:pt idx="3">
                  <c:v>دولة فلسطين</c:v>
                </c:pt>
              </c:strCache>
            </c:strRef>
          </c:cat>
          <c:val>
            <c:numRef>
              <c:f>Sheet1!$B$2:$E$2</c:f>
              <c:numCache>
                <c:formatCode>0.0</c:formatCode>
                <c:ptCount val="4"/>
                <c:pt idx="0">
                  <c:v>9.1</c:v>
                </c:pt>
                <c:pt idx="1">
                  <c:v>39</c:v>
                </c:pt>
                <c:pt idx="2">
                  <c:v>10.5</c:v>
                </c:pt>
                <c:pt idx="3">
                  <c:v>41.4</c:v>
                </c:pt>
              </c:numCache>
            </c:numRef>
          </c:val>
        </c:ser>
        <c:dLbls>
          <c:showCatName val="1"/>
          <c:showPercent val="1"/>
        </c:dLbls>
      </c:pie3DChart>
      <c:spPr>
        <a:noFill/>
        <a:ln>
          <a:noFill/>
        </a:ln>
      </c:spPr>
    </c:plotArea>
    <c:plotVisOnly val="1"/>
    <c:dispBlanksAs val="zero"/>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plotArea>
      <c:layout>
        <c:manualLayout>
          <c:layoutTarget val="inner"/>
          <c:xMode val="edge"/>
          <c:yMode val="edge"/>
          <c:x val="0.12047402809251309"/>
          <c:y val="4.6852358426405886E-2"/>
          <c:w val="0.83025385544612074"/>
          <c:h val="0.7316446638200188"/>
        </c:manualLayout>
      </c:layout>
      <c:barChart>
        <c:barDir val="col"/>
        <c:grouping val="clustered"/>
        <c:ser>
          <c:idx val="0"/>
          <c:order val="0"/>
          <c:tx>
            <c:strRef>
              <c:f>Sheet1!$B$1</c:f>
              <c:strCache>
                <c:ptCount val="1"/>
                <c:pt idx="0">
                  <c:v>Series 1</c:v>
                </c:pt>
              </c:strCache>
            </c:strRef>
          </c:tx>
          <c:dPt>
            <c:idx val="1"/>
            <c:spPr>
              <a:solidFill>
                <a:schemeClr val="accent2"/>
              </a:solidFill>
            </c:spPr>
          </c:dPt>
          <c:dPt>
            <c:idx val="2"/>
            <c:spPr>
              <a:solidFill>
                <a:schemeClr val="tx2">
                  <a:lumMod val="75000"/>
                </a:schemeClr>
              </a:solidFill>
            </c:spPr>
          </c:dPt>
          <c:dLbls>
            <c:showVal val="1"/>
          </c:dLbls>
          <c:cat>
            <c:strRef>
              <c:f>Sheet1!$A$2:$A$4</c:f>
              <c:strCache>
                <c:ptCount val="3"/>
                <c:pt idx="0">
                  <c:v>دولة فلسطين</c:v>
                </c:pt>
                <c:pt idx="1">
                  <c:v>الضفة الغربية</c:v>
                </c:pt>
                <c:pt idx="2">
                  <c:v>قطاع غزة</c:v>
                </c:pt>
              </c:strCache>
            </c:strRef>
          </c:cat>
          <c:val>
            <c:numRef>
              <c:f>Sheet1!$B$2:$B$4</c:f>
              <c:numCache>
                <c:formatCode>General</c:formatCode>
                <c:ptCount val="3"/>
                <c:pt idx="0">
                  <c:v>42.5</c:v>
                </c:pt>
                <c:pt idx="1">
                  <c:v>26.6</c:v>
                </c:pt>
                <c:pt idx="2">
                  <c:v>66.2</c:v>
                </c:pt>
              </c:numCache>
            </c:numRef>
          </c:val>
        </c:ser>
        <c:axId val="134587136"/>
        <c:axId val="134588672"/>
      </c:barChart>
      <c:catAx>
        <c:axId val="134587136"/>
        <c:scaling>
          <c:orientation val="minMax"/>
        </c:scaling>
        <c:axPos val="b"/>
        <c:tickLblPos val="nextTo"/>
        <c:txPr>
          <a:bodyPr/>
          <a:lstStyle/>
          <a:p>
            <a:pPr>
              <a:defRPr sz="800">
                <a:latin typeface="Arial" pitchFamily="34" charset="0"/>
                <a:cs typeface="Arial" pitchFamily="34" charset="0"/>
              </a:defRPr>
            </a:pPr>
            <a:endParaRPr lang="ar-SA"/>
          </a:p>
        </c:txPr>
        <c:crossAx val="134588672"/>
        <c:crosses val="autoZero"/>
        <c:auto val="1"/>
        <c:lblAlgn val="ctr"/>
        <c:lblOffset val="100"/>
      </c:catAx>
      <c:valAx>
        <c:axId val="134588672"/>
        <c:scaling>
          <c:orientation val="minMax"/>
          <c:max val="80"/>
        </c:scaling>
        <c:axPos val="l"/>
        <c:numFmt formatCode="General" sourceLinked="1"/>
        <c:tickLblPos val="nextTo"/>
        <c:txPr>
          <a:bodyPr/>
          <a:lstStyle/>
          <a:p>
            <a:pPr>
              <a:defRPr sz="800">
                <a:latin typeface="Arial" pitchFamily="34" charset="0"/>
                <a:cs typeface="Arial" pitchFamily="34" charset="0"/>
              </a:defRPr>
            </a:pPr>
            <a:endParaRPr lang="ar-SA"/>
          </a:p>
        </c:txPr>
        <c:crossAx val="134587136"/>
        <c:crosses val="autoZero"/>
        <c:crossBetween val="between"/>
        <c:majorUnit val="10"/>
      </c:valAx>
      <c:spPr>
        <a:noFill/>
        <a:ln>
          <a:noFill/>
        </a:ln>
      </c:spPr>
    </c:plotArea>
    <c:plotVisOnly val="1"/>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plotArea>
      <c:layout>
        <c:manualLayout>
          <c:layoutTarget val="inner"/>
          <c:xMode val="edge"/>
          <c:yMode val="edge"/>
          <c:x val="3.9285714285715867E-2"/>
          <c:y val="8.5365853658536647E-2"/>
          <c:w val="0.83928571428571463"/>
          <c:h val="0.65853658536585358"/>
        </c:manualLayout>
      </c:layout>
      <c:barChart>
        <c:barDir val="col"/>
        <c:grouping val="clustered"/>
        <c:ser>
          <c:idx val="0"/>
          <c:order val="0"/>
          <c:tx>
            <c:strRef>
              <c:f>Sheet1!$A$2</c:f>
              <c:strCache>
                <c:ptCount val="1"/>
                <c:pt idx="0">
                  <c:v>East</c:v>
                </c:pt>
              </c:strCache>
            </c:strRef>
          </c:tx>
          <c:dPt>
            <c:idx val="1"/>
            <c:spPr>
              <a:solidFill>
                <a:schemeClr val="accent2"/>
              </a:solidFill>
            </c:spPr>
          </c:dPt>
          <c:dPt>
            <c:idx val="2"/>
            <c:spPr>
              <a:solidFill>
                <a:srgbClr val="00B0F0"/>
              </a:solidFill>
            </c:spPr>
          </c:dPt>
          <c:dLbls>
            <c:dLbl>
              <c:idx val="0"/>
              <c:layout>
                <c:manualLayout>
                  <c:x val="-2.0978241121922202E-3"/>
                  <c:y val="8.6100864809897266E-3"/>
                </c:manualLayout>
              </c:layout>
              <c:dLblPos val="outEnd"/>
              <c:showVal val="1"/>
            </c:dLbl>
            <c:dLbl>
              <c:idx val="1"/>
              <c:layout>
                <c:manualLayout>
                  <c:x val="-3.2882809751876626E-3"/>
                  <c:y val="-1.3341662822004219E-2"/>
                </c:manualLayout>
              </c:layout>
              <c:dLblPos val="outEnd"/>
              <c:showVal val="1"/>
            </c:dLbl>
            <c:dLbl>
              <c:idx val="2"/>
              <c:layout>
                <c:manualLayout>
                  <c:x val="-9.0730926675408748E-4"/>
                  <c:y val="-5.4804900859221559E-2"/>
                </c:manualLayout>
              </c:layout>
              <c:dLblPos val="outEnd"/>
              <c:showVal val="1"/>
            </c:dLbl>
            <c:txPr>
              <a:bodyPr/>
              <a:lstStyle/>
              <a:p>
                <a:pPr>
                  <a:defRPr sz="800">
                    <a:latin typeface="Arial" pitchFamily="34" charset="0"/>
                    <a:cs typeface="Arial" pitchFamily="34" charset="0"/>
                  </a:defRPr>
                </a:pPr>
                <a:endParaRPr lang="ar-SA"/>
              </a:p>
            </c:txPr>
            <c:showVal val="1"/>
          </c:dLbls>
          <c:cat>
            <c:strRef>
              <c:f>Sheet1!$B$1:$D$1</c:f>
              <c:strCache>
                <c:ptCount val="3"/>
                <c:pt idx="0">
                  <c:v>لاجئة</c:v>
                </c:pt>
                <c:pt idx="1">
                  <c:v>غير لاجئة</c:v>
                </c:pt>
                <c:pt idx="2">
                  <c:v>دولة فلسطين</c:v>
                </c:pt>
              </c:strCache>
            </c:strRef>
          </c:cat>
          <c:val>
            <c:numRef>
              <c:f>Sheet1!$B$2:$D$2</c:f>
              <c:numCache>
                <c:formatCode>#,##0.0</c:formatCode>
                <c:ptCount val="3"/>
                <c:pt idx="0" formatCode="General">
                  <c:v>4.5</c:v>
                </c:pt>
                <c:pt idx="1">
                  <c:v>4.3</c:v>
                </c:pt>
                <c:pt idx="2" formatCode="General">
                  <c:v>4.4000000000000004</c:v>
                </c:pt>
              </c:numCache>
            </c:numRef>
          </c:val>
        </c:ser>
        <c:dLbls>
          <c:showVal val="1"/>
        </c:dLbls>
        <c:axId val="138692864"/>
        <c:axId val="138698752"/>
      </c:barChart>
      <c:catAx>
        <c:axId val="138692864"/>
        <c:scaling>
          <c:orientation val="minMax"/>
        </c:scaling>
        <c:axPos val="b"/>
        <c:numFmt formatCode="General" sourceLinked="1"/>
        <c:tickLblPos val="nextTo"/>
        <c:txPr>
          <a:bodyPr rot="0" vert="horz"/>
          <a:lstStyle/>
          <a:p>
            <a:pPr>
              <a:defRPr sz="800">
                <a:latin typeface="Arial" pitchFamily="34" charset="0"/>
                <a:cs typeface="Arial" pitchFamily="34" charset="0"/>
              </a:defRPr>
            </a:pPr>
            <a:endParaRPr lang="ar-SA"/>
          </a:p>
        </c:txPr>
        <c:crossAx val="138698752"/>
        <c:crosses val="autoZero"/>
        <c:auto val="1"/>
        <c:lblAlgn val="ctr"/>
        <c:lblOffset val="100"/>
        <c:tickLblSkip val="1"/>
        <c:tickMarkSkip val="1"/>
      </c:catAx>
      <c:valAx>
        <c:axId val="138698752"/>
        <c:scaling>
          <c:orientation val="minMax"/>
          <c:max val="4.5"/>
          <c:min val="3"/>
        </c:scaling>
        <c:axPos val="l"/>
        <c:majorGridlines/>
        <c:numFmt formatCode="#,##0.0" sourceLinked="0"/>
        <c:tickLblPos val="nextTo"/>
        <c:txPr>
          <a:bodyPr rot="0" vert="horz"/>
          <a:lstStyle/>
          <a:p>
            <a:pPr>
              <a:defRPr sz="800">
                <a:latin typeface="Arial" pitchFamily="34" charset="0"/>
                <a:cs typeface="Arial" pitchFamily="34" charset="0"/>
              </a:defRPr>
            </a:pPr>
            <a:endParaRPr lang="ar-SA"/>
          </a:p>
        </c:txPr>
        <c:crossAx val="138692864"/>
        <c:crosses val="autoZero"/>
        <c:crossBetween val="between"/>
        <c:majorUnit val="0.5"/>
        <c:minorUnit val="0.5"/>
      </c:valAx>
      <c:spPr>
        <a:noFill/>
        <a:ln>
          <a:noFill/>
        </a:ln>
      </c:spPr>
    </c:plotArea>
    <c:plotVisOnly val="1"/>
    <c:dispBlanksAs val="gap"/>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loays</cp:lastModifiedBy>
  <cp:revision>5</cp:revision>
  <dcterms:created xsi:type="dcterms:W3CDTF">2018-06-13T08:57:00Z</dcterms:created>
  <dcterms:modified xsi:type="dcterms:W3CDTF">2018-06-13T09:50:00Z</dcterms:modified>
</cp:coreProperties>
</file>