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4C" w:rsidRDefault="001F3F4C" w:rsidP="001F3F4C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1F3F4C" w:rsidRDefault="001F3F4C" w:rsidP="001F3F4C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1F3F4C" w:rsidRPr="001F3F4C" w:rsidRDefault="001F3F4C" w:rsidP="001F3F4C">
      <w:pPr>
        <w:bidi/>
        <w:jc w:val="center"/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E743D2" w:rsidRDefault="001F3F4C" w:rsidP="001F3F4C">
      <w:pPr>
        <w:bidi/>
        <w:jc w:val="center"/>
        <w:rPr>
          <w:rFonts w:hint="cs"/>
          <w:sz w:val="28"/>
          <w:szCs w:val="28"/>
          <w:rtl/>
        </w:rPr>
      </w:pPr>
      <w:r w:rsidRPr="001F3F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الإحصاء الفلسطيني يعلن النتائج الأولية للتجارة الخارجية المرصودة* للسلع لشهر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آب</w:t>
      </w:r>
      <w:proofErr w:type="spellStart"/>
      <w:r w:rsidRPr="001F3F4C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proofErr w:type="spellEnd"/>
      <w:r w:rsidRPr="001F3F4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08</w:t>
      </w:r>
      <w:r w:rsidRPr="001F3F4C">
        <w:rPr>
          <w:rFonts w:ascii="Simplified Arabic" w:hAnsi="Simplified Arabic" w:cs="Simplified Arabic"/>
          <w:b/>
          <w:bCs/>
          <w:sz w:val="28"/>
          <w:szCs w:val="28"/>
          <w:rtl/>
        </w:rPr>
        <w:t>/2017</w:t>
      </w:r>
    </w:p>
    <w:p w:rsidR="001F3F4C" w:rsidRPr="001F3F4C" w:rsidRDefault="001F3F4C" w:rsidP="001F3F4C">
      <w:pPr>
        <w:bidi/>
        <w:jc w:val="center"/>
        <w:rPr>
          <w:rFonts w:ascii="Simplified Arabic" w:hAnsi="Simplified Arabic" w:cs="Simplified Arabic"/>
          <w:sz w:val="16"/>
          <w:szCs w:val="16"/>
          <w:rtl/>
        </w:rPr>
      </w:pPr>
    </w:p>
    <w:p w:rsidR="00E743D2" w:rsidRPr="001F3F4C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  <w:lang w:bidi="ar-JO"/>
        </w:rPr>
      </w:pPr>
      <w:r w:rsidRPr="001F3F4C">
        <w:rPr>
          <w:rFonts w:cs="Simplified Arabic" w:hint="cs"/>
          <w:b/>
          <w:bCs/>
          <w:color w:val="auto"/>
          <w:sz w:val="25"/>
          <w:szCs w:val="25"/>
          <w:rtl/>
        </w:rPr>
        <w:t>الصادرات</w:t>
      </w:r>
      <w:r w:rsidR="00475836" w:rsidRPr="001F3F4C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1F3F4C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B929AF" w:rsidRDefault="00D27FDD" w:rsidP="0015711D">
      <w:pPr>
        <w:bidi/>
        <w:spacing w:line="240" w:lineRule="auto"/>
        <w:jc w:val="both"/>
        <w:rPr>
          <w:rFonts w:cs="Simplified Arabic"/>
          <w:color w:val="000000" w:themeColor="text1"/>
          <w:sz w:val="24"/>
          <w:szCs w:val="24"/>
          <w:rtl/>
        </w:rPr>
      </w:pPr>
      <w:r w:rsidRPr="00B929AF">
        <w:rPr>
          <w:rFonts w:cs="Simplified Arabic" w:hint="cs"/>
          <w:color w:val="000000" w:themeColor="text1"/>
          <w:sz w:val="24"/>
          <w:szCs w:val="24"/>
          <w:rtl/>
        </w:rPr>
        <w:t>ارتفعت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الصادرات الفلسطينية خلال شهر </w:t>
      </w:r>
      <w:r w:rsidR="0015711D">
        <w:rPr>
          <w:rFonts w:cs="Simplified Arabic" w:hint="cs"/>
          <w:color w:val="000000" w:themeColor="text1"/>
          <w:sz w:val="24"/>
          <w:szCs w:val="24"/>
          <w:rtl/>
        </w:rPr>
        <w:t>آ</w:t>
      </w:r>
      <w:r w:rsidR="00A03F86" w:rsidRPr="00B929AF">
        <w:rPr>
          <w:rFonts w:cs="Simplified Arabic" w:hint="cs"/>
          <w:color w:val="000000" w:themeColor="text1"/>
          <w:sz w:val="24"/>
          <w:szCs w:val="24"/>
          <w:rtl/>
        </w:rPr>
        <w:t>ب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2017</w:t>
      </w:r>
      <w:r w:rsidR="00E743D2" w:rsidRP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3.3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مقارنة مع الشهر السابق، </w:t>
      </w:r>
      <w:r w:rsidR="00A33751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>كما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  <w:lang w:bidi="ar-AE"/>
        </w:rPr>
        <w:t xml:space="preserve"> ارتفعت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بنسبة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8.8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%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>مقارنة مع</w:t>
      </w:r>
      <w:r w:rsidR="00E743D2" w:rsidRPr="00B929AF">
        <w:rPr>
          <w:rFonts w:cs="Simplified Arabic"/>
          <w:color w:val="000000" w:themeColor="text1"/>
          <w:sz w:val="24"/>
          <w:szCs w:val="24"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شهر </w:t>
      </w:r>
      <w:r w:rsidR="0015711D">
        <w:rPr>
          <w:rFonts w:cs="Simplified Arabic" w:hint="cs"/>
          <w:color w:val="000000" w:themeColor="text1"/>
          <w:sz w:val="24"/>
          <w:szCs w:val="24"/>
          <w:rtl/>
        </w:rPr>
        <w:t>آ</w:t>
      </w:r>
      <w:r w:rsidR="00A03F86" w:rsidRPr="00B929AF">
        <w:rPr>
          <w:rFonts w:cs="Simplified Arabic" w:hint="cs"/>
          <w:color w:val="000000" w:themeColor="text1"/>
          <w:sz w:val="24"/>
          <w:szCs w:val="24"/>
          <w:rtl/>
        </w:rPr>
        <w:t>ب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2016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، حيث بلغت قيمتها </w:t>
      </w:r>
      <w:r w:rsidR="00B929AF"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>91.7</w:t>
      </w:r>
      <w:r w:rsidR="00E743D2" w:rsidRPr="00B929AF"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  <w:t xml:space="preserve"> </w:t>
      </w:r>
      <w:r w:rsidR="00E743D2" w:rsidRPr="00B929AF">
        <w:rPr>
          <w:rFonts w:cs="Simplified Arabic" w:hint="cs"/>
          <w:color w:val="000000" w:themeColor="text1"/>
          <w:sz w:val="24"/>
          <w:szCs w:val="24"/>
          <w:rtl/>
        </w:rPr>
        <w:t xml:space="preserve">مليون دولار أمريكي. </w:t>
      </w:r>
    </w:p>
    <w:p w:rsidR="00E743D2" w:rsidRPr="001F3F4C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272ACB" w:rsidRDefault="00A33751" w:rsidP="0015711D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24"/>
          <w:szCs w:val="24"/>
        </w:rPr>
      </w:pP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الصادرات إلى إسرائيل خلال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A03F86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5.8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% بالمقارنة مع الشهر السابق، 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بينما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انخفضت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 xml:space="preserve"> إلى باقي دول العالم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21.5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% وشكلت الصادرات </w:t>
      </w:r>
      <w:r w:rsidR="00304A2B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إلى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إسرائيل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92.9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% من إجمالي قيمة الصادرات لشهر </w:t>
      </w:r>
      <w:r w:rsidR="0015711D">
        <w:rPr>
          <w:rFonts w:ascii="Simplified Arabic" w:hAnsi="Simplified Arabic" w:cs="Simplified Arabic" w:hint="cs"/>
          <w:color w:val="auto"/>
          <w:sz w:val="24"/>
          <w:szCs w:val="24"/>
          <w:rtl/>
        </w:rPr>
        <w:t>آ</w:t>
      </w:r>
      <w:r w:rsidR="00A03F86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.</w:t>
      </w:r>
    </w:p>
    <w:p w:rsidR="00E743D2" w:rsidRPr="001F3F4C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E743D2" w:rsidRPr="001F3F4C" w:rsidRDefault="00E743D2" w:rsidP="00E743D2">
      <w:pPr>
        <w:bidi/>
        <w:spacing w:line="240" w:lineRule="auto"/>
        <w:jc w:val="both"/>
        <w:rPr>
          <w:rFonts w:cs="Simplified Arabic"/>
          <w:b/>
          <w:bCs/>
          <w:color w:val="auto"/>
          <w:sz w:val="25"/>
          <w:szCs w:val="25"/>
          <w:rtl/>
        </w:rPr>
      </w:pPr>
      <w:r w:rsidRPr="001F3F4C">
        <w:rPr>
          <w:rFonts w:cs="Simplified Arabic" w:hint="cs"/>
          <w:b/>
          <w:bCs/>
          <w:color w:val="auto"/>
          <w:sz w:val="25"/>
          <w:szCs w:val="25"/>
          <w:rtl/>
        </w:rPr>
        <w:t>الواردات</w:t>
      </w:r>
      <w:r w:rsidR="00475836" w:rsidRPr="001F3F4C">
        <w:rPr>
          <w:rFonts w:cs="Simplified Arabic" w:hint="cs"/>
          <w:b/>
          <w:bCs/>
          <w:color w:val="auto"/>
          <w:sz w:val="25"/>
          <w:szCs w:val="25"/>
          <w:rtl/>
        </w:rPr>
        <w:t xml:space="preserve"> السلعية</w:t>
      </w:r>
      <w:r w:rsidRPr="001F3F4C">
        <w:rPr>
          <w:rFonts w:cs="Simplified Arabic" w:hint="cs"/>
          <w:b/>
          <w:bCs/>
          <w:color w:val="auto"/>
          <w:sz w:val="25"/>
          <w:szCs w:val="25"/>
          <w:rtl/>
        </w:rPr>
        <w:t>:</w:t>
      </w:r>
    </w:p>
    <w:p w:rsidR="00E743D2" w:rsidRPr="00272ACB" w:rsidRDefault="00A22BDD" w:rsidP="0015711D">
      <w:pPr>
        <w:bidi/>
        <w:spacing w:line="240" w:lineRule="auto"/>
        <w:jc w:val="both"/>
        <w:rPr>
          <w:rFonts w:cs="Simplified Arabic"/>
          <w:color w:val="auto"/>
          <w:sz w:val="24"/>
          <w:szCs w:val="24"/>
          <w:rtl/>
        </w:rPr>
      </w:pPr>
      <w:r w:rsidRPr="00272ACB">
        <w:rPr>
          <w:rFonts w:cs="Simplified Arabic" w:hint="cs"/>
          <w:color w:val="auto"/>
          <w:sz w:val="24"/>
          <w:szCs w:val="24"/>
          <w:rtl/>
          <w:lang w:bidi="ar-AE"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الفلسطينية في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FC1C18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8.3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%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السابق، كما </w:t>
      </w:r>
      <w:r w:rsidRPr="00272ACB">
        <w:rPr>
          <w:rFonts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11.2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FC1C18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عام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حيث بلغت قيمتها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494.7</w:t>
      </w:r>
      <w:r w:rsidR="00E743D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مليون دولار أمريكي.</w:t>
      </w:r>
    </w:p>
    <w:p w:rsidR="00E743D2" w:rsidRPr="001F3F4C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auto"/>
          <w:sz w:val="16"/>
          <w:szCs w:val="16"/>
          <w:rtl/>
        </w:rPr>
      </w:pPr>
    </w:p>
    <w:p w:rsidR="001F3F4C" w:rsidRDefault="000579B5" w:rsidP="001F3F4C">
      <w:pPr>
        <w:bidi/>
        <w:spacing w:line="240" w:lineRule="auto"/>
        <w:jc w:val="both"/>
        <w:rPr>
          <w:rFonts w:cs="Simplified Arabic" w:hint="cs"/>
          <w:color w:val="auto"/>
          <w:sz w:val="24"/>
          <w:szCs w:val="24"/>
          <w:rtl/>
        </w:rPr>
      </w:pPr>
      <w:r w:rsidRPr="00272ACB">
        <w:rPr>
          <w:rFonts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من إسرائيل خلال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FC1C18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4.3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بالمقارنة مع الشهر السابق، كما </w:t>
      </w:r>
      <w:r w:rsidRPr="00272ACB">
        <w:rPr>
          <w:rFonts w:cs="Simplified Arabic" w:hint="cs"/>
          <w:color w:val="auto"/>
          <w:sz w:val="24"/>
          <w:szCs w:val="24"/>
          <w:rtl/>
        </w:rPr>
        <w:t>ارتفعت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الواردات من باقي دول العالم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14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</w:rPr>
        <w:t>.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وشكلت الواردات من</w:t>
      </w:r>
      <w:r w:rsidR="00E743D2" w:rsidRPr="00272ACB">
        <w:rPr>
          <w:rFonts w:cs="Simplified Arabic"/>
          <w:color w:val="auto"/>
          <w:sz w:val="24"/>
          <w:szCs w:val="24"/>
        </w:rPr>
        <w:t xml:space="preserve"> 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>إسرائيل</w:t>
      </w:r>
      <w:r w:rsidR="00B929AF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56.1</w:t>
      </w:r>
      <w:r w:rsidR="00E743D2"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من إجمالي قيمة الواردات لشهر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FC1C18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="00E743D2" w:rsidRPr="00272ACB">
        <w:rPr>
          <w:rFonts w:cs="Simplified Arabic" w:hint="cs"/>
          <w:color w:val="auto"/>
          <w:sz w:val="24"/>
          <w:szCs w:val="24"/>
          <w:rtl/>
        </w:rPr>
        <w:t xml:space="preserve">. </w:t>
      </w:r>
    </w:p>
    <w:p w:rsidR="001F3F4C" w:rsidRPr="001F3F4C" w:rsidRDefault="001F3F4C" w:rsidP="001F3F4C">
      <w:pPr>
        <w:bidi/>
        <w:spacing w:line="240" w:lineRule="auto"/>
        <w:jc w:val="both"/>
        <w:rPr>
          <w:rFonts w:cs="Simplified Arabic" w:hint="cs"/>
          <w:color w:val="auto"/>
          <w:sz w:val="16"/>
          <w:szCs w:val="16"/>
          <w:rtl/>
        </w:rPr>
      </w:pPr>
    </w:p>
    <w:p w:rsidR="001F3F4C" w:rsidRPr="001F3F4C" w:rsidRDefault="001F3F4C" w:rsidP="001F3F4C">
      <w:pPr>
        <w:bidi/>
        <w:spacing w:line="240" w:lineRule="auto"/>
        <w:jc w:val="center"/>
        <w:rPr>
          <w:rFonts w:cs="Simplified Arabic" w:hint="cs"/>
          <w:b/>
          <w:bCs/>
          <w:color w:val="000000" w:themeColor="text1"/>
          <w:sz w:val="24"/>
          <w:szCs w:val="24"/>
          <w:rtl/>
        </w:rPr>
      </w:pPr>
      <w:r w:rsidRPr="001F3F4C">
        <w:rPr>
          <w:rFonts w:cs="Simplified Arabic"/>
          <w:b/>
          <w:bCs/>
          <w:color w:val="000000" w:themeColor="text1"/>
          <w:sz w:val="24"/>
          <w:szCs w:val="24"/>
          <w:rtl/>
        </w:rPr>
        <w:drawing>
          <wp:inline distT="0" distB="0" distL="0" distR="0">
            <wp:extent cx="2977515" cy="2333625"/>
            <wp:effectExtent l="19050" t="0" r="13335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711D" w:rsidRPr="001F3F4C" w:rsidRDefault="0015711D" w:rsidP="001F3F4C">
      <w:pPr>
        <w:bidi/>
        <w:spacing w:after="120" w:line="240" w:lineRule="auto"/>
        <w:jc w:val="both"/>
        <w:rPr>
          <w:rFonts w:cs="Simplified Arabic" w:hint="cs"/>
          <w:b/>
          <w:bCs/>
          <w:color w:val="000000" w:themeColor="text1"/>
          <w:sz w:val="16"/>
          <w:szCs w:val="16"/>
          <w:rtl/>
        </w:rPr>
      </w:pPr>
    </w:p>
    <w:p w:rsidR="00E743D2" w:rsidRPr="001F3F4C" w:rsidRDefault="00E743D2" w:rsidP="00A83180">
      <w:pPr>
        <w:bidi/>
        <w:spacing w:line="240" w:lineRule="auto"/>
        <w:jc w:val="both"/>
        <w:rPr>
          <w:rFonts w:cs="Simplified Arabic"/>
          <w:b/>
          <w:bCs/>
          <w:color w:val="000000" w:themeColor="text1"/>
          <w:sz w:val="25"/>
          <w:szCs w:val="25"/>
          <w:rtl/>
        </w:rPr>
      </w:pPr>
      <w:r w:rsidRPr="001F3F4C">
        <w:rPr>
          <w:rFonts w:cs="Simplified Arabic" w:hint="cs"/>
          <w:b/>
          <w:bCs/>
          <w:color w:val="000000" w:themeColor="text1"/>
          <w:sz w:val="25"/>
          <w:szCs w:val="25"/>
          <w:rtl/>
        </w:rPr>
        <w:t>الميزان التجاري للسلع المرصودة:</w:t>
      </w:r>
    </w:p>
    <w:p w:rsidR="00A33751" w:rsidRPr="001F3F4C" w:rsidRDefault="00E743D2" w:rsidP="001F3F4C">
      <w:pPr>
        <w:bidi/>
        <w:spacing w:line="240" w:lineRule="auto"/>
        <w:jc w:val="both"/>
        <w:rPr>
          <w:b/>
          <w:bCs/>
          <w:color w:val="auto"/>
          <w:rtl/>
        </w:rPr>
      </w:pPr>
      <w:r w:rsidRPr="00272ACB">
        <w:rPr>
          <w:rFonts w:cs="Simplified Arabic" w:hint="cs"/>
          <w:color w:val="auto"/>
          <w:sz w:val="24"/>
          <w:szCs w:val="24"/>
          <w:rtl/>
        </w:rPr>
        <w:t xml:space="preserve">أما الميزان التجاري والذي يمثل الفرق بين الصادرات والواردات، فقد سجل </w:t>
      </w:r>
      <w:r w:rsidR="007F3D6C" w:rsidRPr="00272ACB">
        <w:rPr>
          <w:rFonts w:cs="Simplified Arabic" w:hint="cs"/>
          <w:color w:val="auto"/>
          <w:sz w:val="24"/>
          <w:szCs w:val="24"/>
          <w:rtl/>
        </w:rPr>
        <w:t>ارتفاعاً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في قيمة العجز</w:t>
      </w:r>
      <w:r w:rsidRPr="00272ACB">
        <w:rPr>
          <w:rFonts w:cs="Simplified Arabic" w:hint="cs"/>
          <w:color w:val="auto"/>
          <w:sz w:val="24"/>
          <w:szCs w:val="24"/>
          <w:rtl/>
          <w:lang w:bidi="ar-AE"/>
        </w:rPr>
        <w:t xml:space="preserve"> بنسبة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9.6</w:t>
      </w:r>
      <w:r w:rsidRPr="00272ACB">
        <w:rPr>
          <w:rFonts w:ascii="Simplified Arabic" w:hAnsi="Simplified Arabic" w:cs="Simplified Arabic"/>
          <w:color w:val="auto"/>
          <w:sz w:val="24"/>
          <w:szCs w:val="24"/>
          <w:rtl/>
        </w:rPr>
        <w:t>%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خلال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1367E2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2017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الشهر السابق،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 xml:space="preserve">كما </w:t>
      </w:r>
      <w:r w:rsidR="007F3D6C"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bidi="ar-AE"/>
        </w:rPr>
        <w:t>ارتفع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بنسبة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11.7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  <w:lang w:val="en-GB"/>
        </w:rPr>
        <w:t>%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مقارنة مع شهر </w:t>
      </w:r>
      <w:r w:rsidR="0015711D">
        <w:rPr>
          <w:rFonts w:cs="Simplified Arabic" w:hint="cs"/>
          <w:color w:val="auto"/>
          <w:sz w:val="24"/>
          <w:szCs w:val="24"/>
          <w:rtl/>
        </w:rPr>
        <w:t>آ</w:t>
      </w:r>
      <w:r w:rsidR="001367E2" w:rsidRPr="00272ACB">
        <w:rPr>
          <w:rFonts w:cs="Simplified Arabic" w:hint="cs"/>
          <w:color w:val="auto"/>
          <w:sz w:val="24"/>
          <w:szCs w:val="24"/>
          <w:rtl/>
        </w:rPr>
        <w:t>ب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 من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عام </w:t>
      </w:r>
      <w:r w:rsidR="00B929AF">
        <w:rPr>
          <w:rFonts w:ascii="Simplified Arabic" w:hAnsi="Simplified Arabic" w:cs="Simplified Arabic" w:hint="cs"/>
          <w:color w:val="auto"/>
          <w:sz w:val="24"/>
          <w:szCs w:val="24"/>
          <w:rtl/>
        </w:rPr>
        <w:t>2016</w:t>
      </w:r>
      <w:r w:rsidRPr="00272ACB">
        <w:rPr>
          <w:rFonts w:cs="Simplified Arabic" w:hint="cs"/>
          <w:color w:val="auto"/>
          <w:sz w:val="24"/>
          <w:szCs w:val="24"/>
          <w:rtl/>
        </w:rPr>
        <w:t xml:space="preserve">، حيث بلغ العجز </w:t>
      </w:r>
      <w:r w:rsidR="001367E2"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>403</w:t>
      </w:r>
      <w:r w:rsidRPr="00272ACB">
        <w:rPr>
          <w:rFonts w:ascii="Simplified Arabic" w:hAnsi="Simplified Arabic" w:cs="Simplified Arabic" w:hint="cs"/>
          <w:color w:val="auto"/>
          <w:sz w:val="24"/>
          <w:szCs w:val="24"/>
          <w:rtl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مليون</w:t>
      </w:r>
      <w:r w:rsidRPr="00272ACB">
        <w:rPr>
          <w:rFonts w:cs="Simplified Arabic"/>
          <w:color w:val="auto"/>
          <w:sz w:val="24"/>
          <w:szCs w:val="24"/>
        </w:rPr>
        <w:t xml:space="preserve"> </w:t>
      </w:r>
      <w:r w:rsidRPr="00272ACB">
        <w:rPr>
          <w:rFonts w:cs="Simplified Arabic" w:hint="cs"/>
          <w:color w:val="auto"/>
          <w:sz w:val="24"/>
          <w:szCs w:val="24"/>
          <w:rtl/>
        </w:rPr>
        <w:t>دولار أمريكي.</w:t>
      </w:r>
    </w:p>
    <w:p w:rsidR="00E743D2" w:rsidRDefault="00E743D2" w:rsidP="00E743D2">
      <w:pPr>
        <w:bidi/>
        <w:spacing w:line="240" w:lineRule="auto"/>
        <w:jc w:val="both"/>
        <w:rPr>
          <w:rFonts w:hint="cs"/>
          <w:color w:val="000000" w:themeColor="text1"/>
          <w:rtl/>
        </w:rPr>
      </w:pPr>
    </w:p>
    <w:p w:rsidR="008C3925" w:rsidRPr="00203097" w:rsidRDefault="008C3925" w:rsidP="008C3925">
      <w:pPr>
        <w:bidi/>
        <w:spacing w:line="240" w:lineRule="auto"/>
        <w:jc w:val="both"/>
        <w:rPr>
          <w:color w:val="000000" w:themeColor="text1"/>
          <w:rtl/>
        </w:rPr>
      </w:pPr>
    </w:p>
    <w:p w:rsidR="00E743D2" w:rsidRPr="00203097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</w:pPr>
      <w:r w:rsidRPr="00203097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تنويه:</w:t>
      </w:r>
    </w:p>
    <w:p w:rsidR="00E743D2" w:rsidRPr="00203097" w:rsidRDefault="00E743D2" w:rsidP="00E743D2">
      <w:pPr>
        <w:bidi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</w:pPr>
      <w:r w:rsidRPr="00203097">
        <w:rPr>
          <w:rFonts w:ascii="Simplified Arabic" w:hAnsi="Simplified Arabic" w:cs="Simplified Arabic"/>
          <w:b/>
          <w:bCs/>
          <w:color w:val="000000" w:themeColor="text1"/>
          <w:sz w:val="20"/>
          <w:szCs w:val="20"/>
          <w:rtl/>
        </w:rPr>
        <w:t>*:</w:t>
      </w:r>
      <w:r w:rsidRPr="00203097">
        <w:rPr>
          <w:rFonts w:ascii="Simplified Arabic" w:hAnsi="Simplified Arabic" w:cs="Simplified Arabic"/>
          <w:color w:val="000000" w:themeColor="text1"/>
          <w:sz w:val="20"/>
          <w:szCs w:val="20"/>
          <w:rtl/>
        </w:rPr>
        <w:t xml:space="preserve"> تشمل البيانات الفعلية التي تم الحصول عليها من المصادر الرسمية.</w:t>
      </w:r>
    </w:p>
    <w:sectPr w:rsidR="00E743D2" w:rsidRPr="00203097" w:rsidSect="001F3F4C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1126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532" w:rsidRDefault="005A0532" w:rsidP="0089530C">
      <w:r>
        <w:separator/>
      </w:r>
    </w:p>
  </w:endnote>
  <w:endnote w:type="continuationSeparator" w:id="0">
    <w:p w:rsidR="005A0532" w:rsidRDefault="005A0532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0A282C" w:rsidP="00A3375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71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11D" w:rsidRDefault="000A282C" w:rsidP="00A33751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1571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11D" w:rsidRDefault="0015711D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15711D" w:rsidP="0020755C">
    <w:pPr>
      <w:pStyle w:val="Footer"/>
      <w:framePr w:wrap="none" w:vAnchor="text" w:hAnchor="page" w:x="5902" w:y="391"/>
      <w:rPr>
        <w:rStyle w:val="PageNumber"/>
      </w:rPr>
    </w:pPr>
  </w:p>
  <w:p w:rsidR="0015711D" w:rsidRDefault="000A282C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15711D" w:rsidRDefault="0015711D" w:rsidP="00FF32A4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>
                  <w:t>2</w:t>
                </w:r>
                <w:r w:rsidR="00FF32A4">
                  <w:t>5</w:t>
                </w:r>
                <w:r>
                  <w:rPr>
                    <w:rFonts w:hint="cs"/>
                    <w:rtl/>
                  </w:rPr>
                  <w:t>/</w:t>
                </w:r>
                <w:r w:rsidR="00FF32A4">
                  <w:t>10</w:t>
                </w:r>
                <w:r>
                  <w:rPr>
                    <w:rFonts w:hint="cs"/>
                    <w:rtl/>
                  </w:rPr>
                  <w:t>/2017</w:t>
                </w:r>
              </w:p>
            </w:txbxContent>
          </v:textbox>
        </v:shape>
      </w:pict>
    </w:r>
    <w:r w:rsidR="0015711D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532" w:rsidRDefault="005A0532" w:rsidP="0089530C">
      <w:r>
        <w:separator/>
      </w:r>
    </w:p>
  </w:footnote>
  <w:footnote w:type="continuationSeparator" w:id="0">
    <w:p w:rsidR="005A0532" w:rsidRDefault="005A0532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1D" w:rsidRDefault="0015711D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-326390</wp:posOffset>
          </wp:positionV>
          <wp:extent cx="7581265" cy="1285875"/>
          <wp:effectExtent l="1905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282C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0A282C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15711D" w:rsidRDefault="0015711D" w:rsidP="009B7F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579B5"/>
    <w:rsid w:val="00070661"/>
    <w:rsid w:val="00070837"/>
    <w:rsid w:val="000A282C"/>
    <w:rsid w:val="000F2B27"/>
    <w:rsid w:val="001367E2"/>
    <w:rsid w:val="001376A3"/>
    <w:rsid w:val="0015711D"/>
    <w:rsid w:val="0017238E"/>
    <w:rsid w:val="00197591"/>
    <w:rsid w:val="001F2EC4"/>
    <w:rsid w:val="001F3F4C"/>
    <w:rsid w:val="00203097"/>
    <w:rsid w:val="0020755C"/>
    <w:rsid w:val="00250D48"/>
    <w:rsid w:val="002662AF"/>
    <w:rsid w:val="00270EC2"/>
    <w:rsid w:val="00272ACB"/>
    <w:rsid w:val="002876FA"/>
    <w:rsid w:val="002C2373"/>
    <w:rsid w:val="002E238B"/>
    <w:rsid w:val="002F5CD9"/>
    <w:rsid w:val="00304A2B"/>
    <w:rsid w:val="003261C5"/>
    <w:rsid w:val="00332C2B"/>
    <w:rsid w:val="00363245"/>
    <w:rsid w:val="003717C5"/>
    <w:rsid w:val="00373661"/>
    <w:rsid w:val="00394B94"/>
    <w:rsid w:val="003C749E"/>
    <w:rsid w:val="003E6EF8"/>
    <w:rsid w:val="003F5E06"/>
    <w:rsid w:val="0043593A"/>
    <w:rsid w:val="00475836"/>
    <w:rsid w:val="004D3AF3"/>
    <w:rsid w:val="0059709E"/>
    <w:rsid w:val="00597AD8"/>
    <w:rsid w:val="005A0532"/>
    <w:rsid w:val="00656722"/>
    <w:rsid w:val="00660867"/>
    <w:rsid w:val="006A5C89"/>
    <w:rsid w:val="006D4596"/>
    <w:rsid w:val="00704DA9"/>
    <w:rsid w:val="007142B1"/>
    <w:rsid w:val="00777A68"/>
    <w:rsid w:val="00790DFA"/>
    <w:rsid w:val="00791F9B"/>
    <w:rsid w:val="007E56FA"/>
    <w:rsid w:val="007F3D6C"/>
    <w:rsid w:val="0085644D"/>
    <w:rsid w:val="0089530C"/>
    <w:rsid w:val="008C3925"/>
    <w:rsid w:val="00927B97"/>
    <w:rsid w:val="009842C9"/>
    <w:rsid w:val="009B2B6C"/>
    <w:rsid w:val="009B7F79"/>
    <w:rsid w:val="00A03F86"/>
    <w:rsid w:val="00A05A6B"/>
    <w:rsid w:val="00A127A8"/>
    <w:rsid w:val="00A22BDD"/>
    <w:rsid w:val="00A33751"/>
    <w:rsid w:val="00A57085"/>
    <w:rsid w:val="00A71832"/>
    <w:rsid w:val="00A80B65"/>
    <w:rsid w:val="00A83180"/>
    <w:rsid w:val="00A973EF"/>
    <w:rsid w:val="00B067F4"/>
    <w:rsid w:val="00B20FEC"/>
    <w:rsid w:val="00B60AA7"/>
    <w:rsid w:val="00B7686C"/>
    <w:rsid w:val="00B929AF"/>
    <w:rsid w:val="00BA3C7F"/>
    <w:rsid w:val="00BB23BA"/>
    <w:rsid w:val="00BD6CFC"/>
    <w:rsid w:val="00BE7B2E"/>
    <w:rsid w:val="00C15ED5"/>
    <w:rsid w:val="00C22605"/>
    <w:rsid w:val="00C82E36"/>
    <w:rsid w:val="00CA5345"/>
    <w:rsid w:val="00CA7C33"/>
    <w:rsid w:val="00CD5924"/>
    <w:rsid w:val="00D27FDD"/>
    <w:rsid w:val="00D743B9"/>
    <w:rsid w:val="00DE34F8"/>
    <w:rsid w:val="00E21331"/>
    <w:rsid w:val="00E316C4"/>
    <w:rsid w:val="00E743D2"/>
    <w:rsid w:val="00E76D45"/>
    <w:rsid w:val="00EA175D"/>
    <w:rsid w:val="00EA4773"/>
    <w:rsid w:val="00ED290A"/>
    <w:rsid w:val="00EE48B0"/>
    <w:rsid w:val="00FA2CE0"/>
    <w:rsid w:val="00FC1C18"/>
    <w:rsid w:val="00FE326D"/>
    <w:rsid w:val="00FF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alloonText">
    <w:name w:val="Balloon Text"/>
    <w:basedOn w:val="Normal"/>
    <w:link w:val="BalloonTextChar"/>
    <w:uiPriority w:val="99"/>
    <w:semiHidden/>
    <w:unhideWhenUsed/>
    <w:rsid w:val="00E743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D2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E743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8\news%20releases\A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آب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1999-2017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34233348151"/>
          <c:y val="3.6865560013608213E-3"/>
        </c:manualLayout>
      </c:layout>
      <c:overlay val="1"/>
    </c:title>
    <c:plotArea>
      <c:layout>
        <c:manualLayout>
          <c:layoutTarget val="inner"/>
          <c:xMode val="edge"/>
          <c:yMode val="edge"/>
          <c:x val="0.19792164472312659"/>
          <c:y val="0.1026386736363489"/>
          <c:w val="0.77492289023953598"/>
          <c:h val="0.67789302821396025"/>
        </c:manualLayout>
      </c:layout>
      <c:lineChart>
        <c:grouping val="standard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triangle"/>
            <c:size val="7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accent2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آب 99</c:v>
                </c:pt>
                <c:pt idx="1">
                  <c:v>آب 00</c:v>
                </c:pt>
                <c:pt idx="2">
                  <c:v>آب 01</c:v>
                </c:pt>
                <c:pt idx="3">
                  <c:v>آب 02</c:v>
                </c:pt>
                <c:pt idx="4">
                  <c:v>آب 03</c:v>
                </c:pt>
                <c:pt idx="5">
                  <c:v>آب 04</c:v>
                </c:pt>
                <c:pt idx="6">
                  <c:v>آب 05</c:v>
                </c:pt>
                <c:pt idx="7">
                  <c:v>آب 06</c:v>
                </c:pt>
                <c:pt idx="8">
                  <c:v>آب 07</c:v>
                </c:pt>
                <c:pt idx="9">
                  <c:v>آب 08</c:v>
                </c:pt>
                <c:pt idx="10">
                  <c:v>آب 09</c:v>
                </c:pt>
                <c:pt idx="11">
                  <c:v>آب 10</c:v>
                </c:pt>
                <c:pt idx="12">
                  <c:v>آب 11</c:v>
                </c:pt>
                <c:pt idx="13">
                  <c:v>آب 12</c:v>
                </c:pt>
                <c:pt idx="14">
                  <c:v>آب 13</c:v>
                </c:pt>
                <c:pt idx="15">
                  <c:v>آب 14</c:v>
                </c:pt>
                <c:pt idx="16">
                  <c:v>آب 15</c:v>
                </c:pt>
                <c:pt idx="17">
                  <c:v>آب 16</c:v>
                </c:pt>
                <c:pt idx="18">
                  <c:v>آب 17</c:v>
                </c:pt>
              </c:strCache>
            </c:strRef>
          </c:cat>
          <c:val>
            <c:numRef>
              <c:f>Sheet1!$B$2:$B$20</c:f>
              <c:numCache>
                <c:formatCode>#,##0.0</c:formatCode>
                <c:ptCount val="19"/>
                <c:pt idx="0">
                  <c:v>286.60849214980118</c:v>
                </c:pt>
                <c:pt idx="1">
                  <c:v>243.79716906193025</c:v>
                </c:pt>
                <c:pt idx="2">
                  <c:v>203.81</c:v>
                </c:pt>
                <c:pt idx="3">
                  <c:v>128.226</c:v>
                </c:pt>
                <c:pt idx="4">
                  <c:v>161.45500000000001</c:v>
                </c:pt>
                <c:pt idx="5">
                  <c:v>218.447</c:v>
                </c:pt>
                <c:pt idx="6">
                  <c:v>282.72199999999947</c:v>
                </c:pt>
                <c:pt idx="7">
                  <c:v>234.21799999999999</c:v>
                </c:pt>
                <c:pt idx="8">
                  <c:v>273.65499999999997</c:v>
                </c:pt>
                <c:pt idx="9">
                  <c:v>352.779</c:v>
                </c:pt>
                <c:pt idx="10">
                  <c:v>330.00700000000001</c:v>
                </c:pt>
                <c:pt idx="11">
                  <c:v>367</c:v>
                </c:pt>
                <c:pt idx="12">
                  <c:v>344</c:v>
                </c:pt>
                <c:pt idx="13">
                  <c:v>357</c:v>
                </c:pt>
                <c:pt idx="14">
                  <c:v>382</c:v>
                </c:pt>
                <c:pt idx="15">
                  <c:v>407.2</c:v>
                </c:pt>
                <c:pt idx="16">
                  <c:v>428.7</c:v>
                </c:pt>
                <c:pt idx="17" formatCode="0.0">
                  <c:v>445</c:v>
                </c:pt>
                <c:pt idx="18" formatCode="0.0">
                  <c:v>494.7</c:v>
                </c:pt>
              </c:numCache>
            </c:numRef>
          </c:val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accent1">
                  <a:lumMod val="75000"/>
                </a:schemeClr>
              </a:solidFill>
              <a:ln>
                <a:solidFill>
                  <a:schemeClr val="accent1">
                    <a:lumMod val="75000"/>
                  </a:schemeClr>
                </a:solidFill>
              </a:ln>
            </c:spPr>
          </c:marker>
          <c:cat>
            <c:strRef>
              <c:f>Sheet1!$A$2:$A$20</c:f>
              <c:strCache>
                <c:ptCount val="19"/>
                <c:pt idx="0">
                  <c:v>آب 99</c:v>
                </c:pt>
                <c:pt idx="1">
                  <c:v>آب 00</c:v>
                </c:pt>
                <c:pt idx="2">
                  <c:v>آب 01</c:v>
                </c:pt>
                <c:pt idx="3">
                  <c:v>آب 02</c:v>
                </c:pt>
                <c:pt idx="4">
                  <c:v>آب 03</c:v>
                </c:pt>
                <c:pt idx="5">
                  <c:v>آب 04</c:v>
                </c:pt>
                <c:pt idx="6">
                  <c:v>آب 05</c:v>
                </c:pt>
                <c:pt idx="7">
                  <c:v>آب 06</c:v>
                </c:pt>
                <c:pt idx="8">
                  <c:v>آب 07</c:v>
                </c:pt>
                <c:pt idx="9">
                  <c:v>آب 08</c:v>
                </c:pt>
                <c:pt idx="10">
                  <c:v>آب 09</c:v>
                </c:pt>
                <c:pt idx="11">
                  <c:v>آب 10</c:v>
                </c:pt>
                <c:pt idx="12">
                  <c:v>آب 11</c:v>
                </c:pt>
                <c:pt idx="13">
                  <c:v>آب 12</c:v>
                </c:pt>
                <c:pt idx="14">
                  <c:v>آب 13</c:v>
                </c:pt>
                <c:pt idx="15">
                  <c:v>آب 14</c:v>
                </c:pt>
                <c:pt idx="16">
                  <c:v>آب 15</c:v>
                </c:pt>
                <c:pt idx="17">
                  <c:v>آب 16</c:v>
                </c:pt>
                <c:pt idx="18">
                  <c:v>آب 17</c:v>
                </c:pt>
              </c:strCache>
            </c:strRef>
          </c:cat>
          <c:val>
            <c:numRef>
              <c:f>Sheet1!$C$2:$C$20</c:f>
              <c:numCache>
                <c:formatCode>#,##0.0</c:formatCode>
                <c:ptCount val="19"/>
                <c:pt idx="0">
                  <c:v>32.912074620746154</c:v>
                </c:pt>
                <c:pt idx="1">
                  <c:v>38.492242168200001</c:v>
                </c:pt>
                <c:pt idx="2">
                  <c:v>25.599</c:v>
                </c:pt>
                <c:pt idx="3">
                  <c:v>22.024999999999999</c:v>
                </c:pt>
                <c:pt idx="4">
                  <c:v>24.536999999999999</c:v>
                </c:pt>
                <c:pt idx="5">
                  <c:v>27.812999999999999</c:v>
                </c:pt>
                <c:pt idx="6">
                  <c:v>28.094999999999999</c:v>
                </c:pt>
                <c:pt idx="7">
                  <c:v>33.205000000000013</c:v>
                </c:pt>
                <c:pt idx="8">
                  <c:v>43.075000000000003</c:v>
                </c:pt>
                <c:pt idx="9">
                  <c:v>48.992000000000012</c:v>
                </c:pt>
                <c:pt idx="10">
                  <c:v>46.847999999999999</c:v>
                </c:pt>
                <c:pt idx="11">
                  <c:v>57</c:v>
                </c:pt>
                <c:pt idx="12">
                  <c:v>63</c:v>
                </c:pt>
                <c:pt idx="13">
                  <c:v>57</c:v>
                </c:pt>
                <c:pt idx="14">
                  <c:v>59.4</c:v>
                </c:pt>
                <c:pt idx="15">
                  <c:v>70.599999999999994</c:v>
                </c:pt>
                <c:pt idx="16">
                  <c:v>84.1</c:v>
                </c:pt>
                <c:pt idx="17" formatCode="0.0">
                  <c:v>84.3</c:v>
                </c:pt>
                <c:pt idx="18" formatCode="0.0">
                  <c:v>91.7</c:v>
                </c:pt>
              </c:numCache>
            </c:numRef>
          </c:val>
        </c:ser>
        <c:marker val="1"/>
        <c:axId val="101559680"/>
        <c:axId val="117735424"/>
      </c:lineChart>
      <c:catAx>
        <c:axId val="101559680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7735424"/>
        <c:crosses val="autoZero"/>
        <c:auto val="1"/>
        <c:lblAlgn val="ctr"/>
        <c:lblOffset val="100"/>
      </c:catAx>
      <c:valAx>
        <c:axId val="117735424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2072172241209E-3"/>
              <c:y val="0.26279545098632096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1559680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4084942888098707"/>
          <c:y val="0.91039177245701441"/>
          <c:w val="0.59173485017842919"/>
          <c:h val="6.7042905351116844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0D658-8DF4-4940-98D9-052B1035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2017-10-24T10:26:00Z</cp:lastPrinted>
  <dcterms:created xsi:type="dcterms:W3CDTF">2017-10-24T10:32:00Z</dcterms:created>
  <dcterms:modified xsi:type="dcterms:W3CDTF">2017-10-24T10:32:00Z</dcterms:modified>
</cp:coreProperties>
</file>