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F0" w:rsidRDefault="007D27F0" w:rsidP="007D27F0">
      <w:pPr>
        <w:bidi/>
        <w:jc w:val="both"/>
        <w:rPr>
          <w:rFonts w:ascii="Simplified Arabic" w:hAnsi="Simplified Arabic" w:cs="Simplified Arabic" w:hint="cs"/>
          <w:b/>
          <w:bCs/>
          <w:sz w:val="24"/>
          <w:szCs w:val="24"/>
          <w:rtl/>
        </w:rPr>
      </w:pPr>
      <w:bookmarkStart w:id="0" w:name="_GoBack"/>
      <w:bookmarkEnd w:id="0"/>
    </w:p>
    <w:p w:rsidR="007D27F0" w:rsidRDefault="007D27F0" w:rsidP="007D27F0">
      <w:pPr>
        <w:bidi/>
        <w:jc w:val="both"/>
        <w:rPr>
          <w:rFonts w:ascii="Simplified Arabic" w:hAnsi="Simplified Arabic" w:cs="Simplified Arabic" w:hint="cs"/>
          <w:b/>
          <w:bCs/>
          <w:sz w:val="24"/>
          <w:szCs w:val="24"/>
          <w:rtl/>
        </w:rPr>
      </w:pPr>
    </w:p>
    <w:p w:rsidR="007D27F0" w:rsidRDefault="007D27F0" w:rsidP="007D27F0">
      <w:pPr>
        <w:bidi/>
        <w:jc w:val="both"/>
        <w:rPr>
          <w:rFonts w:ascii="Simplified Arabic" w:hAnsi="Simplified Arabic" w:cs="Simplified Arabic" w:hint="cs"/>
          <w:b/>
          <w:bCs/>
          <w:sz w:val="24"/>
          <w:szCs w:val="24"/>
          <w:rtl/>
        </w:rPr>
      </w:pPr>
    </w:p>
    <w:p w:rsidR="007D27F0" w:rsidRPr="007D27F0" w:rsidRDefault="007D27F0" w:rsidP="00EE46DA">
      <w:pPr>
        <w:bidi/>
        <w:jc w:val="center"/>
        <w:rPr>
          <w:rFonts w:ascii="Simplified Arabic" w:hAnsi="Simplified Arabic" w:cs="Simplified Arabic"/>
          <w:b/>
          <w:bCs/>
          <w:color w:val="auto"/>
          <w:sz w:val="32"/>
          <w:szCs w:val="32"/>
        </w:rPr>
      </w:pPr>
      <w:r w:rsidRPr="007D27F0">
        <w:rPr>
          <w:rFonts w:ascii="Simplified Arabic" w:hAnsi="Simplified Arabic" w:cs="Simplified Arabic"/>
          <w:b/>
          <w:bCs/>
          <w:color w:val="auto"/>
          <w:sz w:val="32"/>
          <w:szCs w:val="32"/>
          <w:rtl/>
        </w:rPr>
        <w:t>الاحصاء الفلسطيني</w:t>
      </w:r>
      <w:r>
        <w:rPr>
          <w:rFonts w:ascii="Simplified Arabic" w:hAnsi="Simplified Arabic" w:cs="Simplified Arabic"/>
          <w:b/>
          <w:bCs/>
          <w:color w:val="auto"/>
          <w:sz w:val="32"/>
          <w:szCs w:val="32"/>
          <w:rtl/>
        </w:rPr>
        <w:t xml:space="preserve"> وبالتعاون مع وزارة السياحة وال</w:t>
      </w:r>
      <w:r>
        <w:rPr>
          <w:rFonts w:ascii="Simplified Arabic" w:hAnsi="Simplified Arabic" w:cs="Simplified Arabic" w:hint="cs"/>
          <w:b/>
          <w:bCs/>
          <w:color w:val="auto"/>
          <w:sz w:val="32"/>
          <w:szCs w:val="32"/>
          <w:rtl/>
        </w:rPr>
        <w:t>آ</w:t>
      </w:r>
      <w:r>
        <w:rPr>
          <w:rFonts w:ascii="Simplified Arabic" w:hAnsi="Simplified Arabic" w:cs="Simplified Arabic"/>
          <w:b/>
          <w:bCs/>
          <w:color w:val="auto"/>
          <w:sz w:val="32"/>
          <w:szCs w:val="32"/>
          <w:rtl/>
        </w:rPr>
        <w:t>ث</w:t>
      </w:r>
      <w:r>
        <w:rPr>
          <w:rFonts w:ascii="Simplified Arabic" w:hAnsi="Simplified Arabic" w:cs="Simplified Arabic" w:hint="cs"/>
          <w:b/>
          <w:bCs/>
          <w:color w:val="auto"/>
          <w:sz w:val="32"/>
          <w:szCs w:val="32"/>
          <w:rtl/>
        </w:rPr>
        <w:t>ا</w:t>
      </w:r>
      <w:r w:rsidRPr="007D27F0">
        <w:rPr>
          <w:rFonts w:ascii="Simplified Arabic" w:hAnsi="Simplified Arabic" w:cs="Simplified Arabic"/>
          <w:b/>
          <w:bCs/>
          <w:color w:val="auto"/>
          <w:sz w:val="32"/>
          <w:szCs w:val="32"/>
          <w:rtl/>
        </w:rPr>
        <w:t>ر يصدران بياناً صحفياً</w:t>
      </w:r>
    </w:p>
    <w:p w:rsidR="007D27F0" w:rsidRPr="007D27F0" w:rsidRDefault="007D27F0" w:rsidP="00EE46DA">
      <w:pPr>
        <w:bidi/>
        <w:jc w:val="center"/>
        <w:rPr>
          <w:rFonts w:ascii="Simplified Arabic" w:hAnsi="Simplified Arabic" w:cs="Simplified Arabic"/>
          <w:b/>
          <w:bCs/>
          <w:sz w:val="28"/>
          <w:szCs w:val="28"/>
        </w:rPr>
      </w:pPr>
      <w:r w:rsidRPr="007D27F0">
        <w:rPr>
          <w:rFonts w:ascii="Simplified Arabic" w:hAnsi="Simplified Arabic" w:cs="Simplified Arabic"/>
          <w:b/>
          <w:bCs/>
          <w:sz w:val="28"/>
          <w:szCs w:val="28"/>
          <w:rtl/>
        </w:rPr>
        <w:t>بمناسبة اليوم العالمي للسياحة، 27/09/</w:t>
      </w:r>
      <w:r>
        <w:rPr>
          <w:rFonts w:ascii="Simplified Arabic" w:hAnsi="Simplified Arabic" w:cs="Simplified Arabic" w:hint="cs"/>
          <w:b/>
          <w:bCs/>
          <w:sz w:val="28"/>
          <w:szCs w:val="28"/>
          <w:rtl/>
        </w:rPr>
        <w:t>2017</w:t>
      </w:r>
    </w:p>
    <w:p w:rsidR="007D27F0" w:rsidRPr="007D27F0" w:rsidRDefault="007D27F0" w:rsidP="00EE46DA">
      <w:pPr>
        <w:bidi/>
        <w:jc w:val="center"/>
        <w:rPr>
          <w:rFonts w:ascii="Simplified Arabic" w:hAnsi="Simplified Arabic" w:cs="Simplified Arabic"/>
          <w:sz w:val="28"/>
          <w:szCs w:val="28"/>
          <w:rtl/>
        </w:rPr>
      </w:pPr>
      <w:r w:rsidRPr="007D27F0">
        <w:rPr>
          <w:rFonts w:ascii="Simplified Arabic" w:hAnsi="Simplified Arabic" w:cs="Simplified Arabic"/>
          <w:b/>
          <w:bCs/>
          <w:sz w:val="28"/>
          <w:szCs w:val="28"/>
          <w:rtl/>
        </w:rPr>
        <w:t>بعنوان: السياحة المستدامة – أداة للتطوير</w:t>
      </w:r>
    </w:p>
    <w:p w:rsidR="007D27F0" w:rsidRPr="00323D0B" w:rsidRDefault="007D27F0" w:rsidP="007D27F0">
      <w:pPr>
        <w:bidi/>
        <w:jc w:val="both"/>
        <w:rPr>
          <w:rFonts w:ascii="Simplified Arabic" w:hAnsi="Simplified Arabic" w:cs="Simplified Arabic"/>
          <w:sz w:val="14"/>
          <w:szCs w:val="14"/>
          <w:rtl/>
        </w:rPr>
      </w:pPr>
    </w:p>
    <w:p w:rsidR="007D27F0" w:rsidRPr="00323D0B" w:rsidRDefault="007D27F0" w:rsidP="007D27F0">
      <w:pPr>
        <w:bidi/>
        <w:spacing w:line="240" w:lineRule="auto"/>
        <w:jc w:val="both"/>
        <w:rPr>
          <w:rFonts w:ascii="Simplified Arabic" w:hAnsi="Simplified Arabic" w:cs="Simplified Arabic"/>
          <w:sz w:val="24"/>
          <w:szCs w:val="24"/>
        </w:rPr>
      </w:pPr>
      <w:r w:rsidRPr="00323D0B">
        <w:rPr>
          <w:rFonts w:ascii="Simplified Arabic" w:hAnsi="Simplified Arabic" w:cs="Simplified Arabic"/>
          <w:sz w:val="24"/>
          <w:szCs w:val="24"/>
          <w:rtl/>
        </w:rPr>
        <w:t xml:space="preserve">بدأت منظمة السياحة العالمية التابعة للأمم المتحدة الاحتفال بيوم السياحة العالمي في عام 1980 الذي يحتفل </w:t>
      </w:r>
      <w:proofErr w:type="spellStart"/>
      <w:r w:rsidRPr="00323D0B">
        <w:rPr>
          <w:rFonts w:ascii="Simplified Arabic" w:hAnsi="Simplified Arabic" w:cs="Simplified Arabic"/>
          <w:sz w:val="24"/>
          <w:szCs w:val="24"/>
          <w:rtl/>
        </w:rPr>
        <w:t>به</w:t>
      </w:r>
      <w:proofErr w:type="spellEnd"/>
      <w:r w:rsidRPr="00323D0B">
        <w:rPr>
          <w:rFonts w:ascii="Simplified Arabic" w:hAnsi="Simplified Arabic" w:cs="Simplified Arabic"/>
          <w:sz w:val="24"/>
          <w:szCs w:val="24"/>
          <w:rtl/>
        </w:rPr>
        <w:t xml:space="preserve"> كل عام في 27 أيلول/سبتمبر. وقد تم اختیار هذا الیوم بسبب دخول قوانین منظمة السیاحة العالمیة حيز النفاذ في عام 1970 الذي یعتبر قراراً تاريخياً للسیاحة العالمیة، التي تهدف إلی إبراز الدور الهام للسیاحة داخل المجتمع الدولي فضلا عن إظهار كيف تتأثر القيم الاجتماعية والاقتصادية والثقافية والسياسية به عالمياً.</w:t>
      </w:r>
    </w:p>
    <w:p w:rsidR="007D27F0" w:rsidRPr="007D27F0" w:rsidRDefault="007D27F0" w:rsidP="007D27F0">
      <w:pPr>
        <w:bidi/>
        <w:jc w:val="both"/>
        <w:rPr>
          <w:rFonts w:ascii="Simplified Arabic" w:hAnsi="Simplified Arabic" w:cs="Simplified Arabic"/>
          <w:b/>
          <w:bCs/>
          <w:sz w:val="16"/>
          <w:szCs w:val="16"/>
          <w:rtl/>
        </w:rPr>
      </w:pPr>
    </w:p>
    <w:p w:rsidR="007D27F0" w:rsidRPr="00323D0B" w:rsidRDefault="007D27F0" w:rsidP="007D27F0">
      <w:pPr>
        <w:bidi/>
        <w:spacing w:line="240" w:lineRule="auto"/>
        <w:jc w:val="both"/>
        <w:rPr>
          <w:rFonts w:ascii="Simplified Arabic" w:hAnsi="Simplified Arabic" w:cs="Simplified Arabic"/>
          <w:b/>
          <w:bCs/>
          <w:sz w:val="24"/>
          <w:szCs w:val="24"/>
          <w:rtl/>
        </w:rPr>
      </w:pPr>
      <w:r w:rsidRPr="00323D0B">
        <w:rPr>
          <w:rFonts w:ascii="Simplified Arabic" w:hAnsi="Simplified Arabic" w:cs="Simplified Arabic"/>
          <w:sz w:val="24"/>
          <w:szCs w:val="24"/>
          <w:rtl/>
        </w:rPr>
        <w:t>وبهذه المناسبة أصدر الجهاز المركزي للإحصاء الفلسطيني وبالتعاون مع وزارة السياحة والآثار الفلسطينية بياناً صحفياً، تم فيه استعراض أبرز المؤشرات السياحية في فلسطين</w:t>
      </w:r>
      <w:r w:rsidRPr="00323D0B">
        <w:rPr>
          <w:rFonts w:ascii="Simplified Arabic" w:hAnsi="Simplified Arabic" w:cs="Simplified Arabic"/>
          <w:b/>
          <w:bCs/>
          <w:sz w:val="24"/>
          <w:szCs w:val="24"/>
          <w:rtl/>
        </w:rPr>
        <w:t>.</w:t>
      </w:r>
    </w:p>
    <w:p w:rsidR="007D27F0" w:rsidRPr="007D27F0" w:rsidRDefault="007D27F0" w:rsidP="007D27F0">
      <w:pPr>
        <w:bidi/>
        <w:jc w:val="both"/>
        <w:rPr>
          <w:rFonts w:ascii="Simplified Arabic" w:hAnsi="Simplified Arabic" w:cs="Simplified Arabic"/>
          <w:b/>
          <w:bCs/>
          <w:sz w:val="16"/>
          <w:szCs w:val="16"/>
          <w:rtl/>
        </w:rPr>
      </w:pPr>
    </w:p>
    <w:p w:rsidR="007D27F0" w:rsidRPr="007D27F0" w:rsidRDefault="007D27F0" w:rsidP="007D27F0">
      <w:pPr>
        <w:bidi/>
        <w:jc w:val="both"/>
        <w:rPr>
          <w:rFonts w:ascii="Simplified Arabic" w:hAnsi="Simplified Arabic" w:cs="Simplified Arabic"/>
          <w:b/>
          <w:bCs/>
          <w:sz w:val="25"/>
          <w:szCs w:val="25"/>
          <w:rtl/>
        </w:rPr>
      </w:pPr>
      <w:r w:rsidRPr="007D27F0">
        <w:rPr>
          <w:rFonts w:ascii="Simplified Arabic" w:hAnsi="Simplified Arabic" w:cs="Simplified Arabic"/>
          <w:b/>
          <w:bCs/>
          <w:sz w:val="25"/>
          <w:szCs w:val="25"/>
          <w:rtl/>
        </w:rPr>
        <w:t>أكثر من 3.2 مليون زيارة للمواقع السياحية في الضفة الغربية خلال النصف الأول من العام 2017</w:t>
      </w:r>
    </w:p>
    <w:p w:rsidR="007D27F0" w:rsidRPr="00323D0B" w:rsidRDefault="007D27F0" w:rsidP="007D27F0">
      <w:pPr>
        <w:bidi/>
        <w:spacing w:line="240" w:lineRule="auto"/>
        <w:jc w:val="both"/>
        <w:rPr>
          <w:rFonts w:ascii="Simplified Arabic" w:hAnsi="Simplified Arabic" w:cs="Simplified Arabic"/>
          <w:sz w:val="24"/>
          <w:szCs w:val="24"/>
          <w:rtl/>
        </w:rPr>
      </w:pPr>
      <w:r w:rsidRPr="00323D0B">
        <w:rPr>
          <w:rFonts w:ascii="Simplified Arabic" w:hAnsi="Simplified Arabic" w:cs="Simplified Arabic"/>
          <w:sz w:val="24"/>
          <w:szCs w:val="24"/>
          <w:rtl/>
        </w:rPr>
        <w:t xml:space="preserve">شهدت المواقع السياحية في الضفة الغربية خلال النصف الأول من العام 2017 حركة زوار وافدين ومحليين نتج عنها 3.26 مليون زيارة الى المواقع السياحية والحدائق والمتنزهات المختلفة  منها 1.40 مليون زيارة من قبل الزوار </w:t>
      </w:r>
      <w:proofErr w:type="spellStart"/>
      <w:r w:rsidRPr="00323D0B">
        <w:rPr>
          <w:rFonts w:ascii="Simplified Arabic" w:hAnsi="Simplified Arabic" w:cs="Simplified Arabic"/>
          <w:sz w:val="24"/>
          <w:szCs w:val="24"/>
          <w:rtl/>
        </w:rPr>
        <w:t>الوافدين،</w:t>
      </w:r>
      <w:proofErr w:type="spellEnd"/>
      <w:r w:rsidRPr="00323D0B">
        <w:rPr>
          <w:rFonts w:ascii="Simplified Arabic" w:hAnsi="Simplified Arabic" w:cs="Simplified Arabic"/>
          <w:sz w:val="24"/>
          <w:szCs w:val="24"/>
          <w:rtl/>
        </w:rPr>
        <w:t xml:space="preserve"> </w:t>
      </w:r>
      <w:proofErr w:type="spellStart"/>
      <w:r w:rsidRPr="00323D0B">
        <w:rPr>
          <w:rFonts w:ascii="Simplified Arabic" w:hAnsi="Simplified Arabic" w:cs="Simplified Arabic"/>
          <w:sz w:val="24"/>
          <w:szCs w:val="24"/>
          <w:rtl/>
        </w:rPr>
        <w:t>و1</w:t>
      </w:r>
      <w:proofErr w:type="spellEnd"/>
      <w:r w:rsidRPr="00323D0B">
        <w:rPr>
          <w:rFonts w:ascii="Simplified Arabic" w:hAnsi="Simplified Arabic" w:cs="Simplified Arabic"/>
          <w:sz w:val="24"/>
          <w:szCs w:val="24"/>
          <w:rtl/>
        </w:rPr>
        <w:t xml:space="preserve">.86 مليون زيارة من قبل الزوار المحليين.  وبالمقارنة مع ذات الفترة من العام 2016 فقد ارتفع عدد زيارات الوافدين بنسبة </w:t>
      </w:r>
      <w:proofErr w:type="spellStart"/>
      <w:r w:rsidRPr="00323D0B">
        <w:rPr>
          <w:rFonts w:ascii="Simplified Arabic" w:hAnsi="Simplified Arabic" w:cs="Simplified Arabic"/>
          <w:sz w:val="24"/>
          <w:szCs w:val="24"/>
          <w:rtl/>
        </w:rPr>
        <w:t>47.2%،</w:t>
      </w:r>
      <w:proofErr w:type="spellEnd"/>
      <w:r w:rsidRPr="00323D0B">
        <w:rPr>
          <w:rFonts w:ascii="Simplified Arabic" w:hAnsi="Simplified Arabic" w:cs="Simplified Arabic"/>
          <w:sz w:val="24"/>
          <w:szCs w:val="24"/>
          <w:rtl/>
        </w:rPr>
        <w:t xml:space="preserve"> وكذلك ارتفع عدد الزيارات المحلية بنسبة </w:t>
      </w:r>
      <w:proofErr w:type="spellStart"/>
      <w:r w:rsidRPr="00323D0B">
        <w:rPr>
          <w:rFonts w:ascii="Simplified Arabic" w:hAnsi="Simplified Arabic" w:cs="Simplified Arabic"/>
          <w:sz w:val="24"/>
          <w:szCs w:val="24"/>
          <w:rtl/>
        </w:rPr>
        <w:t>66.5%.</w:t>
      </w:r>
      <w:proofErr w:type="spellEnd"/>
      <w:r w:rsidRPr="00323D0B">
        <w:rPr>
          <w:rFonts w:ascii="Simplified Arabic" w:hAnsi="Simplified Arabic" w:cs="Simplified Arabic"/>
          <w:sz w:val="24"/>
          <w:szCs w:val="24"/>
          <w:rtl/>
        </w:rPr>
        <w:t xml:space="preserve"> </w:t>
      </w:r>
    </w:p>
    <w:p w:rsidR="007D27F0" w:rsidRPr="007D27F0" w:rsidRDefault="007D27F0" w:rsidP="007D27F0">
      <w:pPr>
        <w:bidi/>
        <w:jc w:val="both"/>
        <w:rPr>
          <w:rFonts w:ascii="Simplified Arabic" w:hAnsi="Simplified Arabic" w:cs="Simplified Arabic"/>
          <w:sz w:val="16"/>
          <w:szCs w:val="16"/>
          <w:rtl/>
        </w:rPr>
      </w:pPr>
    </w:p>
    <w:p w:rsidR="007D27F0" w:rsidRPr="00323D0B" w:rsidRDefault="007D27F0" w:rsidP="007D27F0">
      <w:pPr>
        <w:bidi/>
        <w:spacing w:line="240" w:lineRule="auto"/>
        <w:jc w:val="both"/>
        <w:rPr>
          <w:rFonts w:ascii="Simplified Arabic" w:hAnsi="Simplified Arabic" w:cs="Simplified Arabic"/>
          <w:sz w:val="24"/>
          <w:szCs w:val="24"/>
          <w:rtl/>
        </w:rPr>
      </w:pPr>
      <w:r w:rsidRPr="00323D0B">
        <w:rPr>
          <w:rFonts w:ascii="Simplified Arabic" w:hAnsi="Simplified Arabic" w:cs="Simplified Arabic"/>
          <w:sz w:val="24"/>
          <w:szCs w:val="24"/>
          <w:rtl/>
        </w:rPr>
        <w:t xml:space="preserve">تركزت زيارات الوافدين في محافظة بيت لحم بنسبة </w:t>
      </w:r>
      <w:proofErr w:type="spellStart"/>
      <w:r w:rsidRPr="00323D0B">
        <w:rPr>
          <w:rFonts w:ascii="Simplified Arabic" w:hAnsi="Simplified Arabic" w:cs="Simplified Arabic"/>
          <w:sz w:val="24"/>
          <w:szCs w:val="24"/>
          <w:rtl/>
        </w:rPr>
        <w:t>30.8%</w:t>
      </w:r>
      <w:proofErr w:type="spellEnd"/>
      <w:r w:rsidRPr="00323D0B">
        <w:rPr>
          <w:rFonts w:ascii="Simplified Arabic" w:hAnsi="Simplified Arabic" w:cs="Simplified Arabic"/>
          <w:sz w:val="24"/>
          <w:szCs w:val="24"/>
          <w:rtl/>
        </w:rPr>
        <w:t xml:space="preserve"> يليها محافظة أريحا والأغوار بنسبة </w:t>
      </w:r>
      <w:proofErr w:type="spellStart"/>
      <w:r w:rsidRPr="00323D0B">
        <w:rPr>
          <w:rFonts w:ascii="Simplified Arabic" w:hAnsi="Simplified Arabic" w:cs="Simplified Arabic"/>
          <w:sz w:val="24"/>
          <w:szCs w:val="24"/>
          <w:rtl/>
        </w:rPr>
        <w:t>29.0%</w:t>
      </w:r>
      <w:proofErr w:type="spellEnd"/>
      <w:r w:rsidRPr="00323D0B">
        <w:rPr>
          <w:rFonts w:ascii="Simplified Arabic" w:hAnsi="Simplified Arabic" w:cs="Simplified Arabic"/>
          <w:sz w:val="24"/>
          <w:szCs w:val="24"/>
          <w:rtl/>
        </w:rPr>
        <w:t xml:space="preserve"> من مجموع الزيارات </w:t>
      </w:r>
      <w:proofErr w:type="spellStart"/>
      <w:r w:rsidRPr="00323D0B">
        <w:rPr>
          <w:rFonts w:ascii="Simplified Arabic" w:hAnsi="Simplified Arabic" w:cs="Simplified Arabic"/>
          <w:sz w:val="24"/>
          <w:szCs w:val="24"/>
          <w:rtl/>
        </w:rPr>
        <w:t>الوافدة،</w:t>
      </w:r>
      <w:proofErr w:type="spellEnd"/>
      <w:r w:rsidRPr="00323D0B">
        <w:rPr>
          <w:rFonts w:ascii="Simplified Arabic" w:hAnsi="Simplified Arabic" w:cs="Simplified Arabic"/>
          <w:sz w:val="24"/>
          <w:szCs w:val="24"/>
          <w:rtl/>
        </w:rPr>
        <w:t xml:space="preserve"> ثم محافظتي نابلس وجنين بنسبة </w:t>
      </w:r>
      <w:proofErr w:type="spellStart"/>
      <w:r w:rsidRPr="00323D0B">
        <w:rPr>
          <w:rFonts w:ascii="Simplified Arabic" w:hAnsi="Simplified Arabic" w:cs="Simplified Arabic"/>
          <w:sz w:val="24"/>
          <w:szCs w:val="24"/>
          <w:rtl/>
        </w:rPr>
        <w:t>15.6%</w:t>
      </w:r>
      <w:proofErr w:type="spellEnd"/>
      <w:r w:rsidRPr="00323D0B">
        <w:rPr>
          <w:rFonts w:ascii="Simplified Arabic" w:hAnsi="Simplified Arabic" w:cs="Simplified Arabic"/>
          <w:sz w:val="24"/>
          <w:szCs w:val="24"/>
          <w:rtl/>
        </w:rPr>
        <w:t xml:space="preserve"> و </w:t>
      </w:r>
      <w:proofErr w:type="spellStart"/>
      <w:r w:rsidRPr="00323D0B">
        <w:rPr>
          <w:rFonts w:ascii="Simplified Arabic" w:hAnsi="Simplified Arabic" w:cs="Simplified Arabic"/>
          <w:sz w:val="24"/>
          <w:szCs w:val="24"/>
          <w:rtl/>
        </w:rPr>
        <w:t>14.5%</w:t>
      </w:r>
      <w:proofErr w:type="spellEnd"/>
      <w:r w:rsidRPr="00323D0B">
        <w:rPr>
          <w:rFonts w:ascii="Simplified Arabic" w:hAnsi="Simplified Arabic" w:cs="Simplified Arabic"/>
          <w:sz w:val="24"/>
          <w:szCs w:val="24"/>
          <w:rtl/>
        </w:rPr>
        <w:t xml:space="preserve"> على التوالي.</w:t>
      </w:r>
    </w:p>
    <w:p w:rsidR="007D27F0" w:rsidRPr="007D27F0" w:rsidRDefault="007D27F0" w:rsidP="007D27F0">
      <w:pPr>
        <w:bidi/>
        <w:jc w:val="center"/>
        <w:rPr>
          <w:rFonts w:ascii="Simplified Arabic" w:hAnsi="Simplified Arabic" w:cs="Simplified Arabic"/>
          <w:b/>
          <w:bCs/>
          <w:sz w:val="16"/>
          <w:szCs w:val="16"/>
          <w:rtl/>
        </w:rPr>
      </w:pPr>
    </w:p>
    <w:p w:rsidR="007D27F0" w:rsidRPr="007D27F0" w:rsidRDefault="007D27F0" w:rsidP="007D27F0">
      <w:pPr>
        <w:bidi/>
        <w:jc w:val="center"/>
        <w:rPr>
          <w:rFonts w:ascii="Simplified Arabic" w:hAnsi="Simplified Arabic" w:cs="Simplified Arabic"/>
          <w:sz w:val="25"/>
          <w:szCs w:val="25"/>
          <w:rtl/>
        </w:rPr>
      </w:pPr>
      <w:r w:rsidRPr="007D27F0">
        <w:rPr>
          <w:rFonts w:ascii="Simplified Arabic" w:hAnsi="Simplified Arabic" w:cs="Simplified Arabic"/>
          <w:b/>
          <w:bCs/>
          <w:sz w:val="25"/>
          <w:szCs w:val="25"/>
          <w:rtl/>
        </w:rPr>
        <w:t>عدد زيارات الوافدين خلال النصف الأول من الأعوام (2009-2017</w:t>
      </w:r>
      <w:proofErr w:type="spellStart"/>
      <w:r w:rsidRPr="007D27F0">
        <w:rPr>
          <w:rFonts w:ascii="Simplified Arabic" w:hAnsi="Simplified Arabic" w:cs="Simplified Arabic"/>
          <w:b/>
          <w:bCs/>
          <w:sz w:val="25"/>
          <w:szCs w:val="25"/>
          <w:rtl/>
        </w:rPr>
        <w:t>)</w:t>
      </w:r>
      <w:proofErr w:type="spellEnd"/>
    </w:p>
    <w:p w:rsidR="007D27F0" w:rsidRPr="00323D0B" w:rsidRDefault="007D27F0" w:rsidP="007D27F0">
      <w:pPr>
        <w:bidi/>
        <w:jc w:val="center"/>
        <w:rPr>
          <w:rFonts w:ascii="Simplified Arabic" w:hAnsi="Simplified Arabic" w:cs="Simplified Arabic"/>
          <w:sz w:val="18"/>
          <w:szCs w:val="18"/>
          <w:rtl/>
        </w:rPr>
      </w:pPr>
      <w:r w:rsidRPr="00323D0B">
        <w:rPr>
          <w:rFonts w:ascii="Simplified Arabic" w:hAnsi="Simplified Arabic" w:cs="Simplified Arabic"/>
          <w:noProof/>
          <w:sz w:val="18"/>
          <w:szCs w:val="18"/>
          <w:rtl/>
          <w:lang w:eastAsia="en-US"/>
        </w:rPr>
        <w:drawing>
          <wp:inline distT="0" distB="0" distL="0" distR="0">
            <wp:extent cx="2806700" cy="1809750"/>
            <wp:effectExtent l="19050" t="0" r="1270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D27F0" w:rsidRPr="007D27F0" w:rsidRDefault="007D27F0" w:rsidP="007D27F0">
      <w:pPr>
        <w:bidi/>
        <w:jc w:val="both"/>
        <w:rPr>
          <w:rFonts w:ascii="Simplified Arabic" w:hAnsi="Simplified Arabic" w:cs="Simplified Arabic"/>
          <w:sz w:val="16"/>
          <w:szCs w:val="16"/>
          <w:rtl/>
        </w:rPr>
      </w:pPr>
    </w:p>
    <w:p w:rsidR="007D27F0" w:rsidRDefault="007D27F0" w:rsidP="007D27F0">
      <w:pPr>
        <w:bidi/>
        <w:jc w:val="both"/>
        <w:rPr>
          <w:rFonts w:ascii="Simplified Arabic" w:hAnsi="Simplified Arabic" w:cs="Simplified Arabic" w:hint="cs"/>
          <w:b/>
          <w:bCs/>
          <w:sz w:val="25"/>
          <w:szCs w:val="25"/>
          <w:rtl/>
        </w:rPr>
      </w:pPr>
    </w:p>
    <w:p w:rsidR="007D27F0" w:rsidRDefault="007D27F0" w:rsidP="007D27F0">
      <w:pPr>
        <w:bidi/>
        <w:jc w:val="both"/>
        <w:rPr>
          <w:rFonts w:ascii="Simplified Arabic" w:hAnsi="Simplified Arabic" w:cs="Simplified Arabic" w:hint="cs"/>
          <w:b/>
          <w:bCs/>
          <w:sz w:val="25"/>
          <w:szCs w:val="25"/>
          <w:rtl/>
        </w:rPr>
      </w:pPr>
    </w:p>
    <w:p w:rsidR="007D27F0" w:rsidRDefault="007D27F0" w:rsidP="007D27F0">
      <w:pPr>
        <w:bidi/>
        <w:jc w:val="both"/>
        <w:rPr>
          <w:rFonts w:ascii="Simplified Arabic" w:hAnsi="Simplified Arabic" w:cs="Simplified Arabic" w:hint="cs"/>
          <w:b/>
          <w:bCs/>
          <w:sz w:val="25"/>
          <w:szCs w:val="25"/>
          <w:rtl/>
        </w:rPr>
      </w:pPr>
    </w:p>
    <w:p w:rsidR="007D27F0" w:rsidRDefault="007D27F0" w:rsidP="007D27F0">
      <w:pPr>
        <w:bidi/>
        <w:jc w:val="both"/>
        <w:rPr>
          <w:rFonts w:ascii="Simplified Arabic" w:hAnsi="Simplified Arabic" w:cs="Simplified Arabic" w:hint="cs"/>
          <w:b/>
          <w:bCs/>
          <w:sz w:val="25"/>
          <w:szCs w:val="25"/>
          <w:rtl/>
        </w:rPr>
      </w:pPr>
    </w:p>
    <w:p w:rsidR="007D27F0" w:rsidRDefault="007D27F0" w:rsidP="005961F2">
      <w:pPr>
        <w:bidi/>
        <w:spacing w:line="240" w:lineRule="auto"/>
        <w:jc w:val="both"/>
        <w:rPr>
          <w:rFonts w:ascii="Simplified Arabic" w:hAnsi="Simplified Arabic" w:cs="Simplified Arabic" w:hint="cs"/>
          <w:b/>
          <w:bCs/>
          <w:sz w:val="25"/>
          <w:szCs w:val="25"/>
          <w:rtl/>
        </w:rPr>
      </w:pPr>
    </w:p>
    <w:p w:rsidR="007D27F0" w:rsidRPr="007D27F0" w:rsidRDefault="007D27F0" w:rsidP="005961F2">
      <w:pPr>
        <w:bidi/>
        <w:spacing w:line="240" w:lineRule="auto"/>
        <w:jc w:val="both"/>
        <w:rPr>
          <w:rFonts w:ascii="Simplified Arabic" w:hAnsi="Simplified Arabic" w:cs="Simplified Arabic"/>
          <w:b/>
          <w:bCs/>
          <w:sz w:val="25"/>
          <w:szCs w:val="25"/>
          <w:rtl/>
        </w:rPr>
      </w:pPr>
      <w:r>
        <w:rPr>
          <w:rFonts w:ascii="Simplified Arabic" w:hAnsi="Simplified Arabic" w:cs="Simplified Arabic" w:hint="cs"/>
          <w:b/>
          <w:bCs/>
          <w:sz w:val="25"/>
          <w:szCs w:val="25"/>
          <w:rtl/>
        </w:rPr>
        <w:t>أ</w:t>
      </w:r>
      <w:r w:rsidRPr="007D27F0">
        <w:rPr>
          <w:rFonts w:ascii="Simplified Arabic" w:hAnsi="Simplified Arabic" w:cs="Simplified Arabic"/>
          <w:b/>
          <w:bCs/>
          <w:sz w:val="25"/>
          <w:szCs w:val="25"/>
          <w:rtl/>
        </w:rPr>
        <w:t>كثر من نصف الزيارات الوافدة كانت من فلسطينيي الاراضي المحتلة عام 1948</w:t>
      </w:r>
    </w:p>
    <w:p w:rsidR="007D27F0" w:rsidRPr="00323D0B" w:rsidRDefault="007D27F0" w:rsidP="005961F2">
      <w:pPr>
        <w:bidi/>
        <w:spacing w:line="240" w:lineRule="auto"/>
        <w:jc w:val="both"/>
        <w:rPr>
          <w:rFonts w:ascii="Simplified Arabic" w:hAnsi="Simplified Arabic" w:cs="Simplified Arabic"/>
          <w:b/>
          <w:bCs/>
          <w:sz w:val="14"/>
          <w:szCs w:val="14"/>
          <w:rtl/>
        </w:rPr>
      </w:pPr>
      <w:r w:rsidRPr="00323D0B">
        <w:rPr>
          <w:rFonts w:ascii="Simplified Arabic" w:hAnsi="Simplified Arabic" w:cs="Simplified Arabic"/>
          <w:sz w:val="24"/>
          <w:szCs w:val="24"/>
          <w:rtl/>
        </w:rPr>
        <w:t xml:space="preserve">فيما يتعلق بأبرز جنسيات الزوار </w:t>
      </w:r>
      <w:proofErr w:type="spellStart"/>
      <w:r w:rsidRPr="00323D0B">
        <w:rPr>
          <w:rFonts w:ascii="Simplified Arabic" w:hAnsi="Simplified Arabic" w:cs="Simplified Arabic"/>
          <w:sz w:val="24"/>
          <w:szCs w:val="24"/>
          <w:rtl/>
        </w:rPr>
        <w:t>الوافدين،</w:t>
      </w:r>
      <w:proofErr w:type="spellEnd"/>
      <w:r w:rsidRPr="00323D0B">
        <w:rPr>
          <w:rFonts w:ascii="Simplified Arabic" w:hAnsi="Simplified Arabic" w:cs="Simplified Arabic"/>
          <w:sz w:val="24"/>
          <w:szCs w:val="24"/>
          <w:rtl/>
        </w:rPr>
        <w:t xml:space="preserve"> فقد كان للزوار الفلسطينيين المقيمين في الأراضي المحتلة عام 1948 النصيب الأكبر من الزيارات الوافدة بنسبة </w:t>
      </w:r>
      <w:proofErr w:type="spellStart"/>
      <w:r w:rsidRPr="00323D0B">
        <w:rPr>
          <w:rFonts w:ascii="Simplified Arabic" w:hAnsi="Simplified Arabic" w:cs="Simplified Arabic"/>
          <w:sz w:val="24"/>
          <w:szCs w:val="24"/>
          <w:rtl/>
        </w:rPr>
        <w:t>55.6%</w:t>
      </w:r>
      <w:proofErr w:type="spellEnd"/>
      <w:r w:rsidRPr="00323D0B">
        <w:rPr>
          <w:rFonts w:ascii="Simplified Arabic" w:hAnsi="Simplified Arabic" w:cs="Simplified Arabic"/>
          <w:sz w:val="24"/>
          <w:szCs w:val="24"/>
          <w:rtl/>
        </w:rPr>
        <w:t xml:space="preserve"> وبعدد 778 الف </w:t>
      </w:r>
      <w:proofErr w:type="spellStart"/>
      <w:r w:rsidRPr="00323D0B">
        <w:rPr>
          <w:rFonts w:ascii="Simplified Arabic" w:hAnsi="Simplified Arabic" w:cs="Simplified Arabic"/>
          <w:sz w:val="24"/>
          <w:szCs w:val="24"/>
          <w:rtl/>
        </w:rPr>
        <w:t>زيارة،</w:t>
      </w:r>
      <w:proofErr w:type="spellEnd"/>
      <w:r w:rsidRPr="00323D0B">
        <w:rPr>
          <w:rFonts w:ascii="Simplified Arabic" w:hAnsi="Simplified Arabic" w:cs="Simplified Arabic"/>
          <w:sz w:val="24"/>
          <w:szCs w:val="24"/>
          <w:rtl/>
        </w:rPr>
        <w:t xml:space="preserve"> يليها القادمون من روسيا الاتحادية بنسبة </w:t>
      </w:r>
      <w:proofErr w:type="spellStart"/>
      <w:r w:rsidRPr="00323D0B">
        <w:rPr>
          <w:rFonts w:ascii="Simplified Arabic" w:hAnsi="Simplified Arabic" w:cs="Simplified Arabic"/>
          <w:sz w:val="24"/>
          <w:szCs w:val="24"/>
          <w:rtl/>
        </w:rPr>
        <w:t>بنسبة</w:t>
      </w:r>
      <w:proofErr w:type="spellEnd"/>
      <w:r w:rsidRPr="00323D0B">
        <w:rPr>
          <w:rFonts w:ascii="Simplified Arabic" w:hAnsi="Simplified Arabic" w:cs="Simplified Arabic"/>
          <w:sz w:val="24"/>
          <w:szCs w:val="24"/>
          <w:rtl/>
        </w:rPr>
        <w:t xml:space="preserve"> </w:t>
      </w:r>
      <w:proofErr w:type="spellStart"/>
      <w:r w:rsidRPr="00323D0B">
        <w:rPr>
          <w:rFonts w:ascii="Simplified Arabic" w:hAnsi="Simplified Arabic" w:cs="Simplified Arabic"/>
          <w:sz w:val="24"/>
          <w:szCs w:val="24"/>
          <w:rtl/>
        </w:rPr>
        <w:t>7.2%</w:t>
      </w:r>
      <w:proofErr w:type="spellEnd"/>
      <w:r w:rsidRPr="00323D0B">
        <w:rPr>
          <w:rFonts w:ascii="Simplified Arabic" w:hAnsi="Simplified Arabic" w:cs="Simplified Arabic"/>
          <w:sz w:val="24"/>
          <w:szCs w:val="24"/>
          <w:rtl/>
        </w:rPr>
        <w:t xml:space="preserve"> وبعدد 100 الف </w:t>
      </w:r>
      <w:proofErr w:type="spellStart"/>
      <w:r w:rsidRPr="00323D0B">
        <w:rPr>
          <w:rFonts w:ascii="Simplified Arabic" w:hAnsi="Simplified Arabic" w:cs="Simplified Arabic"/>
          <w:sz w:val="24"/>
          <w:szCs w:val="24"/>
          <w:rtl/>
        </w:rPr>
        <w:t>زيارة،</w:t>
      </w:r>
      <w:proofErr w:type="spellEnd"/>
      <w:r w:rsidRPr="00323D0B">
        <w:rPr>
          <w:rFonts w:ascii="Simplified Arabic" w:hAnsi="Simplified Arabic" w:cs="Simplified Arabic"/>
          <w:sz w:val="24"/>
          <w:szCs w:val="24"/>
          <w:rtl/>
        </w:rPr>
        <w:t xml:space="preserve"> ثم الولايات المتحدة الأمريكية بنسبة </w:t>
      </w:r>
      <w:proofErr w:type="spellStart"/>
      <w:r w:rsidRPr="00323D0B">
        <w:rPr>
          <w:rFonts w:ascii="Simplified Arabic" w:hAnsi="Simplified Arabic" w:cs="Simplified Arabic"/>
          <w:sz w:val="24"/>
          <w:szCs w:val="24"/>
          <w:rtl/>
        </w:rPr>
        <w:t>5.8%</w:t>
      </w:r>
      <w:proofErr w:type="spellEnd"/>
      <w:r w:rsidRPr="00323D0B">
        <w:rPr>
          <w:rFonts w:ascii="Simplified Arabic" w:hAnsi="Simplified Arabic" w:cs="Simplified Arabic"/>
          <w:sz w:val="24"/>
          <w:szCs w:val="24"/>
          <w:rtl/>
        </w:rPr>
        <w:t xml:space="preserve"> وبعدد 82 الف </w:t>
      </w:r>
      <w:proofErr w:type="spellStart"/>
      <w:r w:rsidRPr="00323D0B">
        <w:rPr>
          <w:rFonts w:ascii="Simplified Arabic" w:hAnsi="Simplified Arabic" w:cs="Simplified Arabic"/>
          <w:sz w:val="24"/>
          <w:szCs w:val="24"/>
          <w:rtl/>
        </w:rPr>
        <w:t>زيارة،</w:t>
      </w:r>
      <w:proofErr w:type="spellEnd"/>
      <w:r w:rsidRPr="00323D0B">
        <w:rPr>
          <w:rFonts w:ascii="Simplified Arabic" w:hAnsi="Simplified Arabic" w:cs="Simplified Arabic"/>
          <w:sz w:val="24"/>
          <w:szCs w:val="24"/>
          <w:rtl/>
        </w:rPr>
        <w:t xml:space="preserve"> ثم رومانيا بنسبة </w:t>
      </w:r>
      <w:proofErr w:type="spellStart"/>
      <w:r w:rsidRPr="00323D0B">
        <w:rPr>
          <w:rFonts w:ascii="Simplified Arabic" w:hAnsi="Simplified Arabic" w:cs="Simplified Arabic"/>
          <w:sz w:val="24"/>
          <w:szCs w:val="24"/>
          <w:rtl/>
        </w:rPr>
        <w:t>2.4%</w:t>
      </w:r>
      <w:proofErr w:type="spellEnd"/>
      <w:r w:rsidRPr="00323D0B">
        <w:rPr>
          <w:rFonts w:ascii="Simplified Arabic" w:hAnsi="Simplified Arabic" w:cs="Simplified Arabic"/>
          <w:sz w:val="24"/>
          <w:szCs w:val="24"/>
          <w:rtl/>
        </w:rPr>
        <w:t xml:space="preserve"> وبعدد 33 الف </w:t>
      </w:r>
      <w:proofErr w:type="spellStart"/>
      <w:r w:rsidRPr="00323D0B">
        <w:rPr>
          <w:rFonts w:ascii="Simplified Arabic" w:hAnsi="Simplified Arabic" w:cs="Simplified Arabic"/>
          <w:sz w:val="24"/>
          <w:szCs w:val="24"/>
          <w:rtl/>
        </w:rPr>
        <w:t>زيارة،</w:t>
      </w:r>
      <w:proofErr w:type="spellEnd"/>
      <w:r w:rsidRPr="00323D0B">
        <w:rPr>
          <w:rFonts w:ascii="Simplified Arabic" w:hAnsi="Simplified Arabic" w:cs="Simplified Arabic"/>
          <w:sz w:val="24"/>
          <w:szCs w:val="24"/>
          <w:rtl/>
        </w:rPr>
        <w:t xml:space="preserve"> والهند بنسبة </w:t>
      </w:r>
      <w:proofErr w:type="spellStart"/>
      <w:r w:rsidRPr="00323D0B">
        <w:rPr>
          <w:rFonts w:ascii="Simplified Arabic" w:hAnsi="Simplified Arabic" w:cs="Simplified Arabic"/>
          <w:sz w:val="24"/>
          <w:szCs w:val="24"/>
          <w:rtl/>
        </w:rPr>
        <w:t>2.2%</w:t>
      </w:r>
      <w:proofErr w:type="spellEnd"/>
      <w:r w:rsidRPr="00323D0B">
        <w:rPr>
          <w:rFonts w:ascii="Simplified Arabic" w:hAnsi="Simplified Arabic" w:cs="Simplified Arabic"/>
          <w:sz w:val="24"/>
          <w:szCs w:val="24"/>
          <w:rtl/>
        </w:rPr>
        <w:t xml:space="preserve"> بعدد 31 الف </w:t>
      </w:r>
      <w:proofErr w:type="spellStart"/>
      <w:r w:rsidRPr="00323D0B">
        <w:rPr>
          <w:rFonts w:ascii="Simplified Arabic" w:hAnsi="Simplified Arabic" w:cs="Simplified Arabic"/>
          <w:sz w:val="24"/>
          <w:szCs w:val="24"/>
          <w:rtl/>
        </w:rPr>
        <w:t>زيارة،</w:t>
      </w:r>
      <w:proofErr w:type="spellEnd"/>
      <w:r w:rsidRPr="00323D0B">
        <w:rPr>
          <w:rFonts w:ascii="Simplified Arabic" w:hAnsi="Simplified Arabic" w:cs="Simplified Arabic"/>
          <w:sz w:val="24"/>
          <w:szCs w:val="24"/>
          <w:rtl/>
        </w:rPr>
        <w:t xml:space="preserve"> فيما توزعت </w:t>
      </w:r>
      <w:proofErr w:type="spellStart"/>
      <w:r w:rsidRPr="00323D0B">
        <w:rPr>
          <w:rFonts w:ascii="Simplified Arabic" w:hAnsi="Simplified Arabic" w:cs="Simplified Arabic"/>
          <w:sz w:val="24"/>
          <w:szCs w:val="24"/>
          <w:rtl/>
        </w:rPr>
        <w:t>26.8%</w:t>
      </w:r>
      <w:proofErr w:type="spellEnd"/>
      <w:r w:rsidRPr="00323D0B">
        <w:rPr>
          <w:rFonts w:ascii="Simplified Arabic" w:hAnsi="Simplified Arabic" w:cs="Simplified Arabic"/>
          <w:sz w:val="24"/>
          <w:szCs w:val="24"/>
          <w:rtl/>
        </w:rPr>
        <w:t xml:space="preserve"> من الزيارات الوافدة على بقية الجنسيات بعدد 376 الف زيارة.</w:t>
      </w:r>
    </w:p>
    <w:p w:rsidR="007D27F0" w:rsidRPr="007D27F0" w:rsidRDefault="007D27F0" w:rsidP="005961F2">
      <w:pPr>
        <w:bidi/>
        <w:spacing w:line="240" w:lineRule="auto"/>
        <w:jc w:val="both"/>
        <w:rPr>
          <w:rFonts w:ascii="Simplified Arabic" w:hAnsi="Simplified Arabic" w:cs="Simplified Arabic"/>
          <w:sz w:val="16"/>
          <w:szCs w:val="16"/>
          <w:rtl/>
        </w:rPr>
      </w:pPr>
    </w:p>
    <w:p w:rsidR="007D27F0" w:rsidRPr="00323D0B" w:rsidRDefault="007D27F0" w:rsidP="005961F2">
      <w:pPr>
        <w:bidi/>
        <w:spacing w:line="240" w:lineRule="auto"/>
        <w:jc w:val="both"/>
        <w:rPr>
          <w:rFonts w:ascii="Simplified Arabic" w:hAnsi="Simplified Arabic" w:cs="Simplified Arabic"/>
          <w:b/>
          <w:bCs/>
          <w:sz w:val="24"/>
          <w:szCs w:val="24"/>
          <w:rtl/>
        </w:rPr>
      </w:pPr>
      <w:r w:rsidRPr="00323D0B">
        <w:rPr>
          <w:rFonts w:ascii="Simplified Arabic" w:hAnsi="Simplified Arabic" w:cs="Simplified Arabic"/>
          <w:sz w:val="24"/>
          <w:szCs w:val="24"/>
          <w:rtl/>
        </w:rPr>
        <w:t>تجدر الإشارة إلى أن بيانات الزوار الوافدين والمحليين لا تشمل محافظة القدس وقطاع غزة.</w:t>
      </w:r>
    </w:p>
    <w:p w:rsidR="007D27F0" w:rsidRPr="007D27F0" w:rsidRDefault="007D27F0" w:rsidP="005961F2">
      <w:pPr>
        <w:bidi/>
        <w:spacing w:line="240" w:lineRule="auto"/>
        <w:jc w:val="both"/>
        <w:outlineLvl w:val="0"/>
        <w:rPr>
          <w:rFonts w:ascii="Simplified Arabic" w:hAnsi="Simplified Arabic" w:cs="Simplified Arabic"/>
          <w:b/>
          <w:bCs/>
          <w:sz w:val="16"/>
          <w:szCs w:val="16"/>
          <w:rtl/>
          <w:lang w:eastAsia="ar-SA"/>
        </w:rPr>
      </w:pPr>
    </w:p>
    <w:p w:rsidR="007D27F0" w:rsidRPr="007D27F0" w:rsidRDefault="007D27F0" w:rsidP="005961F2">
      <w:pPr>
        <w:bidi/>
        <w:spacing w:line="240" w:lineRule="auto"/>
        <w:jc w:val="both"/>
        <w:outlineLvl w:val="0"/>
        <w:rPr>
          <w:rFonts w:ascii="Simplified Arabic" w:hAnsi="Simplified Arabic" w:cs="Simplified Arabic"/>
          <w:b/>
          <w:bCs/>
          <w:sz w:val="25"/>
          <w:szCs w:val="25"/>
          <w:rtl/>
          <w:lang w:eastAsia="ar-SA"/>
        </w:rPr>
      </w:pPr>
      <w:r w:rsidRPr="007D27F0">
        <w:rPr>
          <w:rFonts w:ascii="Simplified Arabic" w:hAnsi="Simplified Arabic" w:cs="Simplified Arabic"/>
          <w:b/>
          <w:bCs/>
          <w:sz w:val="25"/>
          <w:szCs w:val="25"/>
          <w:rtl/>
          <w:lang w:eastAsia="ar-SA"/>
        </w:rPr>
        <w:t xml:space="preserve">حوالي 261 ألف نزيل في فنادق الضفة الغربية أقاموا 783 الف ليلة مبيت خلال النصف الأول من عام 2017 </w:t>
      </w:r>
    </w:p>
    <w:p w:rsidR="007D27F0" w:rsidRPr="00323D0B" w:rsidRDefault="007D27F0" w:rsidP="005961F2">
      <w:pPr>
        <w:bidi/>
        <w:spacing w:line="240" w:lineRule="auto"/>
        <w:jc w:val="both"/>
        <w:rPr>
          <w:rFonts w:ascii="Simplified Arabic" w:hAnsi="Simplified Arabic" w:cs="Simplified Arabic"/>
          <w:sz w:val="24"/>
          <w:szCs w:val="24"/>
          <w:rtl/>
        </w:rPr>
      </w:pPr>
      <w:r w:rsidRPr="00323D0B">
        <w:rPr>
          <w:rFonts w:ascii="Simplified Arabic" w:hAnsi="Simplified Arabic" w:cs="Simplified Arabic"/>
          <w:sz w:val="24"/>
          <w:szCs w:val="24"/>
          <w:rtl/>
        </w:rPr>
        <w:t>بلغ عدد النزلاء في فنادق الضفة الغربية خلال النصف الأول من العام 2017 نحو 868</w:t>
      </w:r>
      <w:r w:rsidRPr="00323D0B">
        <w:rPr>
          <w:rFonts w:ascii="Simplified Arabic" w:hAnsi="Simplified Arabic" w:cs="Simplified Arabic"/>
          <w:sz w:val="24"/>
          <w:szCs w:val="24"/>
        </w:rPr>
        <w:t>,</w:t>
      </w:r>
      <w:r w:rsidRPr="00323D0B">
        <w:rPr>
          <w:rFonts w:ascii="Simplified Arabic" w:hAnsi="Simplified Arabic" w:cs="Simplified Arabic"/>
          <w:sz w:val="24"/>
          <w:szCs w:val="24"/>
          <w:rtl/>
        </w:rPr>
        <w:t xml:space="preserve">260 نزيلاً أقاموا 782,756 ليلة </w:t>
      </w:r>
      <w:proofErr w:type="spellStart"/>
      <w:r w:rsidRPr="00323D0B">
        <w:rPr>
          <w:rFonts w:ascii="Simplified Arabic" w:hAnsi="Simplified Arabic" w:cs="Simplified Arabic"/>
          <w:sz w:val="24"/>
          <w:szCs w:val="24"/>
          <w:rtl/>
        </w:rPr>
        <w:t>مبيت،</w:t>
      </w:r>
      <w:proofErr w:type="spellEnd"/>
      <w:r w:rsidRPr="00323D0B">
        <w:rPr>
          <w:rFonts w:ascii="Simplified Arabic" w:hAnsi="Simplified Arabic" w:cs="Simplified Arabic"/>
          <w:sz w:val="24"/>
          <w:szCs w:val="24"/>
          <w:rtl/>
        </w:rPr>
        <w:t xml:space="preserve"> وبالمقارنة مع النصف الأول من العام </w:t>
      </w:r>
      <w:proofErr w:type="spellStart"/>
      <w:r w:rsidRPr="00323D0B">
        <w:rPr>
          <w:rFonts w:ascii="Simplified Arabic" w:hAnsi="Simplified Arabic" w:cs="Simplified Arabic"/>
          <w:sz w:val="24"/>
          <w:szCs w:val="24"/>
          <w:rtl/>
        </w:rPr>
        <w:t>2016،</w:t>
      </w:r>
      <w:proofErr w:type="spellEnd"/>
      <w:r w:rsidRPr="00323D0B">
        <w:rPr>
          <w:rFonts w:ascii="Simplified Arabic" w:hAnsi="Simplified Arabic" w:cs="Simplified Arabic"/>
          <w:sz w:val="24"/>
          <w:szCs w:val="24"/>
          <w:rtl/>
        </w:rPr>
        <w:t xml:space="preserve"> فقد ارتفع عدد النزلاء بنسبة </w:t>
      </w:r>
      <w:r w:rsidRPr="00323D0B">
        <w:rPr>
          <w:rFonts w:ascii="Simplified Arabic" w:hAnsi="Simplified Arabic" w:cs="Simplified Arabic"/>
          <w:sz w:val="24"/>
          <w:szCs w:val="24"/>
        </w:rPr>
        <w:t>34.6</w:t>
      </w:r>
      <w:proofErr w:type="spellStart"/>
      <w:r w:rsidRPr="00323D0B">
        <w:rPr>
          <w:rFonts w:ascii="Simplified Arabic" w:hAnsi="Simplified Arabic" w:cs="Simplified Arabic"/>
          <w:sz w:val="24"/>
          <w:szCs w:val="24"/>
          <w:rtl/>
        </w:rPr>
        <w:t>%.</w:t>
      </w:r>
      <w:proofErr w:type="spellEnd"/>
    </w:p>
    <w:p w:rsidR="007D27F0" w:rsidRPr="007D27F0" w:rsidRDefault="007D27F0" w:rsidP="005961F2">
      <w:pPr>
        <w:bidi/>
        <w:spacing w:line="240" w:lineRule="auto"/>
        <w:jc w:val="both"/>
        <w:rPr>
          <w:rFonts w:ascii="Simplified Arabic" w:hAnsi="Simplified Arabic" w:cs="Simplified Arabic"/>
          <w:sz w:val="16"/>
          <w:szCs w:val="16"/>
          <w:rtl/>
        </w:rPr>
      </w:pPr>
    </w:p>
    <w:tbl>
      <w:tblPr>
        <w:bidiVisual/>
        <w:tblW w:w="5621" w:type="dxa"/>
        <w:jc w:val="center"/>
        <w:tblInd w:w="-87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2196"/>
        <w:gridCol w:w="1734"/>
        <w:gridCol w:w="1691"/>
      </w:tblGrid>
      <w:tr w:rsidR="007D27F0" w:rsidRPr="007D27F0" w:rsidTr="005961F2">
        <w:trPr>
          <w:cantSplit/>
          <w:trHeight w:hRule="exact" w:val="779"/>
          <w:jc w:val="center"/>
        </w:trPr>
        <w:tc>
          <w:tcPr>
            <w:tcW w:w="5621" w:type="dxa"/>
            <w:gridSpan w:val="3"/>
            <w:shd w:val="clear" w:color="auto" w:fill="FFFFFF" w:themeFill="background1"/>
            <w:noWrap/>
            <w:vAlign w:val="center"/>
            <w:hideMark/>
          </w:tcPr>
          <w:p w:rsidR="005961F2" w:rsidRPr="005961F2" w:rsidRDefault="007D27F0" w:rsidP="005961F2">
            <w:pPr>
              <w:bidi/>
              <w:spacing w:line="240" w:lineRule="auto"/>
              <w:jc w:val="center"/>
              <w:rPr>
                <w:rFonts w:asciiTheme="majorBidi" w:hAnsiTheme="majorBidi" w:cstheme="majorBidi" w:hint="cs"/>
                <w:b/>
                <w:bCs/>
                <w:color w:val="auto"/>
                <w:sz w:val="25"/>
                <w:szCs w:val="25"/>
                <w:rtl/>
              </w:rPr>
            </w:pPr>
            <w:r w:rsidRPr="005961F2">
              <w:rPr>
                <w:rFonts w:asciiTheme="majorBidi" w:hAnsiTheme="majorBidi" w:cstheme="majorBidi"/>
                <w:b/>
                <w:bCs/>
                <w:color w:val="auto"/>
                <w:sz w:val="25"/>
                <w:szCs w:val="25"/>
                <w:rtl/>
              </w:rPr>
              <w:t xml:space="preserve">عدد نزلاء الفنادق حسب الجنسية خلال النصف الأول من العام </w:t>
            </w:r>
          </w:p>
          <w:p w:rsidR="007D27F0" w:rsidRPr="005961F2" w:rsidRDefault="007D27F0" w:rsidP="005961F2">
            <w:pPr>
              <w:bidi/>
              <w:spacing w:line="240" w:lineRule="auto"/>
              <w:jc w:val="center"/>
              <w:rPr>
                <w:rFonts w:asciiTheme="majorBidi" w:hAnsiTheme="majorBidi" w:cstheme="majorBidi"/>
                <w:b/>
                <w:bCs/>
                <w:color w:val="auto"/>
                <w:sz w:val="25"/>
                <w:szCs w:val="25"/>
                <w:rtl/>
              </w:rPr>
            </w:pPr>
            <w:r w:rsidRPr="005961F2">
              <w:rPr>
                <w:rFonts w:asciiTheme="majorBidi" w:hAnsiTheme="majorBidi" w:cstheme="majorBidi"/>
                <w:b/>
                <w:bCs/>
                <w:color w:val="auto"/>
                <w:sz w:val="25"/>
                <w:szCs w:val="25"/>
                <w:rtl/>
              </w:rPr>
              <w:t>(2016- 2017</w:t>
            </w:r>
            <w:proofErr w:type="spellStart"/>
            <w:r w:rsidRPr="005961F2">
              <w:rPr>
                <w:rFonts w:asciiTheme="majorBidi" w:hAnsiTheme="majorBidi" w:cstheme="majorBidi"/>
                <w:b/>
                <w:bCs/>
                <w:color w:val="auto"/>
                <w:sz w:val="25"/>
                <w:szCs w:val="25"/>
                <w:rtl/>
              </w:rPr>
              <w:t>)</w:t>
            </w:r>
            <w:proofErr w:type="spellEnd"/>
          </w:p>
          <w:p w:rsidR="007D27F0" w:rsidRPr="007D27F0" w:rsidRDefault="007D27F0" w:rsidP="005961F2">
            <w:pPr>
              <w:bidi/>
              <w:spacing w:line="240" w:lineRule="auto"/>
              <w:jc w:val="both"/>
              <w:rPr>
                <w:rFonts w:asciiTheme="majorBidi" w:hAnsiTheme="majorBidi" w:cstheme="majorBidi"/>
                <w:b/>
                <w:bCs/>
                <w:color w:val="auto"/>
                <w:sz w:val="24"/>
                <w:szCs w:val="24"/>
              </w:rPr>
            </w:pPr>
          </w:p>
        </w:tc>
      </w:tr>
      <w:tr w:rsidR="007D27F0" w:rsidRPr="007D27F0" w:rsidTr="005961F2">
        <w:trPr>
          <w:cantSplit/>
          <w:trHeight w:hRule="exact" w:val="289"/>
          <w:jc w:val="center"/>
        </w:trPr>
        <w:tc>
          <w:tcPr>
            <w:tcW w:w="2196" w:type="dxa"/>
            <w:tcBorders>
              <w:righ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tl/>
              </w:rPr>
            </w:pPr>
            <w:r w:rsidRPr="007D27F0">
              <w:rPr>
                <w:rFonts w:asciiTheme="majorBidi" w:hAnsiTheme="majorBidi" w:cstheme="majorBidi"/>
                <w:b/>
                <w:bCs/>
                <w:color w:val="auto"/>
                <w:sz w:val="24"/>
                <w:szCs w:val="24"/>
                <w:rtl/>
              </w:rPr>
              <w:t>الجنسية</w:t>
            </w:r>
          </w:p>
        </w:tc>
        <w:tc>
          <w:tcPr>
            <w:tcW w:w="1734" w:type="dxa"/>
            <w:tcBorders>
              <w:left w:val="single" w:sz="4" w:space="0" w:color="auto"/>
              <w:right w:val="single" w:sz="4" w:space="0" w:color="auto"/>
            </w:tcBorders>
            <w:shd w:val="clear" w:color="auto" w:fill="FFFFFF" w:themeFill="background1"/>
            <w:vAlign w:val="center"/>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2016</w:t>
            </w:r>
          </w:p>
        </w:tc>
        <w:tc>
          <w:tcPr>
            <w:tcW w:w="1691" w:type="dxa"/>
            <w:tcBorders>
              <w:lef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2017</w:t>
            </w:r>
          </w:p>
        </w:tc>
      </w:tr>
      <w:tr w:rsidR="007D27F0" w:rsidRPr="007D27F0" w:rsidTr="005961F2">
        <w:trPr>
          <w:cantSplit/>
          <w:trHeight w:hRule="exact" w:val="365"/>
          <w:jc w:val="center"/>
        </w:trPr>
        <w:tc>
          <w:tcPr>
            <w:tcW w:w="2196" w:type="dxa"/>
            <w:tcBorders>
              <w:righ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tl/>
              </w:rPr>
              <w:t>فلسطيني</w:t>
            </w:r>
          </w:p>
        </w:tc>
        <w:tc>
          <w:tcPr>
            <w:tcW w:w="1734" w:type="dxa"/>
            <w:tcBorders>
              <w:left w:val="single" w:sz="4" w:space="0" w:color="auto"/>
              <w:right w:val="single" w:sz="4" w:space="0" w:color="auto"/>
            </w:tcBorders>
            <w:shd w:val="clear" w:color="auto" w:fill="FFFFFF" w:themeFill="background1"/>
            <w:vAlign w:val="center"/>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21,991</w:t>
            </w:r>
          </w:p>
        </w:tc>
        <w:tc>
          <w:tcPr>
            <w:tcW w:w="1691" w:type="dxa"/>
            <w:tcBorders>
              <w:lef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20,961</w:t>
            </w:r>
          </w:p>
        </w:tc>
      </w:tr>
      <w:tr w:rsidR="007D27F0" w:rsidRPr="007D27F0" w:rsidTr="005961F2">
        <w:trPr>
          <w:cantSplit/>
          <w:trHeight w:hRule="exact" w:val="340"/>
          <w:jc w:val="center"/>
        </w:trPr>
        <w:tc>
          <w:tcPr>
            <w:tcW w:w="2196" w:type="dxa"/>
            <w:tcBorders>
              <w:righ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tl/>
              </w:rPr>
              <w:t>إسرائيلي</w:t>
            </w:r>
          </w:p>
        </w:tc>
        <w:tc>
          <w:tcPr>
            <w:tcW w:w="1734" w:type="dxa"/>
            <w:tcBorders>
              <w:left w:val="single" w:sz="4" w:space="0" w:color="auto"/>
              <w:right w:val="single" w:sz="4" w:space="0" w:color="auto"/>
            </w:tcBorders>
            <w:shd w:val="clear" w:color="auto" w:fill="FFFFFF" w:themeFill="background1"/>
            <w:vAlign w:val="center"/>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26,382</w:t>
            </w:r>
          </w:p>
          <w:p w:rsidR="007D27F0" w:rsidRPr="007D27F0" w:rsidRDefault="007D27F0" w:rsidP="005961F2">
            <w:pPr>
              <w:bidi/>
              <w:spacing w:line="240" w:lineRule="auto"/>
              <w:jc w:val="both"/>
              <w:rPr>
                <w:rFonts w:asciiTheme="majorBidi" w:hAnsiTheme="majorBidi" w:cstheme="majorBidi"/>
                <w:b/>
                <w:bCs/>
                <w:color w:val="auto"/>
                <w:sz w:val="24"/>
                <w:szCs w:val="24"/>
              </w:rPr>
            </w:pPr>
          </w:p>
          <w:p w:rsidR="007D27F0" w:rsidRPr="007D27F0" w:rsidRDefault="007D27F0" w:rsidP="005961F2">
            <w:pPr>
              <w:bidi/>
              <w:spacing w:line="240" w:lineRule="auto"/>
              <w:jc w:val="both"/>
              <w:rPr>
                <w:rFonts w:asciiTheme="majorBidi" w:hAnsiTheme="majorBidi" w:cstheme="majorBidi"/>
                <w:b/>
                <w:bCs/>
                <w:color w:val="auto"/>
                <w:sz w:val="24"/>
                <w:szCs w:val="24"/>
              </w:rPr>
            </w:pPr>
          </w:p>
        </w:tc>
        <w:tc>
          <w:tcPr>
            <w:tcW w:w="1691" w:type="dxa"/>
            <w:tcBorders>
              <w:lef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33,873</w:t>
            </w:r>
          </w:p>
        </w:tc>
      </w:tr>
      <w:tr w:rsidR="007D27F0" w:rsidRPr="007D27F0" w:rsidTr="005961F2">
        <w:trPr>
          <w:cantSplit/>
          <w:trHeight w:hRule="exact" w:val="340"/>
          <w:jc w:val="center"/>
        </w:trPr>
        <w:tc>
          <w:tcPr>
            <w:tcW w:w="2196" w:type="dxa"/>
            <w:tcBorders>
              <w:righ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tl/>
              </w:rPr>
              <w:t>آسيا</w:t>
            </w:r>
          </w:p>
        </w:tc>
        <w:tc>
          <w:tcPr>
            <w:tcW w:w="1734" w:type="dxa"/>
            <w:tcBorders>
              <w:left w:val="single" w:sz="4" w:space="0" w:color="auto"/>
              <w:right w:val="single" w:sz="4" w:space="0" w:color="auto"/>
            </w:tcBorders>
            <w:shd w:val="clear" w:color="auto" w:fill="FFFFFF" w:themeFill="background1"/>
            <w:vAlign w:val="center"/>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37,211</w:t>
            </w:r>
          </w:p>
          <w:p w:rsidR="007D27F0" w:rsidRPr="007D27F0" w:rsidRDefault="007D27F0" w:rsidP="005961F2">
            <w:pPr>
              <w:bidi/>
              <w:spacing w:line="240" w:lineRule="auto"/>
              <w:jc w:val="both"/>
              <w:rPr>
                <w:rFonts w:asciiTheme="majorBidi" w:hAnsiTheme="majorBidi" w:cstheme="majorBidi"/>
                <w:b/>
                <w:bCs/>
                <w:color w:val="auto"/>
                <w:sz w:val="24"/>
                <w:szCs w:val="24"/>
              </w:rPr>
            </w:pPr>
          </w:p>
        </w:tc>
        <w:tc>
          <w:tcPr>
            <w:tcW w:w="1691" w:type="dxa"/>
            <w:tcBorders>
              <w:lef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54,496</w:t>
            </w:r>
          </w:p>
        </w:tc>
      </w:tr>
      <w:tr w:rsidR="007D27F0" w:rsidRPr="007D27F0" w:rsidTr="005961F2">
        <w:trPr>
          <w:cantSplit/>
          <w:trHeight w:hRule="exact" w:val="322"/>
          <w:jc w:val="center"/>
        </w:trPr>
        <w:tc>
          <w:tcPr>
            <w:tcW w:w="2196" w:type="dxa"/>
            <w:tcBorders>
              <w:righ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tl/>
              </w:rPr>
              <w:t>الولايات المتحدة وكندا</w:t>
            </w:r>
          </w:p>
        </w:tc>
        <w:tc>
          <w:tcPr>
            <w:tcW w:w="1734" w:type="dxa"/>
            <w:tcBorders>
              <w:left w:val="single" w:sz="4" w:space="0" w:color="auto"/>
              <w:right w:val="single" w:sz="4" w:space="0" w:color="auto"/>
            </w:tcBorders>
            <w:shd w:val="clear" w:color="auto" w:fill="FFFFFF" w:themeFill="background1"/>
            <w:vAlign w:val="center"/>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17,998</w:t>
            </w:r>
          </w:p>
          <w:p w:rsidR="007D27F0" w:rsidRPr="007D27F0" w:rsidRDefault="007D27F0" w:rsidP="005961F2">
            <w:pPr>
              <w:bidi/>
              <w:spacing w:line="240" w:lineRule="auto"/>
              <w:jc w:val="both"/>
              <w:rPr>
                <w:rFonts w:asciiTheme="majorBidi" w:hAnsiTheme="majorBidi" w:cstheme="majorBidi"/>
                <w:b/>
                <w:bCs/>
                <w:color w:val="auto"/>
                <w:sz w:val="24"/>
                <w:szCs w:val="24"/>
              </w:rPr>
            </w:pPr>
          </w:p>
        </w:tc>
        <w:tc>
          <w:tcPr>
            <w:tcW w:w="1691" w:type="dxa"/>
            <w:tcBorders>
              <w:lef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24,277</w:t>
            </w:r>
          </w:p>
        </w:tc>
      </w:tr>
      <w:tr w:rsidR="007D27F0" w:rsidRPr="007D27F0" w:rsidTr="005961F2">
        <w:trPr>
          <w:cantSplit/>
          <w:trHeight w:hRule="exact" w:val="340"/>
          <w:jc w:val="center"/>
        </w:trPr>
        <w:tc>
          <w:tcPr>
            <w:tcW w:w="2196" w:type="dxa"/>
            <w:tcBorders>
              <w:righ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tl/>
              </w:rPr>
              <w:t>الإتحاد الأوروبي</w:t>
            </w:r>
          </w:p>
        </w:tc>
        <w:tc>
          <w:tcPr>
            <w:tcW w:w="1734" w:type="dxa"/>
            <w:tcBorders>
              <w:left w:val="single" w:sz="4" w:space="0" w:color="auto"/>
              <w:right w:val="single" w:sz="4" w:space="0" w:color="auto"/>
            </w:tcBorders>
            <w:shd w:val="clear" w:color="auto" w:fill="FFFFFF" w:themeFill="background1"/>
            <w:vAlign w:val="center"/>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56,557</w:t>
            </w:r>
          </w:p>
          <w:p w:rsidR="007D27F0" w:rsidRPr="007D27F0" w:rsidRDefault="007D27F0" w:rsidP="005961F2">
            <w:pPr>
              <w:bidi/>
              <w:spacing w:line="240" w:lineRule="auto"/>
              <w:jc w:val="both"/>
              <w:rPr>
                <w:rFonts w:asciiTheme="majorBidi" w:hAnsiTheme="majorBidi" w:cstheme="majorBidi"/>
                <w:b/>
                <w:bCs/>
                <w:color w:val="auto"/>
                <w:sz w:val="24"/>
                <w:szCs w:val="24"/>
              </w:rPr>
            </w:pPr>
          </w:p>
        </w:tc>
        <w:tc>
          <w:tcPr>
            <w:tcW w:w="1691" w:type="dxa"/>
            <w:tcBorders>
              <w:lef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96,998</w:t>
            </w:r>
          </w:p>
        </w:tc>
      </w:tr>
      <w:tr w:rsidR="007D27F0" w:rsidRPr="007D27F0" w:rsidTr="005961F2">
        <w:trPr>
          <w:cantSplit/>
          <w:trHeight w:hRule="exact" w:val="340"/>
          <w:jc w:val="center"/>
        </w:trPr>
        <w:tc>
          <w:tcPr>
            <w:tcW w:w="2196" w:type="dxa"/>
            <w:tcBorders>
              <w:righ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tl/>
              </w:rPr>
              <w:t>دول أوروبا الأخرى</w:t>
            </w:r>
          </w:p>
        </w:tc>
        <w:tc>
          <w:tcPr>
            <w:tcW w:w="1734" w:type="dxa"/>
            <w:tcBorders>
              <w:left w:val="single" w:sz="4" w:space="0" w:color="auto"/>
              <w:right w:val="single" w:sz="4" w:space="0" w:color="auto"/>
            </w:tcBorders>
            <w:shd w:val="clear" w:color="auto" w:fill="FFFFFF" w:themeFill="background1"/>
            <w:vAlign w:val="center"/>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16,369</w:t>
            </w:r>
          </w:p>
          <w:p w:rsidR="007D27F0" w:rsidRPr="007D27F0" w:rsidRDefault="007D27F0" w:rsidP="005961F2">
            <w:pPr>
              <w:bidi/>
              <w:spacing w:line="240" w:lineRule="auto"/>
              <w:jc w:val="both"/>
              <w:rPr>
                <w:rFonts w:asciiTheme="majorBidi" w:hAnsiTheme="majorBidi" w:cstheme="majorBidi"/>
                <w:b/>
                <w:bCs/>
                <w:color w:val="auto"/>
                <w:sz w:val="24"/>
                <w:szCs w:val="24"/>
              </w:rPr>
            </w:pPr>
          </w:p>
        </w:tc>
        <w:tc>
          <w:tcPr>
            <w:tcW w:w="1691" w:type="dxa"/>
            <w:tcBorders>
              <w:lef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14,381</w:t>
            </w:r>
          </w:p>
        </w:tc>
      </w:tr>
      <w:tr w:rsidR="007D27F0" w:rsidRPr="007D27F0" w:rsidTr="005961F2">
        <w:trPr>
          <w:cantSplit/>
          <w:trHeight w:hRule="exact" w:val="340"/>
          <w:jc w:val="center"/>
        </w:trPr>
        <w:tc>
          <w:tcPr>
            <w:tcW w:w="2196" w:type="dxa"/>
            <w:tcBorders>
              <w:righ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tl/>
              </w:rPr>
            </w:pPr>
            <w:r w:rsidRPr="007D27F0">
              <w:rPr>
                <w:rFonts w:asciiTheme="majorBidi" w:hAnsiTheme="majorBidi" w:cstheme="majorBidi"/>
                <w:b/>
                <w:bCs/>
                <w:color w:val="auto"/>
                <w:sz w:val="24"/>
                <w:szCs w:val="24"/>
                <w:rtl/>
              </w:rPr>
              <w:t>دول أخرى</w:t>
            </w:r>
          </w:p>
        </w:tc>
        <w:tc>
          <w:tcPr>
            <w:tcW w:w="1734" w:type="dxa"/>
            <w:tcBorders>
              <w:left w:val="single" w:sz="4" w:space="0" w:color="auto"/>
              <w:right w:val="single" w:sz="4" w:space="0" w:color="auto"/>
            </w:tcBorders>
            <w:shd w:val="clear" w:color="auto" w:fill="FFFFFF" w:themeFill="background1"/>
            <w:vAlign w:val="center"/>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17,237</w:t>
            </w:r>
          </w:p>
        </w:tc>
        <w:tc>
          <w:tcPr>
            <w:tcW w:w="1691" w:type="dxa"/>
            <w:tcBorders>
              <w:lef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15,882</w:t>
            </w:r>
          </w:p>
        </w:tc>
      </w:tr>
      <w:tr w:rsidR="007D27F0" w:rsidRPr="007D27F0" w:rsidTr="005961F2">
        <w:trPr>
          <w:cantSplit/>
          <w:trHeight w:hRule="exact" w:val="340"/>
          <w:jc w:val="center"/>
        </w:trPr>
        <w:tc>
          <w:tcPr>
            <w:tcW w:w="2196" w:type="dxa"/>
            <w:tcBorders>
              <w:righ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tl/>
              </w:rPr>
            </w:pPr>
            <w:r w:rsidRPr="007D27F0">
              <w:rPr>
                <w:rFonts w:asciiTheme="majorBidi" w:hAnsiTheme="majorBidi" w:cstheme="majorBidi"/>
                <w:b/>
                <w:bCs/>
                <w:color w:val="auto"/>
                <w:sz w:val="24"/>
                <w:szCs w:val="24"/>
                <w:rtl/>
              </w:rPr>
              <w:t>المجموع</w:t>
            </w:r>
          </w:p>
        </w:tc>
        <w:tc>
          <w:tcPr>
            <w:tcW w:w="1734" w:type="dxa"/>
            <w:tcBorders>
              <w:left w:val="single" w:sz="4" w:space="0" w:color="auto"/>
              <w:right w:val="single" w:sz="4" w:space="0" w:color="auto"/>
            </w:tcBorders>
            <w:shd w:val="clear" w:color="auto" w:fill="FFFFFF" w:themeFill="background1"/>
            <w:vAlign w:val="center"/>
          </w:tcPr>
          <w:p w:rsidR="007D27F0" w:rsidRPr="007D27F0" w:rsidRDefault="007D27F0" w:rsidP="005961F2">
            <w:pPr>
              <w:bidi/>
              <w:spacing w:line="240" w:lineRule="auto"/>
              <w:jc w:val="both"/>
              <w:rPr>
                <w:rFonts w:asciiTheme="majorBidi" w:hAnsiTheme="majorBidi" w:cstheme="majorBidi"/>
                <w:b/>
                <w:bCs/>
                <w:color w:val="auto"/>
                <w:sz w:val="24"/>
                <w:szCs w:val="24"/>
                <w:rtl/>
              </w:rPr>
            </w:pPr>
            <w:r w:rsidRPr="007D27F0">
              <w:rPr>
                <w:rFonts w:asciiTheme="majorBidi" w:hAnsiTheme="majorBidi" w:cstheme="majorBidi"/>
                <w:b/>
                <w:bCs/>
                <w:color w:val="auto"/>
                <w:sz w:val="24"/>
                <w:szCs w:val="24"/>
              </w:rPr>
              <w:t>193,745</w:t>
            </w:r>
          </w:p>
        </w:tc>
        <w:tc>
          <w:tcPr>
            <w:tcW w:w="1691" w:type="dxa"/>
            <w:tcBorders>
              <w:left w:val="single" w:sz="4" w:space="0" w:color="auto"/>
            </w:tcBorders>
            <w:shd w:val="clear" w:color="auto" w:fill="FFFFFF" w:themeFill="background1"/>
            <w:noWrap/>
            <w:vAlign w:val="center"/>
            <w:hideMark/>
          </w:tcPr>
          <w:p w:rsidR="007D27F0" w:rsidRPr="007D27F0" w:rsidRDefault="007D27F0" w:rsidP="005961F2">
            <w:pPr>
              <w:bidi/>
              <w:spacing w:line="240" w:lineRule="auto"/>
              <w:jc w:val="both"/>
              <w:rPr>
                <w:rFonts w:asciiTheme="majorBidi" w:hAnsiTheme="majorBidi" w:cstheme="majorBidi"/>
                <w:b/>
                <w:bCs/>
                <w:color w:val="auto"/>
                <w:sz w:val="24"/>
                <w:szCs w:val="24"/>
              </w:rPr>
            </w:pPr>
            <w:r w:rsidRPr="007D27F0">
              <w:rPr>
                <w:rFonts w:asciiTheme="majorBidi" w:hAnsiTheme="majorBidi" w:cstheme="majorBidi"/>
                <w:b/>
                <w:bCs/>
                <w:color w:val="auto"/>
                <w:sz w:val="24"/>
                <w:szCs w:val="24"/>
              </w:rPr>
              <w:t>260,868</w:t>
            </w:r>
          </w:p>
        </w:tc>
      </w:tr>
    </w:tbl>
    <w:p w:rsidR="007D27F0" w:rsidRPr="005961F2" w:rsidRDefault="007D27F0" w:rsidP="005961F2">
      <w:pPr>
        <w:bidi/>
        <w:spacing w:line="240" w:lineRule="auto"/>
        <w:jc w:val="both"/>
        <w:rPr>
          <w:rFonts w:ascii="Simplified Arabic" w:hAnsi="Simplified Arabic" w:cs="Simplified Arabic"/>
          <w:sz w:val="16"/>
          <w:szCs w:val="16"/>
          <w:rtl/>
        </w:rPr>
      </w:pPr>
    </w:p>
    <w:p w:rsidR="007D27F0" w:rsidRPr="00323D0B" w:rsidRDefault="007D27F0" w:rsidP="005961F2">
      <w:pPr>
        <w:tabs>
          <w:tab w:val="right" w:pos="2410"/>
        </w:tabs>
        <w:bidi/>
        <w:spacing w:line="240" w:lineRule="auto"/>
        <w:jc w:val="both"/>
        <w:rPr>
          <w:rFonts w:ascii="Simplified Arabic" w:hAnsi="Simplified Arabic" w:cs="Simplified Arabic"/>
          <w:sz w:val="2"/>
          <w:szCs w:val="2"/>
          <w:rtl/>
        </w:rPr>
      </w:pPr>
    </w:p>
    <w:p w:rsidR="007D27F0" w:rsidRPr="00323D0B" w:rsidRDefault="007D27F0" w:rsidP="005961F2">
      <w:pPr>
        <w:tabs>
          <w:tab w:val="right" w:pos="2410"/>
        </w:tabs>
        <w:bidi/>
        <w:spacing w:line="240" w:lineRule="auto"/>
        <w:jc w:val="both"/>
        <w:rPr>
          <w:rFonts w:ascii="Simplified Arabic" w:hAnsi="Simplified Arabic" w:cs="Simplified Arabic"/>
          <w:sz w:val="24"/>
          <w:szCs w:val="24"/>
          <w:rtl/>
        </w:rPr>
      </w:pPr>
      <w:r w:rsidRPr="00323D0B">
        <w:rPr>
          <w:rFonts w:ascii="Simplified Arabic" w:hAnsi="Simplified Arabic" w:cs="Simplified Arabic"/>
          <w:sz w:val="24"/>
          <w:szCs w:val="24"/>
          <w:rtl/>
        </w:rPr>
        <w:t xml:space="preserve"> وقد تركز تواجد النزلاء في فنادق جنوب الضفة </w:t>
      </w:r>
      <w:proofErr w:type="spellStart"/>
      <w:r w:rsidRPr="00323D0B">
        <w:rPr>
          <w:rFonts w:ascii="Simplified Arabic" w:hAnsi="Simplified Arabic" w:cs="Simplified Arabic"/>
          <w:sz w:val="24"/>
          <w:szCs w:val="24"/>
          <w:rtl/>
        </w:rPr>
        <w:t>الغربية،</w:t>
      </w:r>
      <w:proofErr w:type="spellEnd"/>
      <w:r w:rsidRPr="00323D0B">
        <w:rPr>
          <w:rFonts w:ascii="Simplified Arabic" w:hAnsi="Simplified Arabic" w:cs="Simplified Arabic"/>
          <w:sz w:val="24"/>
          <w:szCs w:val="24"/>
          <w:rtl/>
        </w:rPr>
        <w:t xml:space="preserve"> حيث وصلت نسبتهم إلى </w:t>
      </w:r>
      <w:proofErr w:type="spellStart"/>
      <w:r w:rsidRPr="00323D0B">
        <w:rPr>
          <w:rFonts w:ascii="Simplified Arabic" w:hAnsi="Simplified Arabic" w:cs="Simplified Arabic"/>
          <w:sz w:val="24"/>
          <w:szCs w:val="24"/>
          <w:rtl/>
        </w:rPr>
        <w:t>56.7%</w:t>
      </w:r>
      <w:proofErr w:type="spellEnd"/>
      <w:r w:rsidRPr="00323D0B">
        <w:rPr>
          <w:rFonts w:ascii="Simplified Arabic" w:hAnsi="Simplified Arabic" w:cs="Simplified Arabic"/>
          <w:sz w:val="24"/>
          <w:szCs w:val="24"/>
          <w:rtl/>
        </w:rPr>
        <w:t xml:space="preserve"> من مجموع </w:t>
      </w:r>
      <w:proofErr w:type="spellStart"/>
      <w:r w:rsidRPr="00323D0B">
        <w:rPr>
          <w:rFonts w:ascii="Simplified Arabic" w:hAnsi="Simplified Arabic" w:cs="Simplified Arabic"/>
          <w:sz w:val="24"/>
          <w:szCs w:val="24"/>
          <w:rtl/>
        </w:rPr>
        <w:t>النزلاء،</w:t>
      </w:r>
      <w:proofErr w:type="spellEnd"/>
      <w:r w:rsidRPr="00323D0B">
        <w:rPr>
          <w:rFonts w:ascii="Simplified Arabic" w:hAnsi="Simplified Arabic" w:cs="Simplified Arabic"/>
          <w:sz w:val="24"/>
          <w:szCs w:val="24"/>
          <w:rtl/>
        </w:rPr>
        <w:t xml:space="preserve"> يليها فنادق محافظة القدس بنسبة </w:t>
      </w:r>
      <w:proofErr w:type="spellStart"/>
      <w:r w:rsidRPr="00323D0B">
        <w:rPr>
          <w:rFonts w:ascii="Simplified Arabic" w:hAnsi="Simplified Arabic" w:cs="Simplified Arabic"/>
          <w:sz w:val="24"/>
          <w:szCs w:val="24"/>
          <w:rtl/>
        </w:rPr>
        <w:t>22.5%،</w:t>
      </w:r>
      <w:proofErr w:type="spellEnd"/>
      <w:r w:rsidRPr="00323D0B">
        <w:rPr>
          <w:rFonts w:ascii="Simplified Arabic" w:hAnsi="Simplified Arabic" w:cs="Simplified Arabic"/>
          <w:sz w:val="24"/>
          <w:szCs w:val="24"/>
          <w:rtl/>
        </w:rPr>
        <w:t xml:space="preserve"> وفي وسط الضفة الغربية (محافظتي رام الله </w:t>
      </w:r>
      <w:proofErr w:type="spellStart"/>
      <w:r w:rsidRPr="00323D0B">
        <w:rPr>
          <w:rFonts w:ascii="Simplified Arabic" w:hAnsi="Simplified Arabic" w:cs="Simplified Arabic"/>
          <w:sz w:val="24"/>
          <w:szCs w:val="24"/>
          <w:rtl/>
        </w:rPr>
        <w:t>والبيرة،</w:t>
      </w:r>
      <w:proofErr w:type="spellEnd"/>
      <w:r w:rsidRPr="00323D0B">
        <w:rPr>
          <w:rFonts w:ascii="Simplified Arabic" w:hAnsi="Simplified Arabic" w:cs="Simplified Arabic"/>
          <w:sz w:val="24"/>
          <w:szCs w:val="24"/>
          <w:rtl/>
        </w:rPr>
        <w:t xml:space="preserve"> </w:t>
      </w:r>
      <w:proofErr w:type="spellStart"/>
      <w:r w:rsidRPr="00323D0B">
        <w:rPr>
          <w:rFonts w:ascii="Simplified Arabic" w:hAnsi="Simplified Arabic" w:cs="Simplified Arabic"/>
          <w:sz w:val="24"/>
          <w:szCs w:val="24"/>
          <w:rtl/>
        </w:rPr>
        <w:t>واريحا</w:t>
      </w:r>
      <w:proofErr w:type="spellEnd"/>
      <w:r w:rsidRPr="00323D0B">
        <w:rPr>
          <w:rFonts w:ascii="Simplified Arabic" w:hAnsi="Simplified Arabic" w:cs="Simplified Arabic"/>
          <w:sz w:val="24"/>
          <w:szCs w:val="24"/>
          <w:rtl/>
        </w:rPr>
        <w:t xml:space="preserve"> والأغوار</w:t>
      </w:r>
      <w:proofErr w:type="spellStart"/>
      <w:r w:rsidRPr="00323D0B">
        <w:rPr>
          <w:rFonts w:ascii="Simplified Arabic" w:hAnsi="Simplified Arabic" w:cs="Simplified Arabic"/>
          <w:sz w:val="24"/>
          <w:szCs w:val="24"/>
          <w:rtl/>
        </w:rPr>
        <w:t>)</w:t>
      </w:r>
      <w:proofErr w:type="spellEnd"/>
      <w:r w:rsidRPr="00323D0B">
        <w:rPr>
          <w:rFonts w:ascii="Simplified Arabic" w:hAnsi="Simplified Arabic" w:cs="Simplified Arabic"/>
          <w:sz w:val="24"/>
          <w:szCs w:val="24"/>
          <w:rtl/>
        </w:rPr>
        <w:t xml:space="preserve"> بلغت نسبتهم </w:t>
      </w:r>
      <w:proofErr w:type="spellStart"/>
      <w:r w:rsidRPr="00323D0B">
        <w:rPr>
          <w:rFonts w:ascii="Simplified Arabic" w:hAnsi="Simplified Arabic" w:cs="Simplified Arabic"/>
          <w:sz w:val="24"/>
          <w:szCs w:val="24"/>
          <w:rtl/>
        </w:rPr>
        <w:t>13.1%،</w:t>
      </w:r>
      <w:proofErr w:type="spellEnd"/>
      <w:r w:rsidRPr="00323D0B">
        <w:rPr>
          <w:rFonts w:ascii="Simplified Arabic" w:hAnsi="Simplified Arabic" w:cs="Simplified Arabic"/>
          <w:sz w:val="24"/>
          <w:szCs w:val="24"/>
          <w:rtl/>
        </w:rPr>
        <w:t xml:space="preserve"> في حين بلغت نسبة نزلاء الفنادق في شمال الضفة الغربية </w:t>
      </w:r>
      <w:proofErr w:type="spellStart"/>
      <w:r w:rsidRPr="00323D0B">
        <w:rPr>
          <w:rFonts w:ascii="Simplified Arabic" w:hAnsi="Simplified Arabic" w:cs="Simplified Arabic"/>
          <w:sz w:val="24"/>
          <w:szCs w:val="24"/>
          <w:rtl/>
        </w:rPr>
        <w:t>7.7%.</w:t>
      </w:r>
      <w:proofErr w:type="spellEnd"/>
    </w:p>
    <w:p w:rsidR="007D27F0" w:rsidRPr="007D27F0" w:rsidRDefault="007D27F0" w:rsidP="005961F2">
      <w:pPr>
        <w:tabs>
          <w:tab w:val="right" w:pos="2410"/>
        </w:tabs>
        <w:bidi/>
        <w:spacing w:line="240" w:lineRule="auto"/>
        <w:jc w:val="both"/>
        <w:rPr>
          <w:rFonts w:ascii="Simplified Arabic" w:hAnsi="Simplified Arabic" w:cs="Simplified Arabic"/>
          <w:sz w:val="16"/>
          <w:szCs w:val="16"/>
          <w:rtl/>
        </w:rPr>
      </w:pPr>
    </w:p>
    <w:p w:rsidR="007D27F0" w:rsidRPr="00323D0B" w:rsidRDefault="007D27F0" w:rsidP="005961F2">
      <w:pPr>
        <w:bidi/>
        <w:spacing w:line="240" w:lineRule="auto"/>
        <w:jc w:val="both"/>
        <w:rPr>
          <w:rFonts w:ascii="Simplified Arabic" w:hAnsi="Simplified Arabic" w:cs="Simplified Arabic"/>
          <w:sz w:val="24"/>
          <w:szCs w:val="24"/>
          <w:rtl/>
        </w:rPr>
      </w:pPr>
      <w:r w:rsidRPr="00323D0B">
        <w:rPr>
          <w:rFonts w:ascii="Simplified Arabic" w:hAnsi="Simplified Arabic" w:cs="Simplified Arabic"/>
          <w:sz w:val="24"/>
          <w:szCs w:val="24"/>
          <w:rtl/>
        </w:rPr>
        <w:t xml:space="preserve">بلغ عدد الفنادق العاملة في الضفة الغربية 125 فندقاً في شهر حزيران 2017 وبلغ عدد الغرف 7,202 </w:t>
      </w:r>
      <w:proofErr w:type="spellStart"/>
      <w:r w:rsidRPr="00323D0B">
        <w:rPr>
          <w:rFonts w:ascii="Simplified Arabic" w:hAnsi="Simplified Arabic" w:cs="Simplified Arabic"/>
          <w:sz w:val="24"/>
          <w:szCs w:val="24"/>
          <w:rtl/>
        </w:rPr>
        <w:t>غرفة،</w:t>
      </w:r>
      <w:proofErr w:type="spellEnd"/>
      <w:r w:rsidRPr="00323D0B">
        <w:rPr>
          <w:rFonts w:ascii="Simplified Arabic" w:hAnsi="Simplified Arabic" w:cs="Simplified Arabic"/>
          <w:sz w:val="24"/>
          <w:szCs w:val="24"/>
          <w:rtl/>
        </w:rPr>
        <w:t xml:space="preserve"> وعدد الاسرَّة 15,663 سريراً.</w:t>
      </w:r>
    </w:p>
    <w:p w:rsidR="007D27F0" w:rsidRDefault="007D27F0" w:rsidP="007D27F0">
      <w:pPr>
        <w:bidi/>
        <w:jc w:val="both"/>
        <w:rPr>
          <w:rFonts w:ascii="Simplified Arabic" w:hAnsi="Simplified Arabic" w:cs="Simplified Arabic" w:hint="cs"/>
          <w:sz w:val="16"/>
          <w:szCs w:val="16"/>
          <w:rtl/>
        </w:rPr>
      </w:pPr>
    </w:p>
    <w:p w:rsidR="005961F2" w:rsidRDefault="005961F2" w:rsidP="005961F2">
      <w:pPr>
        <w:bidi/>
        <w:jc w:val="both"/>
        <w:rPr>
          <w:rFonts w:ascii="Simplified Arabic" w:hAnsi="Simplified Arabic" w:cs="Simplified Arabic" w:hint="cs"/>
          <w:sz w:val="16"/>
          <w:szCs w:val="16"/>
          <w:rtl/>
        </w:rPr>
      </w:pPr>
    </w:p>
    <w:p w:rsidR="005961F2" w:rsidRDefault="005961F2" w:rsidP="005961F2">
      <w:pPr>
        <w:bidi/>
        <w:jc w:val="both"/>
        <w:rPr>
          <w:rFonts w:ascii="Simplified Arabic" w:hAnsi="Simplified Arabic" w:cs="Simplified Arabic" w:hint="cs"/>
          <w:sz w:val="16"/>
          <w:szCs w:val="16"/>
          <w:rtl/>
        </w:rPr>
      </w:pPr>
    </w:p>
    <w:p w:rsidR="005961F2" w:rsidRDefault="005961F2" w:rsidP="005961F2">
      <w:pPr>
        <w:bidi/>
        <w:jc w:val="both"/>
        <w:rPr>
          <w:rFonts w:ascii="Simplified Arabic" w:hAnsi="Simplified Arabic" w:cs="Simplified Arabic" w:hint="cs"/>
          <w:sz w:val="16"/>
          <w:szCs w:val="16"/>
          <w:rtl/>
        </w:rPr>
      </w:pPr>
    </w:p>
    <w:p w:rsidR="005961F2" w:rsidRDefault="005961F2" w:rsidP="005961F2">
      <w:pPr>
        <w:bidi/>
        <w:jc w:val="both"/>
        <w:rPr>
          <w:rFonts w:ascii="Simplified Arabic" w:hAnsi="Simplified Arabic" w:cs="Simplified Arabic" w:hint="cs"/>
          <w:sz w:val="16"/>
          <w:szCs w:val="16"/>
          <w:rtl/>
        </w:rPr>
      </w:pPr>
    </w:p>
    <w:p w:rsidR="005961F2" w:rsidRDefault="005961F2" w:rsidP="005961F2">
      <w:pPr>
        <w:bidi/>
        <w:jc w:val="both"/>
        <w:rPr>
          <w:rFonts w:ascii="Simplified Arabic" w:hAnsi="Simplified Arabic" w:cs="Simplified Arabic" w:hint="cs"/>
          <w:sz w:val="16"/>
          <w:szCs w:val="16"/>
          <w:rtl/>
        </w:rPr>
      </w:pPr>
    </w:p>
    <w:p w:rsidR="005961F2" w:rsidRDefault="005961F2" w:rsidP="005961F2">
      <w:pPr>
        <w:bidi/>
        <w:jc w:val="both"/>
        <w:rPr>
          <w:rFonts w:ascii="Simplified Arabic" w:hAnsi="Simplified Arabic" w:cs="Simplified Arabic" w:hint="cs"/>
          <w:sz w:val="16"/>
          <w:szCs w:val="16"/>
          <w:rtl/>
        </w:rPr>
      </w:pPr>
    </w:p>
    <w:p w:rsidR="005961F2" w:rsidRDefault="005961F2" w:rsidP="005961F2">
      <w:pPr>
        <w:bidi/>
        <w:jc w:val="both"/>
        <w:rPr>
          <w:rFonts w:ascii="Simplified Arabic" w:hAnsi="Simplified Arabic" w:cs="Simplified Arabic" w:hint="cs"/>
          <w:sz w:val="16"/>
          <w:szCs w:val="16"/>
          <w:rtl/>
        </w:rPr>
      </w:pPr>
    </w:p>
    <w:p w:rsidR="005961F2" w:rsidRDefault="005961F2" w:rsidP="005961F2">
      <w:pPr>
        <w:bidi/>
        <w:jc w:val="both"/>
        <w:rPr>
          <w:rFonts w:ascii="Simplified Arabic" w:hAnsi="Simplified Arabic" w:cs="Simplified Arabic" w:hint="cs"/>
          <w:sz w:val="16"/>
          <w:szCs w:val="16"/>
          <w:rtl/>
        </w:rPr>
      </w:pPr>
    </w:p>
    <w:p w:rsidR="005961F2" w:rsidRDefault="005961F2" w:rsidP="005961F2">
      <w:pPr>
        <w:bidi/>
        <w:jc w:val="both"/>
        <w:rPr>
          <w:rFonts w:ascii="Simplified Arabic" w:hAnsi="Simplified Arabic" w:cs="Simplified Arabic" w:hint="cs"/>
          <w:sz w:val="16"/>
          <w:szCs w:val="16"/>
          <w:rtl/>
        </w:rPr>
      </w:pPr>
    </w:p>
    <w:p w:rsidR="005961F2" w:rsidRDefault="005961F2" w:rsidP="005961F2">
      <w:pPr>
        <w:bidi/>
        <w:jc w:val="both"/>
        <w:rPr>
          <w:rFonts w:ascii="Simplified Arabic" w:hAnsi="Simplified Arabic" w:cs="Simplified Arabic" w:hint="cs"/>
          <w:sz w:val="16"/>
          <w:szCs w:val="16"/>
          <w:rtl/>
        </w:rPr>
      </w:pPr>
    </w:p>
    <w:p w:rsidR="005961F2" w:rsidRDefault="005961F2" w:rsidP="005961F2">
      <w:pPr>
        <w:bidi/>
        <w:jc w:val="both"/>
        <w:rPr>
          <w:rFonts w:ascii="Simplified Arabic" w:hAnsi="Simplified Arabic" w:cs="Simplified Arabic" w:hint="cs"/>
          <w:sz w:val="16"/>
          <w:szCs w:val="16"/>
          <w:rtl/>
        </w:rPr>
      </w:pPr>
    </w:p>
    <w:p w:rsidR="005961F2" w:rsidRDefault="005961F2" w:rsidP="005961F2">
      <w:pPr>
        <w:bidi/>
        <w:jc w:val="both"/>
        <w:rPr>
          <w:rFonts w:ascii="Simplified Arabic" w:hAnsi="Simplified Arabic" w:cs="Simplified Arabic" w:hint="cs"/>
          <w:sz w:val="16"/>
          <w:szCs w:val="16"/>
          <w:rtl/>
        </w:rPr>
      </w:pPr>
    </w:p>
    <w:p w:rsidR="005961F2" w:rsidRPr="007D27F0" w:rsidRDefault="005961F2" w:rsidP="005961F2">
      <w:pPr>
        <w:bidi/>
        <w:jc w:val="both"/>
        <w:rPr>
          <w:rFonts w:ascii="Simplified Arabic" w:hAnsi="Simplified Arabic" w:cs="Simplified Arabic"/>
          <w:sz w:val="16"/>
          <w:szCs w:val="16"/>
          <w:rtl/>
        </w:rPr>
      </w:pPr>
    </w:p>
    <w:p w:rsidR="007D27F0" w:rsidRPr="007D27F0" w:rsidRDefault="007D27F0" w:rsidP="005961F2">
      <w:pPr>
        <w:bidi/>
        <w:spacing w:line="240" w:lineRule="auto"/>
        <w:jc w:val="both"/>
        <w:rPr>
          <w:rFonts w:ascii="Simplified Arabic" w:hAnsi="Simplified Arabic" w:cs="Simplified Arabic"/>
          <w:b/>
          <w:bCs/>
          <w:sz w:val="25"/>
          <w:szCs w:val="25"/>
        </w:rPr>
      </w:pPr>
      <w:r w:rsidRPr="007D27F0">
        <w:rPr>
          <w:rFonts w:ascii="Simplified Arabic" w:hAnsi="Simplified Arabic" w:cs="Simplified Arabic"/>
          <w:b/>
          <w:bCs/>
          <w:sz w:val="25"/>
          <w:szCs w:val="25"/>
          <w:rtl/>
        </w:rPr>
        <w:t xml:space="preserve">يوجد 7,218 منشأة عاملة في القطاع السياحي في فلسطين خلال عام </w:t>
      </w:r>
      <w:proofErr w:type="spellStart"/>
      <w:r w:rsidRPr="007D27F0">
        <w:rPr>
          <w:rFonts w:ascii="Simplified Arabic" w:hAnsi="Simplified Arabic" w:cs="Simplified Arabic"/>
          <w:b/>
          <w:bCs/>
          <w:sz w:val="25"/>
          <w:szCs w:val="25"/>
          <w:rtl/>
        </w:rPr>
        <w:t>2015،</w:t>
      </w:r>
      <w:proofErr w:type="spellEnd"/>
      <w:r w:rsidRPr="007D27F0">
        <w:rPr>
          <w:rFonts w:ascii="Simplified Arabic" w:hAnsi="Simplified Arabic" w:cs="Simplified Arabic"/>
          <w:b/>
          <w:bCs/>
          <w:sz w:val="25"/>
          <w:szCs w:val="25"/>
          <w:rtl/>
        </w:rPr>
        <w:t xml:space="preserve"> تضم </w:t>
      </w:r>
      <w:proofErr w:type="spellStart"/>
      <w:r w:rsidRPr="007D27F0">
        <w:rPr>
          <w:rFonts w:ascii="Simplified Arabic" w:hAnsi="Simplified Arabic" w:cs="Simplified Arabic"/>
          <w:b/>
          <w:bCs/>
          <w:sz w:val="25"/>
          <w:szCs w:val="25"/>
          <w:rtl/>
        </w:rPr>
        <w:t>5.2%</w:t>
      </w:r>
      <w:proofErr w:type="spellEnd"/>
      <w:r w:rsidRPr="007D27F0">
        <w:rPr>
          <w:rFonts w:ascii="Simplified Arabic" w:hAnsi="Simplified Arabic" w:cs="Simplified Arabic"/>
          <w:b/>
          <w:bCs/>
          <w:sz w:val="25"/>
          <w:szCs w:val="25"/>
          <w:rtl/>
        </w:rPr>
        <w:t xml:space="preserve"> من العاملين في المنشآت الفلسطينية.</w:t>
      </w:r>
    </w:p>
    <w:p w:rsidR="007D27F0" w:rsidRPr="00323D0B" w:rsidRDefault="007D27F0" w:rsidP="007D27F0">
      <w:pPr>
        <w:pStyle w:val="Header"/>
        <w:tabs>
          <w:tab w:val="left" w:pos="720"/>
        </w:tabs>
        <w:bidi/>
        <w:ind w:left="-1"/>
        <w:jc w:val="both"/>
        <w:rPr>
          <w:rFonts w:ascii="Simplified Arabic" w:hAnsi="Simplified Arabic" w:cs="Simplified Arabic"/>
          <w:rtl/>
        </w:rPr>
      </w:pPr>
      <w:r w:rsidRPr="00323D0B">
        <w:rPr>
          <w:rFonts w:ascii="Simplified Arabic" w:hAnsi="Simplified Arabic" w:cs="Simplified Arabic"/>
          <w:rtl/>
        </w:rPr>
        <w:t>ما يقارب 218</w:t>
      </w:r>
      <w:r w:rsidRPr="00323D0B">
        <w:rPr>
          <w:rFonts w:ascii="Simplified Arabic" w:hAnsi="Simplified Arabic" w:cs="Simplified Arabic"/>
        </w:rPr>
        <w:t>,</w:t>
      </w:r>
      <w:r w:rsidRPr="00323D0B">
        <w:rPr>
          <w:rFonts w:ascii="Simplified Arabic" w:hAnsi="Simplified Arabic" w:cs="Simplified Arabic"/>
          <w:rtl/>
        </w:rPr>
        <w:t xml:space="preserve">7 منشأة عاملة في القطاع السياحي في فلسطين خلال عام 2015  </w:t>
      </w:r>
      <w:proofErr w:type="spellStart"/>
      <w:r w:rsidRPr="00323D0B">
        <w:rPr>
          <w:rFonts w:ascii="Simplified Arabic" w:hAnsi="Simplified Arabic" w:cs="Simplified Arabic"/>
          <w:rtl/>
        </w:rPr>
        <w:t>تشمل:</w:t>
      </w:r>
      <w:proofErr w:type="spellEnd"/>
      <w:r w:rsidRPr="00323D0B">
        <w:rPr>
          <w:rFonts w:ascii="Simplified Arabic" w:hAnsi="Simplified Arabic" w:cs="Simplified Arabic"/>
          <w:rtl/>
        </w:rPr>
        <w:t xml:space="preserve"> 3,685 منشأة عاملة في مجال أنشطة </w:t>
      </w:r>
      <w:proofErr w:type="spellStart"/>
      <w:r w:rsidRPr="00323D0B">
        <w:rPr>
          <w:rFonts w:ascii="Simplified Arabic" w:hAnsi="Simplified Arabic" w:cs="Simplified Arabic"/>
          <w:rtl/>
        </w:rPr>
        <w:t>المطاعم،</w:t>
      </w:r>
      <w:proofErr w:type="spellEnd"/>
      <w:r w:rsidRPr="00323D0B">
        <w:rPr>
          <w:rFonts w:ascii="Simplified Arabic" w:hAnsi="Simplified Arabic" w:cs="Simplified Arabic"/>
          <w:rtl/>
        </w:rPr>
        <w:t xml:space="preserve"> </w:t>
      </w:r>
      <w:proofErr w:type="spellStart"/>
      <w:r w:rsidRPr="00323D0B">
        <w:rPr>
          <w:rFonts w:ascii="Simplified Arabic" w:hAnsi="Simplified Arabic" w:cs="Simplified Arabic"/>
          <w:rtl/>
        </w:rPr>
        <w:t>و382</w:t>
      </w:r>
      <w:proofErr w:type="spellEnd"/>
      <w:r w:rsidRPr="00323D0B">
        <w:rPr>
          <w:rFonts w:ascii="Simplified Arabic" w:hAnsi="Simplified Arabic" w:cs="Simplified Arabic"/>
          <w:rtl/>
        </w:rPr>
        <w:t xml:space="preserve"> منشأة لبيع التحف والهدايا </w:t>
      </w:r>
      <w:proofErr w:type="spellStart"/>
      <w:r w:rsidRPr="00323D0B">
        <w:rPr>
          <w:rFonts w:ascii="Simplified Arabic" w:hAnsi="Simplified Arabic" w:cs="Simplified Arabic"/>
          <w:rtl/>
        </w:rPr>
        <w:t>التذكارية،</w:t>
      </w:r>
      <w:proofErr w:type="spellEnd"/>
      <w:r w:rsidRPr="00323D0B">
        <w:rPr>
          <w:rFonts w:ascii="Simplified Arabic" w:hAnsi="Simplified Arabic" w:cs="Simplified Arabic"/>
          <w:rtl/>
        </w:rPr>
        <w:t xml:space="preserve"> </w:t>
      </w:r>
      <w:proofErr w:type="spellStart"/>
      <w:r w:rsidRPr="00323D0B">
        <w:rPr>
          <w:rFonts w:ascii="Simplified Arabic" w:hAnsi="Simplified Arabic" w:cs="Simplified Arabic"/>
          <w:rtl/>
        </w:rPr>
        <w:t>و1</w:t>
      </w:r>
      <w:proofErr w:type="spellEnd"/>
      <w:r w:rsidRPr="00323D0B">
        <w:rPr>
          <w:rFonts w:ascii="Simplified Arabic" w:hAnsi="Simplified Arabic" w:cs="Simplified Arabic"/>
          <w:rtl/>
        </w:rPr>
        <w:t xml:space="preserve">,510 منشأة لتقديم </w:t>
      </w:r>
      <w:proofErr w:type="spellStart"/>
      <w:r w:rsidRPr="00323D0B">
        <w:rPr>
          <w:rFonts w:ascii="Simplified Arabic" w:hAnsi="Simplified Arabic" w:cs="Simplified Arabic"/>
          <w:rtl/>
        </w:rPr>
        <w:t>المشروبات،</w:t>
      </w:r>
      <w:proofErr w:type="spellEnd"/>
      <w:r w:rsidRPr="00323D0B">
        <w:rPr>
          <w:rFonts w:ascii="Simplified Arabic" w:hAnsi="Simplified Arabic" w:cs="Simplified Arabic"/>
          <w:rtl/>
        </w:rPr>
        <w:t xml:space="preserve"> </w:t>
      </w:r>
      <w:proofErr w:type="spellStart"/>
      <w:r w:rsidRPr="00323D0B">
        <w:rPr>
          <w:rFonts w:ascii="Simplified Arabic" w:hAnsi="Simplified Arabic" w:cs="Simplified Arabic"/>
          <w:rtl/>
        </w:rPr>
        <w:t>و210</w:t>
      </w:r>
      <w:proofErr w:type="spellEnd"/>
      <w:r w:rsidRPr="00323D0B">
        <w:rPr>
          <w:rFonts w:ascii="Simplified Arabic" w:hAnsi="Simplified Arabic" w:cs="Simplified Arabic"/>
          <w:rtl/>
        </w:rPr>
        <w:t xml:space="preserve"> منشأة عاملة في الصناعات التقليدية والتحف </w:t>
      </w:r>
      <w:proofErr w:type="spellStart"/>
      <w:r w:rsidRPr="00323D0B">
        <w:rPr>
          <w:rFonts w:ascii="Simplified Arabic" w:hAnsi="Simplified Arabic" w:cs="Simplified Arabic"/>
          <w:rtl/>
        </w:rPr>
        <w:t>الخشبية،</w:t>
      </w:r>
      <w:proofErr w:type="spellEnd"/>
      <w:r w:rsidRPr="00323D0B">
        <w:rPr>
          <w:rFonts w:ascii="Simplified Arabic" w:hAnsi="Simplified Arabic" w:cs="Simplified Arabic"/>
          <w:rtl/>
        </w:rPr>
        <w:t xml:space="preserve"> </w:t>
      </w:r>
      <w:proofErr w:type="spellStart"/>
      <w:r w:rsidRPr="00323D0B">
        <w:rPr>
          <w:rFonts w:ascii="Simplified Arabic" w:hAnsi="Simplified Arabic" w:cs="Simplified Arabic"/>
          <w:rtl/>
        </w:rPr>
        <w:t>و264</w:t>
      </w:r>
      <w:proofErr w:type="spellEnd"/>
      <w:r w:rsidRPr="00323D0B">
        <w:rPr>
          <w:rFonts w:ascii="Simplified Arabic" w:hAnsi="Simplified Arabic" w:cs="Simplified Arabic"/>
          <w:rtl/>
        </w:rPr>
        <w:t xml:space="preserve"> منشأة لتأجير المركبات اضافة الى 105 منشآت لتنظيم رحلات الحج </w:t>
      </w:r>
      <w:proofErr w:type="spellStart"/>
      <w:r w:rsidRPr="00323D0B">
        <w:rPr>
          <w:rFonts w:ascii="Simplified Arabic" w:hAnsi="Simplified Arabic" w:cs="Simplified Arabic"/>
          <w:rtl/>
        </w:rPr>
        <w:t>والعمرة،</w:t>
      </w:r>
      <w:proofErr w:type="spellEnd"/>
      <w:r w:rsidRPr="00323D0B">
        <w:rPr>
          <w:rFonts w:ascii="Simplified Arabic" w:hAnsi="Simplified Arabic" w:cs="Simplified Arabic"/>
          <w:rtl/>
        </w:rPr>
        <w:t xml:space="preserve"> </w:t>
      </w:r>
      <w:proofErr w:type="spellStart"/>
      <w:r w:rsidRPr="00323D0B">
        <w:rPr>
          <w:rFonts w:ascii="Simplified Arabic" w:hAnsi="Simplified Arabic" w:cs="Simplified Arabic"/>
          <w:rtl/>
        </w:rPr>
        <w:t>و106</w:t>
      </w:r>
      <w:proofErr w:type="spellEnd"/>
      <w:r w:rsidRPr="00323D0B">
        <w:rPr>
          <w:rFonts w:ascii="Simplified Arabic" w:hAnsi="Simplified Arabic" w:cs="Simplified Arabic"/>
          <w:rtl/>
        </w:rPr>
        <w:t xml:space="preserve"> منشآت عاملة في مجال أنشطة الإقامة قصيرة المدى (الفنادق</w:t>
      </w:r>
      <w:proofErr w:type="spellStart"/>
      <w:r w:rsidRPr="00323D0B">
        <w:rPr>
          <w:rFonts w:ascii="Simplified Arabic" w:hAnsi="Simplified Arabic" w:cs="Simplified Arabic"/>
          <w:rtl/>
        </w:rPr>
        <w:t>)،</w:t>
      </w:r>
      <w:proofErr w:type="spellEnd"/>
      <w:r w:rsidRPr="00323D0B">
        <w:rPr>
          <w:rFonts w:ascii="Simplified Arabic" w:hAnsi="Simplified Arabic" w:cs="Simplified Arabic"/>
          <w:rtl/>
        </w:rPr>
        <w:t xml:space="preserve"> </w:t>
      </w:r>
      <w:proofErr w:type="spellStart"/>
      <w:r w:rsidRPr="00323D0B">
        <w:rPr>
          <w:rFonts w:ascii="Simplified Arabic" w:hAnsi="Simplified Arabic" w:cs="Simplified Arabic"/>
          <w:rtl/>
        </w:rPr>
        <w:t>و107</w:t>
      </w:r>
      <w:proofErr w:type="spellEnd"/>
      <w:r w:rsidRPr="00323D0B">
        <w:rPr>
          <w:rFonts w:ascii="Simplified Arabic" w:hAnsi="Simplified Arabic" w:cs="Simplified Arabic"/>
          <w:rtl/>
        </w:rPr>
        <w:t xml:space="preserve"> منشآت </w:t>
      </w:r>
      <w:proofErr w:type="spellStart"/>
      <w:r w:rsidRPr="00323D0B">
        <w:rPr>
          <w:rFonts w:ascii="Simplified Arabic" w:hAnsi="Simplified Arabic" w:cs="Simplified Arabic"/>
          <w:rtl/>
        </w:rPr>
        <w:t>لانشطة</w:t>
      </w:r>
      <w:proofErr w:type="spellEnd"/>
      <w:r w:rsidRPr="00323D0B">
        <w:rPr>
          <w:rFonts w:ascii="Simplified Arabic" w:hAnsi="Simplified Arabic" w:cs="Simplified Arabic"/>
          <w:rtl/>
        </w:rPr>
        <w:t xml:space="preserve"> تنظيم الجولات </w:t>
      </w:r>
      <w:proofErr w:type="spellStart"/>
      <w:r w:rsidRPr="00323D0B">
        <w:rPr>
          <w:rFonts w:ascii="Simplified Arabic" w:hAnsi="Simplified Arabic" w:cs="Simplified Arabic"/>
          <w:rtl/>
        </w:rPr>
        <w:t>السياحية،</w:t>
      </w:r>
      <w:proofErr w:type="spellEnd"/>
      <w:r w:rsidRPr="00323D0B">
        <w:rPr>
          <w:rFonts w:ascii="Simplified Arabic" w:hAnsi="Simplified Arabic" w:cs="Simplified Arabic"/>
          <w:rtl/>
        </w:rPr>
        <w:t xml:space="preserve"> اضافة الى 52 وكالة سياحة </w:t>
      </w:r>
      <w:proofErr w:type="spellStart"/>
      <w:r w:rsidRPr="00323D0B">
        <w:rPr>
          <w:rFonts w:ascii="Simplified Arabic" w:hAnsi="Simplified Arabic" w:cs="Simplified Arabic"/>
          <w:rtl/>
        </w:rPr>
        <w:t>وسفر،</w:t>
      </w:r>
      <w:proofErr w:type="spellEnd"/>
      <w:r w:rsidRPr="00323D0B">
        <w:rPr>
          <w:rFonts w:ascii="Simplified Arabic" w:hAnsi="Simplified Arabic" w:cs="Simplified Arabic"/>
          <w:rtl/>
        </w:rPr>
        <w:t xml:space="preserve"> فيما تتوزع 797 منشأة عاملة في مجال التسلية والترفيه </w:t>
      </w:r>
      <w:proofErr w:type="spellStart"/>
      <w:r w:rsidRPr="00323D0B">
        <w:rPr>
          <w:rFonts w:ascii="Simplified Arabic" w:hAnsi="Simplified Arabic" w:cs="Simplified Arabic"/>
          <w:rtl/>
        </w:rPr>
        <w:t>والانشطة</w:t>
      </w:r>
      <w:proofErr w:type="spellEnd"/>
      <w:r w:rsidRPr="00323D0B">
        <w:rPr>
          <w:rFonts w:ascii="Simplified Arabic" w:hAnsi="Simplified Arabic" w:cs="Simplified Arabic"/>
          <w:rtl/>
        </w:rPr>
        <w:t xml:space="preserve"> الابداعية والفنون </w:t>
      </w:r>
      <w:proofErr w:type="spellStart"/>
      <w:r w:rsidRPr="00323D0B">
        <w:rPr>
          <w:rFonts w:ascii="Simplified Arabic" w:hAnsi="Simplified Arabic" w:cs="Simplified Arabic"/>
          <w:rtl/>
        </w:rPr>
        <w:t>وانشطة</w:t>
      </w:r>
      <w:proofErr w:type="spellEnd"/>
      <w:r w:rsidRPr="00323D0B">
        <w:rPr>
          <w:rFonts w:ascii="Simplified Arabic" w:hAnsi="Simplified Arabic" w:cs="Simplified Arabic"/>
          <w:rtl/>
        </w:rPr>
        <w:t xml:space="preserve"> سياحية أخرى.</w:t>
      </w:r>
    </w:p>
    <w:p w:rsidR="007D27F0" w:rsidRPr="00323D0B" w:rsidRDefault="007D27F0" w:rsidP="007D27F0">
      <w:pPr>
        <w:pStyle w:val="Header"/>
        <w:tabs>
          <w:tab w:val="left" w:pos="720"/>
        </w:tabs>
        <w:bidi/>
        <w:ind w:left="-1"/>
        <w:jc w:val="both"/>
        <w:rPr>
          <w:rFonts w:ascii="Simplified Arabic" w:hAnsi="Simplified Arabic" w:cs="Simplified Arabic"/>
          <w:rtl/>
        </w:rPr>
      </w:pPr>
      <w:r w:rsidRPr="00323D0B">
        <w:rPr>
          <w:rFonts w:ascii="Simplified Arabic" w:hAnsi="Simplified Arabic" w:cs="Simplified Arabic"/>
          <w:rtl/>
        </w:rPr>
        <w:t xml:space="preserve">ويعمل في هذه الانشطة </w:t>
      </w:r>
      <w:proofErr w:type="spellStart"/>
      <w:r w:rsidRPr="00323D0B">
        <w:rPr>
          <w:rFonts w:ascii="Simplified Arabic" w:hAnsi="Simplified Arabic" w:cs="Simplified Arabic"/>
          <w:rtl/>
        </w:rPr>
        <w:t>نحو21</w:t>
      </w:r>
      <w:proofErr w:type="spellEnd"/>
      <w:r w:rsidRPr="00323D0B">
        <w:rPr>
          <w:rFonts w:ascii="Simplified Arabic" w:hAnsi="Simplified Arabic" w:cs="Simplified Arabic"/>
          <w:rtl/>
        </w:rPr>
        <w:t xml:space="preserve">,707 </w:t>
      </w:r>
      <w:proofErr w:type="spellStart"/>
      <w:r w:rsidRPr="00323D0B">
        <w:rPr>
          <w:rFonts w:ascii="Simplified Arabic" w:hAnsi="Simplified Arabic" w:cs="Simplified Arabic"/>
          <w:rtl/>
        </w:rPr>
        <w:t>عاملا،</w:t>
      </w:r>
      <w:proofErr w:type="spellEnd"/>
      <w:r w:rsidRPr="00323D0B">
        <w:rPr>
          <w:rFonts w:ascii="Simplified Arabic" w:hAnsi="Simplified Arabic" w:cs="Simplified Arabic"/>
          <w:rtl/>
        </w:rPr>
        <w:t xml:space="preserve"> تضم منشآت المطاعم وأنشطة تقديم المشروبات النسبة الأكبر من العاملين بلغت </w:t>
      </w:r>
      <w:proofErr w:type="spellStart"/>
      <w:r w:rsidRPr="00323D0B">
        <w:rPr>
          <w:rFonts w:ascii="Simplified Arabic" w:hAnsi="Simplified Arabic" w:cs="Simplified Arabic"/>
          <w:rtl/>
        </w:rPr>
        <w:t>65.0%،</w:t>
      </w:r>
      <w:proofErr w:type="spellEnd"/>
      <w:r w:rsidRPr="00323D0B">
        <w:rPr>
          <w:rFonts w:ascii="Simplified Arabic" w:hAnsi="Simplified Arabic" w:cs="Simplified Arabic"/>
          <w:rtl/>
        </w:rPr>
        <w:t xml:space="preserve"> يليها أنشطة الاقامة والفنادق بنسبة </w:t>
      </w:r>
      <w:proofErr w:type="spellStart"/>
      <w:r w:rsidRPr="00323D0B">
        <w:rPr>
          <w:rFonts w:ascii="Simplified Arabic" w:hAnsi="Simplified Arabic" w:cs="Simplified Arabic"/>
          <w:rtl/>
        </w:rPr>
        <w:t>10.4%،</w:t>
      </w:r>
      <w:proofErr w:type="spellEnd"/>
      <w:r w:rsidRPr="00323D0B">
        <w:rPr>
          <w:rFonts w:ascii="Simplified Arabic" w:hAnsi="Simplified Arabic" w:cs="Simplified Arabic"/>
          <w:rtl/>
        </w:rPr>
        <w:t xml:space="preserve"> ثم أنشطة التسلية والترفيه بنسبة </w:t>
      </w:r>
      <w:proofErr w:type="spellStart"/>
      <w:r w:rsidRPr="00323D0B">
        <w:rPr>
          <w:rFonts w:ascii="Simplified Arabic" w:hAnsi="Simplified Arabic" w:cs="Simplified Arabic"/>
          <w:rtl/>
        </w:rPr>
        <w:t>6.7%،</w:t>
      </w:r>
      <w:proofErr w:type="spellEnd"/>
      <w:r w:rsidRPr="00323D0B">
        <w:rPr>
          <w:rFonts w:ascii="Simplified Arabic" w:hAnsi="Simplified Arabic" w:cs="Simplified Arabic"/>
          <w:rtl/>
        </w:rPr>
        <w:t xml:space="preserve"> اما بيع الهدايا التذكارية ومنتجات الحرف اليدوية بالتجزئة فيعمل فيها ما نسبته </w:t>
      </w:r>
      <w:proofErr w:type="spellStart"/>
      <w:r w:rsidRPr="00323D0B">
        <w:rPr>
          <w:rFonts w:ascii="Simplified Arabic" w:hAnsi="Simplified Arabic" w:cs="Simplified Arabic"/>
          <w:rtl/>
        </w:rPr>
        <w:t>4.5%،</w:t>
      </w:r>
      <w:proofErr w:type="spellEnd"/>
      <w:r w:rsidRPr="00323D0B">
        <w:rPr>
          <w:rFonts w:ascii="Simplified Arabic" w:hAnsi="Simplified Arabic" w:cs="Simplified Arabic"/>
          <w:rtl/>
        </w:rPr>
        <w:t xml:space="preserve"> فيما توزع ما نسبته </w:t>
      </w:r>
      <w:proofErr w:type="spellStart"/>
      <w:r w:rsidRPr="00323D0B">
        <w:rPr>
          <w:rFonts w:ascii="Simplified Arabic" w:hAnsi="Simplified Arabic" w:cs="Simplified Arabic"/>
          <w:rtl/>
        </w:rPr>
        <w:t>13.4%</w:t>
      </w:r>
      <w:proofErr w:type="spellEnd"/>
      <w:r w:rsidRPr="00323D0B">
        <w:rPr>
          <w:rFonts w:ascii="Simplified Arabic" w:hAnsi="Simplified Arabic" w:cs="Simplified Arabic"/>
          <w:rtl/>
        </w:rPr>
        <w:t xml:space="preserve"> من العاملين على بقية الأنشطة. </w:t>
      </w:r>
    </w:p>
    <w:p w:rsidR="007D27F0" w:rsidRPr="00323D0B" w:rsidRDefault="007D27F0" w:rsidP="007D27F0">
      <w:pPr>
        <w:bidi/>
        <w:jc w:val="both"/>
        <w:rPr>
          <w:rFonts w:ascii="Simplified Arabic" w:hAnsi="Simplified Arabic" w:cs="Simplified Arabic"/>
          <w:color w:val="000000" w:themeColor="text1"/>
          <w:sz w:val="10"/>
          <w:szCs w:val="10"/>
          <w:rtl/>
        </w:rPr>
      </w:pPr>
    </w:p>
    <w:p w:rsidR="007D27F0" w:rsidRPr="007D27F0" w:rsidRDefault="007D27F0" w:rsidP="007D27F0">
      <w:pPr>
        <w:bidi/>
        <w:jc w:val="both"/>
        <w:rPr>
          <w:rFonts w:cs="Simplified Arabic"/>
          <w:color w:val="000000" w:themeColor="text1"/>
          <w:sz w:val="16"/>
          <w:szCs w:val="16"/>
          <w:rtl/>
        </w:rPr>
      </w:pPr>
    </w:p>
    <w:p w:rsidR="007D27F0" w:rsidRDefault="007D27F0" w:rsidP="007D27F0">
      <w:pPr>
        <w:bidi/>
        <w:jc w:val="both"/>
        <w:rPr>
          <w:rFonts w:cs="Simplified Arabic"/>
          <w:color w:val="000000" w:themeColor="text1"/>
          <w:sz w:val="10"/>
          <w:szCs w:val="10"/>
          <w:rtl/>
        </w:rPr>
      </w:pPr>
    </w:p>
    <w:p w:rsidR="004B5610" w:rsidRDefault="007D27F0">
      <w:r>
        <w:rPr>
          <w:rFonts w:hint="cs"/>
          <w:rtl/>
        </w:rPr>
        <w:t xml:space="preserve"> </w:t>
      </w:r>
    </w:p>
    <w:sectPr w:rsidR="004B5610" w:rsidSect="007D27F0">
      <w:headerReference w:type="default" r:id="rId7"/>
      <w:footerReference w:type="even" r:id="rId8"/>
      <w:footerReference w:type="default" r:id="rId9"/>
      <w:pgSz w:w="11900" w:h="16840" w:code="9"/>
      <w:pgMar w:top="720" w:right="720" w:bottom="720" w:left="720" w:header="709" w:footer="737" w:gutter="0"/>
      <w:cols w:space="794"/>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C15" w:rsidRDefault="00E22C15" w:rsidP="007D27F0">
      <w:pPr>
        <w:spacing w:line="240" w:lineRule="auto"/>
      </w:pPr>
      <w:r>
        <w:separator/>
      </w:r>
    </w:p>
  </w:endnote>
  <w:endnote w:type="continuationSeparator" w:id="0">
    <w:p w:rsidR="00E22C15" w:rsidRDefault="00E22C15" w:rsidP="007D27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5C" w:rsidRDefault="00E22C15" w:rsidP="003B4A3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755C" w:rsidRDefault="00E22C15" w:rsidP="003B4A35">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20755C" w:rsidRDefault="00E22C15" w:rsidP="0020755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5C" w:rsidRDefault="00E22C15" w:rsidP="0020755C">
    <w:pPr>
      <w:pStyle w:val="Footer"/>
      <w:framePr w:wrap="none" w:vAnchor="text" w:hAnchor="page" w:x="5902" w:y="391"/>
      <w:rPr>
        <w:rStyle w:val="PageNumber"/>
      </w:rPr>
    </w:pPr>
    <w:r>
      <w:rPr>
        <w:rStyle w:val="PageNumber"/>
      </w:rPr>
      <w:fldChar w:fldCharType="begin"/>
    </w:r>
    <w:r>
      <w:rPr>
        <w:rStyle w:val="PageNumber"/>
      </w:rPr>
      <w:instrText xml:space="preserve">PAGE  </w:instrText>
    </w:r>
    <w:r>
      <w:rPr>
        <w:rStyle w:val="PageNumber"/>
      </w:rPr>
      <w:fldChar w:fldCharType="separate"/>
    </w:r>
    <w:r w:rsidR="00F90F2D">
      <w:rPr>
        <w:rStyle w:val="PageNumber"/>
        <w:noProof/>
      </w:rPr>
      <w:t>1</w:t>
    </w:r>
    <w:r>
      <w:rPr>
        <w:rStyle w:val="PageNumber"/>
      </w:rPr>
      <w:fldChar w:fldCharType="end"/>
    </w:r>
  </w:p>
  <w:p w:rsidR="00E76D45" w:rsidRDefault="00E22C15" w:rsidP="0020755C">
    <w:pPr>
      <w:pStyle w:val="Footer"/>
      <w:ind w:firstLine="360"/>
    </w:pPr>
    <w:r>
      <w:rPr>
        <w:noProof/>
      </w:rPr>
      <w:pict>
        <v:shapetype id="_x0000_t202" coordsize="21600,21600" o:spt="202" path="m,l,21600r21600,l21600,xe">
          <v:stroke joinstyle="miter"/>
          <v:path gradientshapeok="t" o:connecttype="rect"/>
        </v:shapetype>
        <v:shape id="Text Box 5" o:spid="_x0000_s1027" type="#_x0000_t202" style="position:absolute;left:0;text-align:left;margin-left:-54.65pt;margin-top:-29.35pt;width:156.05pt;height:21.85pt;z-index:2516643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" filled="f" stroked="f">
          <v:textbox style="mso-next-textbox:#Text Box 5">
            <w:txbxContent>
              <w:p w:rsidR="00E9674D" w:rsidRDefault="00E22C15" w:rsidP="00E9674D">
                <w:pPr>
                  <w:bidi/>
                  <w:rPr>
                    <w:rtl/>
                  </w:rPr>
                </w:pPr>
                <w:r w:rsidRPr="009B7F79">
                  <w:rPr>
                    <w:rFonts w:hint="cs"/>
                    <w:b/>
                    <w:bCs/>
                    <w:rtl/>
                  </w:rPr>
                  <w:t>التاريخ</w:t>
                </w:r>
                <w:r>
                  <w:t>:</w:t>
                </w:r>
                <w:r>
                  <w:rPr>
                    <w:rFonts w:hint="cs"/>
                    <w:rtl/>
                  </w:rPr>
                  <w:t xml:space="preserve"> 27/09/2017</w:t>
                </w:r>
              </w:p>
            </w:txbxContent>
          </v:textbox>
        </v:shape>
      </w:pict>
    </w:r>
    <w:r>
      <w:rPr>
        <w:noProof/>
      </w:rPr>
      <w:drawing>
        <wp:anchor distT="0" distB="0" distL="114300" distR="114300" simplePos="0" relativeHeight="251662336" behindDoc="1" locked="0" layoutInCell="1" allowOverlap="1">
          <wp:simplePos x="0" y="0"/>
          <wp:positionH relativeFrom="column">
            <wp:posOffset>-721137</wp:posOffset>
          </wp:positionH>
          <wp:positionV relativeFrom="paragraph">
            <wp:posOffset>-624045</wp:posOffset>
          </wp:positionV>
          <wp:extent cx="7547359" cy="1075174"/>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ooter.pd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47359" cy="107517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C15" w:rsidRDefault="00E22C15" w:rsidP="007D27F0">
      <w:pPr>
        <w:spacing w:line="240" w:lineRule="auto"/>
      </w:pPr>
      <w:r>
        <w:separator/>
      </w:r>
    </w:p>
  </w:footnote>
  <w:footnote w:type="continuationSeparator" w:id="0">
    <w:p w:rsidR="00E22C15" w:rsidRDefault="00E22C15" w:rsidP="007D27F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373" w:rsidRDefault="00E22C15" w:rsidP="009B7F79">
    <w:pPr>
      <w:pStyle w:val="Header"/>
    </w:pPr>
    <w:r>
      <w:rPr>
        <w:noProof/>
      </w:rPr>
      <w:drawing>
        <wp:anchor distT="0" distB="0" distL="114300" distR="114300" simplePos="0" relativeHeight="251663360" behindDoc="1" locked="0" layoutInCell="1" allowOverlap="1">
          <wp:simplePos x="0" y="0"/>
          <wp:positionH relativeFrom="column">
            <wp:posOffset>-731185</wp:posOffset>
          </wp:positionH>
          <wp:positionV relativeFrom="paragraph">
            <wp:posOffset>-329635</wp:posOffset>
          </wp:positionV>
          <wp:extent cx="7587552" cy="1487156"/>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BS+Census Head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87552" cy="1487156"/>
                  </a:xfrm>
                  <a:prstGeom prst="rect">
                    <a:avLst/>
                  </a:prstGeom>
                </pic:spPr>
              </pic:pic>
            </a:graphicData>
          </a:graphic>
        </wp:anchor>
      </w:drawing>
    </w:r>
    <w:r>
      <w:rPr>
        <w:noProof/>
      </w:rPr>
      <w:pict>
        <v:rect id="Rectangle 2" o:spid="_x0000_s1026" style="position:absolute;margin-left:-35pt;margin-top:-17.1pt;width:84.05pt;height:107.85pt;z-index:251661312;visibility:visible;mso-position-horizontal-relative:text;mso-position-vertical-relative:text;mso-width-relative:margin;mso-height-relative:margin;v-text-anchor:middle"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" filled="f" stroked="f" strokeweight="1pt">
          <w10:wrap type="tight"/>
        </v:rect>
      </w:pict>
    </w:r>
    <w:r>
      <w:rPr>
        <w:noProof/>
      </w:rPr>
      <w:pict>
        <v:rect id="Rectangle 1" o:spid="_x0000_s1025" style="position:absolute;margin-left:-34.75pt;margin-top:-26pt;width:83.35pt;height:126pt;z-index:251658240;visibility:visible;mso-position-horizontal-relative:text;mso-position-vertical-relative:text;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" filled="f" stroked="f" strokeweight="1pt">
          <w10:wrap type="square"/>
        </v:rect>
      </w:pict>
    </w:r>
  </w:p>
  <w:p w:rsidR="003261C5" w:rsidRDefault="00E22C15" w:rsidP="009B7F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7D27F0"/>
    <w:rsid w:val="004B5610"/>
    <w:rsid w:val="005961F2"/>
    <w:rsid w:val="007D27F0"/>
    <w:rsid w:val="00BD1620"/>
    <w:rsid w:val="00E22C15"/>
    <w:rsid w:val="00EE46DA"/>
    <w:rsid w:val="00F90F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27F0"/>
    <w:pPr>
      <w:pBdr>
        <w:top w:val="nil"/>
        <w:left w:val="nil"/>
        <w:bottom w:val="nil"/>
        <w:right w:val="nil"/>
        <w:between w:val="nil"/>
      </w:pBdr>
      <w:spacing w:after="0"/>
    </w:pPr>
    <w:rPr>
      <w:rFonts w:ascii="Arial" w:eastAsia="Arial" w:hAnsi="Arial" w:cs="Arial"/>
      <w:color w:val="00000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27F0"/>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HeaderChar">
    <w:name w:val="Header Char"/>
    <w:basedOn w:val="DefaultParagraphFont"/>
    <w:link w:val="Header"/>
    <w:rsid w:val="007D27F0"/>
    <w:rPr>
      <w:sz w:val="24"/>
      <w:szCs w:val="24"/>
    </w:rPr>
  </w:style>
  <w:style w:type="paragraph" w:styleId="Footer">
    <w:name w:val="footer"/>
    <w:basedOn w:val="Normal"/>
    <w:link w:val="FooterChar"/>
    <w:uiPriority w:val="99"/>
    <w:unhideWhenUsed/>
    <w:rsid w:val="007D27F0"/>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FooterChar">
    <w:name w:val="Footer Char"/>
    <w:basedOn w:val="DefaultParagraphFont"/>
    <w:link w:val="Footer"/>
    <w:uiPriority w:val="99"/>
    <w:rsid w:val="007D27F0"/>
    <w:rPr>
      <w:sz w:val="24"/>
      <w:szCs w:val="24"/>
    </w:rPr>
  </w:style>
  <w:style w:type="character" w:styleId="PageNumber">
    <w:name w:val="page number"/>
    <w:basedOn w:val="DefaultParagraphFont"/>
    <w:uiPriority w:val="99"/>
    <w:semiHidden/>
    <w:unhideWhenUsed/>
    <w:rsid w:val="007D27F0"/>
  </w:style>
  <w:style w:type="paragraph" w:styleId="BodyText2">
    <w:name w:val="Body Text 2"/>
    <w:basedOn w:val="Normal"/>
    <w:link w:val="BodyText2Char"/>
    <w:uiPriority w:val="99"/>
    <w:unhideWhenUsed/>
    <w:rsid w:val="007D27F0"/>
    <w:pPr>
      <w:pBdr>
        <w:top w:val="none" w:sz="0" w:space="0" w:color="auto"/>
        <w:left w:val="none" w:sz="0" w:space="0" w:color="auto"/>
        <w:bottom w:val="none" w:sz="0" w:space="0" w:color="auto"/>
        <w:right w:val="none" w:sz="0" w:space="0" w:color="auto"/>
        <w:between w:val="none" w:sz="0" w:space="0" w:color="auto"/>
      </w:pBdr>
      <w:bidi/>
      <w:spacing w:after="120" w:line="480" w:lineRule="auto"/>
    </w:pPr>
    <w:rPr>
      <w:rFonts w:asciiTheme="minorHAnsi" w:eastAsiaTheme="minorHAnsi" w:hAnsiTheme="minorHAnsi" w:cstheme="minorBidi"/>
      <w:color w:val="auto"/>
      <w:lang w:eastAsia="en-US"/>
    </w:rPr>
  </w:style>
  <w:style w:type="character" w:customStyle="1" w:styleId="BodyText2Char">
    <w:name w:val="Body Text 2 Char"/>
    <w:basedOn w:val="DefaultParagraphFont"/>
    <w:link w:val="BodyText2"/>
    <w:uiPriority w:val="99"/>
    <w:rsid w:val="007D27F0"/>
  </w:style>
  <w:style w:type="character" w:styleId="Hyperlink">
    <w:name w:val="Hyperlink"/>
    <w:basedOn w:val="DefaultParagraphFont"/>
    <w:semiHidden/>
    <w:rsid w:val="007D27F0"/>
    <w:rPr>
      <w:color w:val="0000FF"/>
      <w:u w:val="single"/>
    </w:rPr>
  </w:style>
  <w:style w:type="paragraph" w:styleId="BalloonText">
    <w:name w:val="Balloon Text"/>
    <w:basedOn w:val="Normal"/>
    <w:link w:val="BalloonTextChar"/>
    <w:uiPriority w:val="99"/>
    <w:semiHidden/>
    <w:unhideWhenUsed/>
    <w:rsid w:val="007D27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7F0"/>
    <w:rPr>
      <w:rFonts w:ascii="Tahoma" w:eastAsia="Arial" w:hAnsi="Tahoma" w:cs="Tahoma"/>
      <w:color w:val="000000"/>
      <w:sz w:val="16"/>
      <w:szCs w:val="16"/>
      <w:lang w:eastAsia="it-IT"/>
    </w:rPr>
  </w:style>
</w:styles>
</file>

<file path=word/webSettings.xml><?xml version="1.0" encoding="utf-8"?>
<w:webSettings xmlns:r="http://schemas.openxmlformats.org/officeDocument/2006/relationships" xmlns:w="http://schemas.openxmlformats.org/wordprocessingml/2006/main">
  <w:divs>
    <w:div w:id="24572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8127088751915071"/>
          <c:y val="7.7195285838063482E-2"/>
          <c:w val="0.77396800513058095"/>
          <c:h val="0.78951437147454551"/>
        </c:manualLayout>
      </c:layout>
      <c:lineChart>
        <c:grouping val="standard"/>
        <c:ser>
          <c:idx val="0"/>
          <c:order val="0"/>
          <c:tx>
            <c:strRef>
              <c:f>Sheet1!$B$1</c:f>
              <c:strCache>
                <c:ptCount val="1"/>
                <c:pt idx="0">
                  <c:v>Series 1</c:v>
                </c:pt>
              </c:strCache>
            </c:strRef>
          </c:tx>
          <c:cat>
            <c:strRef>
              <c:f>Sheet1!$A$2:$A$10</c:f>
              <c:strCache>
                <c:ptCount val="9"/>
                <c:pt idx="0">
                  <c:v>2009</c:v>
                </c:pt>
                <c:pt idx="1">
                  <c:v>2010</c:v>
                </c:pt>
                <c:pt idx="2">
                  <c:v>2011</c:v>
                </c:pt>
                <c:pt idx="3">
                  <c:v>2012</c:v>
                </c:pt>
                <c:pt idx="4">
                  <c:v>2013</c:v>
                </c:pt>
                <c:pt idx="5">
                  <c:v>2014</c:v>
                </c:pt>
                <c:pt idx="6">
                  <c:v>2015</c:v>
                </c:pt>
                <c:pt idx="7">
                  <c:v>2016</c:v>
                </c:pt>
                <c:pt idx="8">
                  <c:v>2017</c:v>
                </c:pt>
              </c:strCache>
            </c:strRef>
          </c:cat>
          <c:val>
            <c:numRef>
              <c:f>Sheet1!$B$2:$B$10</c:f>
              <c:numCache>
                <c:formatCode>General</c:formatCode>
                <c:ptCount val="9"/>
                <c:pt idx="0">
                  <c:v>521</c:v>
                </c:pt>
                <c:pt idx="1">
                  <c:v>933</c:v>
                </c:pt>
                <c:pt idx="2">
                  <c:v>1014</c:v>
                </c:pt>
                <c:pt idx="3">
                  <c:v>1250</c:v>
                </c:pt>
                <c:pt idx="4">
                  <c:v>1235</c:v>
                </c:pt>
                <c:pt idx="5">
                  <c:v>1472</c:v>
                </c:pt>
                <c:pt idx="6">
                  <c:v>999</c:v>
                </c:pt>
                <c:pt idx="7">
                  <c:v>952</c:v>
                </c:pt>
                <c:pt idx="8">
                  <c:v>1400.951</c:v>
                </c:pt>
              </c:numCache>
            </c:numRef>
          </c:val>
        </c:ser>
        <c:marker val="1"/>
        <c:axId val="112433792"/>
        <c:axId val="117315072"/>
      </c:lineChart>
      <c:catAx>
        <c:axId val="112433792"/>
        <c:scaling>
          <c:orientation val="minMax"/>
        </c:scaling>
        <c:axPos val="b"/>
        <c:majorTickMark val="none"/>
        <c:tickLblPos val="nextTo"/>
        <c:txPr>
          <a:bodyPr/>
          <a:lstStyle/>
          <a:p>
            <a:pPr>
              <a:defRPr sz="700"/>
            </a:pPr>
            <a:endParaRPr lang="ar-SA"/>
          </a:p>
        </c:txPr>
        <c:crossAx val="117315072"/>
        <c:crosses val="autoZero"/>
        <c:auto val="1"/>
        <c:lblAlgn val="ctr"/>
        <c:lblOffset val="100"/>
      </c:catAx>
      <c:valAx>
        <c:axId val="117315072"/>
        <c:scaling>
          <c:orientation val="minMax"/>
        </c:scaling>
        <c:axPos val="l"/>
        <c:title>
          <c:tx>
            <c:rich>
              <a:bodyPr/>
              <a:lstStyle/>
              <a:p>
                <a:pPr>
                  <a:defRPr/>
                </a:pPr>
                <a:r>
                  <a:rPr lang="ar-SA" sz="800"/>
                  <a:t>بالالف</a:t>
                </a:r>
                <a:endParaRPr lang="en-US"/>
              </a:p>
            </c:rich>
          </c:tx>
        </c:title>
        <c:numFmt formatCode="General" sourceLinked="1"/>
        <c:tickLblPos val="nextTo"/>
        <c:txPr>
          <a:bodyPr/>
          <a:lstStyle/>
          <a:p>
            <a:pPr>
              <a:defRPr sz="700"/>
            </a:pPr>
            <a:endParaRPr lang="ar-SA"/>
          </a:p>
        </c:txPr>
        <c:crossAx val="11243379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3</cp:revision>
  <dcterms:created xsi:type="dcterms:W3CDTF">2017-09-26T10:43:00Z</dcterms:created>
  <dcterms:modified xsi:type="dcterms:W3CDTF">2017-09-26T10:58:00Z</dcterms:modified>
</cp:coreProperties>
</file>