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CC9" w:rsidRDefault="005F205A" w:rsidP="005F205A">
      <w:pPr>
        <w:pStyle w:val="BodyText2"/>
        <w:ind w:right="0"/>
        <w:jc w:val="both"/>
        <w:rPr>
          <w:rFonts w:hint="cs"/>
          <w:sz w:val="32"/>
          <w:szCs w:val="32"/>
          <w:rtl/>
        </w:rPr>
      </w:pPr>
      <w:r w:rsidRPr="001C5CC9">
        <w:rPr>
          <w:rFonts w:hint="cs"/>
          <w:sz w:val="32"/>
          <w:szCs w:val="32"/>
          <w:rtl/>
        </w:rPr>
        <w:t xml:space="preserve">د. </w:t>
      </w:r>
      <w:r w:rsidR="00EA364D" w:rsidRPr="001C5CC9">
        <w:rPr>
          <w:rFonts w:hint="cs"/>
          <w:sz w:val="32"/>
          <w:szCs w:val="32"/>
          <w:rtl/>
        </w:rPr>
        <w:t>علا عوض، رئيس</w:t>
      </w:r>
      <w:r w:rsidR="007F1611" w:rsidRPr="001C5CC9">
        <w:rPr>
          <w:rFonts w:hint="cs"/>
          <w:sz w:val="32"/>
          <w:szCs w:val="32"/>
          <w:rtl/>
        </w:rPr>
        <w:t>ة</w:t>
      </w:r>
      <w:r w:rsidR="00EA364D" w:rsidRPr="001C5CC9">
        <w:rPr>
          <w:rFonts w:hint="cs"/>
          <w:sz w:val="32"/>
          <w:szCs w:val="32"/>
          <w:rtl/>
        </w:rPr>
        <w:t xml:space="preserve"> الجهاز المركزي للإحصاء الفلسطيني</w:t>
      </w:r>
    </w:p>
    <w:p w:rsidR="001C5CC9" w:rsidRPr="001C5CC9" w:rsidRDefault="001C5CC9" w:rsidP="005F205A">
      <w:pPr>
        <w:pStyle w:val="BodyText2"/>
        <w:ind w:right="0"/>
        <w:jc w:val="both"/>
        <w:rPr>
          <w:rFonts w:hint="cs"/>
          <w:sz w:val="10"/>
          <w:szCs w:val="10"/>
          <w:rtl/>
        </w:rPr>
      </w:pPr>
    </w:p>
    <w:p w:rsidR="00EA364D" w:rsidRDefault="00EA364D" w:rsidP="001C5CC9">
      <w:pPr>
        <w:pStyle w:val="BodyText2"/>
        <w:ind w:right="0"/>
        <w:jc w:val="center"/>
        <w:rPr>
          <w:rFonts w:hint="cs"/>
          <w:sz w:val="32"/>
          <w:szCs w:val="32"/>
          <w:rtl/>
        </w:rPr>
      </w:pPr>
      <w:r w:rsidRPr="001C5CC9">
        <w:rPr>
          <w:rFonts w:hint="cs"/>
          <w:sz w:val="32"/>
          <w:szCs w:val="32"/>
          <w:rtl/>
        </w:rPr>
        <w:t xml:space="preserve">تستعرض الواقع العمالي في </w:t>
      </w:r>
      <w:r w:rsidR="00A76A78" w:rsidRPr="001C5CC9">
        <w:rPr>
          <w:rFonts w:hint="cs"/>
          <w:sz w:val="32"/>
          <w:szCs w:val="32"/>
          <w:rtl/>
        </w:rPr>
        <w:t>فلسطين</w:t>
      </w:r>
      <w:r w:rsidRPr="001C5CC9">
        <w:rPr>
          <w:rFonts w:hint="cs"/>
          <w:sz w:val="32"/>
          <w:szCs w:val="32"/>
          <w:rtl/>
        </w:rPr>
        <w:t xml:space="preserve"> لعام </w:t>
      </w:r>
      <w:r w:rsidR="002939C9" w:rsidRPr="001C5CC9">
        <w:rPr>
          <w:sz w:val="32"/>
          <w:szCs w:val="32"/>
        </w:rPr>
        <w:t>201</w:t>
      </w:r>
      <w:r w:rsidR="00624A0F" w:rsidRPr="001C5CC9">
        <w:rPr>
          <w:sz w:val="32"/>
          <w:szCs w:val="32"/>
        </w:rPr>
        <w:t>9</w:t>
      </w:r>
      <w:r w:rsidR="008E5AFE" w:rsidRPr="001C5CC9">
        <w:rPr>
          <w:rFonts w:hint="cs"/>
          <w:sz w:val="32"/>
          <w:szCs w:val="32"/>
          <w:rtl/>
        </w:rPr>
        <w:t xml:space="preserve"> بمناسبة اليوم العالمي للعمال</w:t>
      </w:r>
      <w:r w:rsidR="009A317D" w:rsidRPr="001C5CC9">
        <w:rPr>
          <w:rFonts w:hint="cs"/>
          <w:sz w:val="32"/>
          <w:szCs w:val="32"/>
          <w:rtl/>
        </w:rPr>
        <w:t>.</w:t>
      </w:r>
      <w:r w:rsidR="00BF6E23" w:rsidRPr="001C5CC9">
        <w:rPr>
          <w:rFonts w:hint="cs"/>
          <w:sz w:val="32"/>
          <w:szCs w:val="32"/>
          <w:rtl/>
        </w:rPr>
        <w:t xml:space="preserve"> </w:t>
      </w:r>
      <w:r w:rsidR="009A317D" w:rsidRPr="001C5CC9">
        <w:rPr>
          <w:rFonts w:hint="cs"/>
          <w:sz w:val="32"/>
          <w:szCs w:val="32"/>
          <w:rtl/>
        </w:rPr>
        <w:t>(</w:t>
      </w:r>
      <w:r w:rsidR="003F36B1" w:rsidRPr="001C5CC9">
        <w:rPr>
          <w:rFonts w:hint="cs"/>
          <w:sz w:val="32"/>
          <w:szCs w:val="32"/>
          <w:rtl/>
        </w:rPr>
        <w:t>الأو</w:t>
      </w:r>
      <w:r w:rsidR="003F36B1" w:rsidRPr="001C5CC9">
        <w:rPr>
          <w:rFonts w:hint="eastAsia"/>
          <w:sz w:val="32"/>
          <w:szCs w:val="32"/>
          <w:rtl/>
        </w:rPr>
        <w:t>ل</w:t>
      </w:r>
      <w:r w:rsidR="00BF6E23" w:rsidRPr="001C5CC9">
        <w:rPr>
          <w:rFonts w:hint="cs"/>
          <w:sz w:val="32"/>
          <w:szCs w:val="32"/>
          <w:rtl/>
        </w:rPr>
        <w:t xml:space="preserve"> من أيار</w:t>
      </w:r>
      <w:r w:rsidR="009A317D" w:rsidRPr="001C5CC9">
        <w:rPr>
          <w:rFonts w:hint="cs"/>
          <w:sz w:val="32"/>
          <w:szCs w:val="32"/>
          <w:rtl/>
        </w:rPr>
        <w:t>)</w:t>
      </w:r>
    </w:p>
    <w:p w:rsidR="001C5CC9" w:rsidRPr="001C5CC9" w:rsidRDefault="001C5CC9" w:rsidP="001C5CC9">
      <w:pPr>
        <w:pStyle w:val="BodyText2"/>
        <w:ind w:right="0"/>
        <w:jc w:val="center"/>
        <w:rPr>
          <w:sz w:val="32"/>
          <w:szCs w:val="32"/>
          <w:rtl/>
        </w:rPr>
      </w:pPr>
    </w:p>
    <w:p w:rsidR="00A64924" w:rsidRDefault="00A64924" w:rsidP="00E20B5B">
      <w:pPr>
        <w:pStyle w:val="BodyText2"/>
        <w:ind w:right="0"/>
        <w:jc w:val="both"/>
        <w:rPr>
          <w:rFonts w:hint="cs"/>
          <w:sz w:val="16"/>
          <w:szCs w:val="16"/>
          <w:rtl/>
        </w:rPr>
      </w:pPr>
    </w:p>
    <w:p w:rsidR="00B878DE" w:rsidRPr="001C5CC9" w:rsidRDefault="00FE3F6F" w:rsidP="00B878DE">
      <w:pPr>
        <w:tabs>
          <w:tab w:val="num" w:pos="610"/>
        </w:tabs>
        <w:jc w:val="both"/>
        <w:rPr>
          <w:rFonts w:ascii="Simplified Arabic" w:hAnsi="Simplified Arabic" w:cs="Simplified Arabic"/>
          <w:b/>
          <w:bCs/>
          <w:sz w:val="28"/>
          <w:szCs w:val="28"/>
        </w:rPr>
      </w:pPr>
      <w:r w:rsidRPr="001C5CC9">
        <w:rPr>
          <w:rFonts w:ascii="Simplified Arabic" w:hAnsi="Simplified Arabic" w:cs="Simplified Arabic"/>
          <w:b/>
          <w:bCs/>
          <w:sz w:val="28"/>
          <w:szCs w:val="28"/>
          <w:rtl/>
        </w:rPr>
        <w:t xml:space="preserve">أثر جائحة </w:t>
      </w:r>
      <w:r w:rsidR="006F55A8">
        <w:rPr>
          <w:rFonts w:ascii="Simplified Arabic" w:hAnsi="Simplified Arabic" w:cs="Simplified Arabic" w:hint="cs"/>
          <w:b/>
          <w:bCs/>
          <w:sz w:val="28"/>
          <w:szCs w:val="28"/>
          <w:rtl/>
        </w:rPr>
        <w:t xml:space="preserve"> فيروس كورونا "</w:t>
      </w:r>
      <w:r w:rsidR="003F36B1" w:rsidRPr="001C5CC9">
        <w:rPr>
          <w:rFonts w:ascii="Simplified Arabic" w:hAnsi="Simplified Arabic" w:cs="Simplified Arabic"/>
          <w:b/>
          <w:bCs/>
          <w:sz w:val="28"/>
          <w:szCs w:val="28"/>
          <w:rtl/>
        </w:rPr>
        <w:t>كوفيد-19</w:t>
      </w:r>
      <w:r w:rsidR="006F55A8">
        <w:rPr>
          <w:rFonts w:ascii="Simplified Arabic" w:hAnsi="Simplified Arabic" w:cs="Simplified Arabic" w:hint="cs"/>
          <w:b/>
          <w:bCs/>
          <w:sz w:val="28"/>
          <w:szCs w:val="28"/>
          <w:rtl/>
        </w:rPr>
        <w:t>"</w:t>
      </w:r>
      <w:r w:rsidR="006E4100" w:rsidRPr="001C5CC9">
        <w:rPr>
          <w:rFonts w:ascii="Simplified Arabic" w:hAnsi="Simplified Arabic" w:cs="Simplified Arabic"/>
          <w:b/>
          <w:bCs/>
          <w:sz w:val="28"/>
          <w:szCs w:val="28"/>
          <w:rtl/>
        </w:rPr>
        <w:t xml:space="preserve"> عل</w:t>
      </w:r>
      <w:r w:rsidRPr="001C5CC9">
        <w:rPr>
          <w:rFonts w:ascii="Simplified Arabic" w:hAnsi="Simplified Arabic" w:cs="Simplified Arabic"/>
          <w:b/>
          <w:bCs/>
          <w:sz w:val="28"/>
          <w:szCs w:val="28"/>
          <w:rtl/>
        </w:rPr>
        <w:t>ى سوق العمل الفلسطيني</w:t>
      </w:r>
    </w:p>
    <w:p w:rsidR="00CD2C23" w:rsidRDefault="00254462" w:rsidP="006F55A8">
      <w:pPr>
        <w:pStyle w:val="NormalWeb"/>
        <w:shd w:val="clear" w:color="auto" w:fill="FFFFFF"/>
        <w:bidi/>
        <w:spacing w:before="240" w:beforeAutospacing="0" w:after="0" w:afterAutospacing="0"/>
        <w:jc w:val="both"/>
        <w:rPr>
          <w:rFonts w:ascii="Simplified Arabic" w:hAnsi="Simplified Arabic" w:cs="Simplified Arabic" w:hint="cs"/>
          <w:color w:val="0D0D0D"/>
          <w:sz w:val="26"/>
          <w:szCs w:val="26"/>
          <w:rtl/>
        </w:rPr>
      </w:pPr>
      <w:r w:rsidRPr="001C5CC9">
        <w:rPr>
          <w:rFonts w:ascii="Simplified Arabic" w:hAnsi="Simplified Arabic" w:cs="Simplified Arabic"/>
          <w:color w:val="0D0D0D"/>
          <w:sz w:val="26"/>
          <w:szCs w:val="26"/>
          <w:rtl/>
          <w:lang w:bidi="ar-JO"/>
        </w:rPr>
        <w:t>مع تفشي</w:t>
      </w:r>
      <w:r w:rsidR="006F55A8">
        <w:rPr>
          <w:rFonts w:ascii="Simplified Arabic" w:hAnsi="Simplified Arabic" w:cs="Simplified Arabic" w:hint="cs"/>
          <w:color w:val="0D0D0D"/>
          <w:sz w:val="26"/>
          <w:szCs w:val="26"/>
          <w:rtl/>
          <w:lang w:bidi="ar-JO"/>
        </w:rPr>
        <w:t xml:space="preserve"> جائحة فيروس كورونا</w:t>
      </w:r>
      <w:r w:rsidRPr="001C5CC9">
        <w:rPr>
          <w:rFonts w:ascii="Simplified Arabic" w:hAnsi="Simplified Arabic" w:cs="Simplified Arabic"/>
          <w:color w:val="0D0D0D"/>
          <w:sz w:val="26"/>
          <w:szCs w:val="26"/>
          <w:rtl/>
          <w:lang w:bidi="ar-JO"/>
        </w:rPr>
        <w:t xml:space="preserve"> </w:t>
      </w:r>
      <w:r w:rsidR="006F55A8">
        <w:rPr>
          <w:rFonts w:ascii="Simplified Arabic" w:hAnsi="Simplified Arabic" w:cs="Simplified Arabic" w:hint="cs"/>
          <w:color w:val="0D0D0D"/>
          <w:sz w:val="26"/>
          <w:szCs w:val="26"/>
          <w:rtl/>
          <w:lang w:bidi="ar-JO"/>
        </w:rPr>
        <w:t>"</w:t>
      </w:r>
      <w:r w:rsidR="00877267" w:rsidRPr="001C5CC9">
        <w:rPr>
          <w:rFonts w:ascii="Simplified Arabic" w:hAnsi="Simplified Arabic" w:cs="Simplified Arabic"/>
          <w:color w:val="0D0D0D"/>
          <w:sz w:val="26"/>
          <w:szCs w:val="26"/>
          <w:rtl/>
          <w:lang w:bidi="ar-JO"/>
        </w:rPr>
        <w:t>كوفيد-19</w:t>
      </w:r>
      <w:r w:rsidR="006F55A8">
        <w:rPr>
          <w:rFonts w:ascii="Simplified Arabic" w:hAnsi="Simplified Arabic" w:cs="Simplified Arabic" w:hint="cs"/>
          <w:color w:val="0D0D0D"/>
          <w:sz w:val="26"/>
          <w:szCs w:val="26"/>
          <w:rtl/>
          <w:lang w:bidi="ar-JO"/>
        </w:rPr>
        <w:t>"</w:t>
      </w:r>
      <w:r w:rsidRPr="001C5CC9">
        <w:rPr>
          <w:rFonts w:ascii="Simplified Arabic" w:hAnsi="Simplified Arabic" w:cs="Simplified Arabic"/>
          <w:color w:val="0D0D0D"/>
          <w:sz w:val="26"/>
          <w:szCs w:val="26"/>
          <w:rtl/>
          <w:lang w:bidi="ar-JO"/>
        </w:rPr>
        <w:t xml:space="preserve"> على مستوى العالم، واتخاذ الدول  ومنها فلسطين إجراءات غير مسبوقة من اجل الحد من انتشار هذا الفيروس والقضاء عليه، فان سوق العمل هو </w:t>
      </w:r>
      <w:r w:rsidRPr="001C5CC9">
        <w:rPr>
          <w:rFonts w:ascii="Simplified Arabic" w:hAnsi="Simplified Arabic" w:cs="Simplified Arabic"/>
          <w:color w:val="0D0D0D"/>
          <w:sz w:val="26"/>
          <w:szCs w:val="26"/>
          <w:rtl/>
        </w:rPr>
        <w:t xml:space="preserve">المتضرر المباشر </w:t>
      </w:r>
      <w:r w:rsidRPr="001C5CC9">
        <w:rPr>
          <w:rFonts w:ascii="Simplified Arabic" w:hAnsi="Simplified Arabic" w:cs="Simplified Arabic"/>
          <w:color w:val="0D0D0D"/>
          <w:sz w:val="26"/>
          <w:szCs w:val="26"/>
          <w:rtl/>
          <w:lang w:bidi="ar-JO"/>
        </w:rPr>
        <w:t>جراء ذلك،</w:t>
      </w:r>
      <w:r w:rsidRPr="001C5CC9">
        <w:rPr>
          <w:rFonts w:ascii="Simplified Arabic" w:hAnsi="Simplified Arabic" w:cs="Simplified Arabic"/>
          <w:color w:val="0D0D0D"/>
          <w:sz w:val="26"/>
          <w:szCs w:val="26"/>
          <w:rtl/>
        </w:rPr>
        <w:t xml:space="preserve"> وعليه وبمناسبة اليوم العالمي للعمال سيتم التطرق إلى أهم مؤشرات سوق العمل الفلسطيني</w:t>
      </w:r>
      <w:r w:rsidR="00877267" w:rsidRPr="001C5CC9">
        <w:rPr>
          <w:rFonts w:ascii="Simplified Arabic" w:hAnsi="Simplified Arabic" w:cs="Simplified Arabic"/>
          <w:color w:val="0D0D0D"/>
          <w:sz w:val="26"/>
          <w:szCs w:val="26"/>
          <w:rtl/>
        </w:rPr>
        <w:t>، مع التركيز على واقع العاملين في القطاعات المتوقع تضررها في ظل هذه الجائحة</w:t>
      </w:r>
      <w:r w:rsidR="0087639C" w:rsidRPr="001C5CC9">
        <w:rPr>
          <w:rFonts w:ascii="Simplified Arabic" w:hAnsi="Simplified Arabic" w:cs="Simplified Arabic"/>
          <w:color w:val="0D0D0D"/>
          <w:sz w:val="26"/>
          <w:szCs w:val="26"/>
          <w:rtl/>
        </w:rPr>
        <w:t>.</w:t>
      </w:r>
    </w:p>
    <w:p w:rsidR="001C5CC9" w:rsidRPr="001C5CC9" w:rsidRDefault="001C5CC9" w:rsidP="001C5CC9">
      <w:pPr>
        <w:pStyle w:val="NormalWeb"/>
        <w:shd w:val="clear" w:color="auto" w:fill="FFFFFF"/>
        <w:bidi/>
        <w:spacing w:before="240" w:beforeAutospacing="0" w:after="0" w:afterAutospacing="0"/>
        <w:jc w:val="both"/>
        <w:rPr>
          <w:rFonts w:ascii="Simplified Arabic" w:hAnsi="Simplified Arabic" w:cs="Simplified Arabic"/>
          <w:color w:val="0D0D0D"/>
          <w:sz w:val="10"/>
          <w:szCs w:val="10"/>
        </w:rPr>
      </w:pPr>
    </w:p>
    <w:p w:rsidR="003515E4" w:rsidRPr="001C5CC9" w:rsidRDefault="003515E4" w:rsidP="00CD2C23">
      <w:pPr>
        <w:pStyle w:val="Heading1"/>
        <w:jc w:val="left"/>
        <w:rPr>
          <w:rFonts w:ascii="Simplified Arabic" w:hAnsi="Simplified Arabic"/>
          <w:color w:val="0D0D0D"/>
          <w:sz w:val="28"/>
          <w:szCs w:val="28"/>
          <w:rtl/>
        </w:rPr>
      </w:pPr>
      <w:r w:rsidRPr="001C5CC9">
        <w:rPr>
          <w:rFonts w:ascii="Simplified Arabic" w:hAnsi="Simplified Arabic"/>
          <w:sz w:val="28"/>
          <w:szCs w:val="28"/>
          <w:rtl/>
        </w:rPr>
        <w:t>أكثر من مليون عامل في فلسطين في 2019</w:t>
      </w:r>
    </w:p>
    <w:p w:rsidR="00810872" w:rsidRPr="001C5CC9" w:rsidRDefault="00810872" w:rsidP="00726381">
      <w:pPr>
        <w:pStyle w:val="NormalWeb"/>
        <w:shd w:val="clear" w:color="auto" w:fill="FFFFFF"/>
        <w:bidi/>
        <w:spacing w:before="240" w:beforeAutospacing="0" w:after="0" w:afterAutospacing="0"/>
        <w:jc w:val="both"/>
        <w:rPr>
          <w:rFonts w:ascii="Simplified Arabic" w:hAnsi="Simplified Arabic" w:cs="Simplified Arabic"/>
          <w:sz w:val="26"/>
          <w:szCs w:val="26"/>
          <w:rtl/>
        </w:rPr>
      </w:pPr>
      <w:r w:rsidRPr="001C5CC9">
        <w:rPr>
          <w:rFonts w:ascii="Simplified Arabic" w:hAnsi="Simplified Arabic" w:cs="Simplified Arabic"/>
          <w:sz w:val="26"/>
          <w:szCs w:val="26"/>
          <w:rtl/>
        </w:rPr>
        <w:t xml:space="preserve">بلغ عدد العاملين في فلسطين </w:t>
      </w:r>
      <w:r w:rsidRPr="001C5CC9">
        <w:rPr>
          <w:rFonts w:ascii="Simplified Arabic" w:hAnsi="Simplified Arabic" w:cs="Simplified Arabic"/>
          <w:sz w:val="26"/>
          <w:szCs w:val="26"/>
        </w:rPr>
        <w:t>1,010</w:t>
      </w:r>
      <w:r w:rsidRPr="001C5CC9">
        <w:rPr>
          <w:rFonts w:ascii="Simplified Arabic" w:hAnsi="Simplified Arabic" w:cs="Simplified Arabic"/>
          <w:sz w:val="26"/>
          <w:szCs w:val="26"/>
          <w:rtl/>
        </w:rPr>
        <w:t xml:space="preserve"> ألف عامل، بواقع </w:t>
      </w:r>
      <w:r w:rsidRPr="001C5CC9">
        <w:rPr>
          <w:rFonts w:ascii="Simplified Arabic" w:hAnsi="Simplified Arabic" w:cs="Simplified Arabic"/>
          <w:sz w:val="26"/>
          <w:szCs w:val="26"/>
        </w:rPr>
        <w:t>616</w:t>
      </w:r>
      <w:r w:rsidRPr="001C5CC9">
        <w:rPr>
          <w:rFonts w:ascii="Simplified Arabic" w:hAnsi="Simplified Arabic" w:cs="Simplified Arabic"/>
          <w:sz w:val="26"/>
          <w:szCs w:val="26"/>
          <w:rtl/>
        </w:rPr>
        <w:t xml:space="preserve"> ألف في الضفة الغربية و</w:t>
      </w:r>
      <w:r w:rsidRPr="001C5CC9">
        <w:rPr>
          <w:rFonts w:ascii="Simplified Arabic" w:hAnsi="Simplified Arabic" w:cs="Simplified Arabic"/>
          <w:sz w:val="26"/>
          <w:szCs w:val="26"/>
        </w:rPr>
        <w:t>261</w:t>
      </w:r>
      <w:r w:rsidRPr="001C5CC9">
        <w:rPr>
          <w:rFonts w:ascii="Simplified Arabic" w:hAnsi="Simplified Arabic" w:cs="Simplified Arabic"/>
          <w:sz w:val="26"/>
          <w:szCs w:val="26"/>
          <w:rtl/>
        </w:rPr>
        <w:t xml:space="preserve"> ألف في قطاع غزة و133 ألف في اسرائيل والمستعمرات.</w:t>
      </w:r>
    </w:p>
    <w:p w:rsidR="00884286" w:rsidRPr="001C5CC9" w:rsidRDefault="00884286" w:rsidP="004A6F8A">
      <w:pPr>
        <w:pStyle w:val="NormalWeb"/>
        <w:shd w:val="clear" w:color="auto" w:fill="FFFFFF"/>
        <w:bidi/>
        <w:spacing w:before="240" w:beforeAutospacing="0" w:after="0" w:afterAutospacing="0"/>
        <w:jc w:val="both"/>
        <w:rPr>
          <w:rFonts w:ascii="Simplified Arabic" w:eastAsia="Calibri" w:hAnsi="Simplified Arabic" w:cs="Simplified Arabic"/>
          <w:color w:val="000000"/>
          <w:sz w:val="26"/>
          <w:szCs w:val="26"/>
        </w:rPr>
      </w:pPr>
      <w:r w:rsidRPr="001C5CC9">
        <w:rPr>
          <w:rFonts w:ascii="Simplified Arabic" w:eastAsia="Calibri" w:hAnsi="Simplified Arabic" w:cs="Simplified Arabic"/>
          <w:color w:val="000000"/>
          <w:sz w:val="26"/>
          <w:szCs w:val="26"/>
          <w:rtl/>
        </w:rPr>
        <w:t xml:space="preserve"> </w:t>
      </w:r>
      <w:r w:rsidR="00810872" w:rsidRPr="001C5CC9">
        <w:rPr>
          <w:rFonts w:ascii="Simplified Arabic" w:eastAsia="Calibri" w:hAnsi="Simplified Arabic" w:cs="Simplified Arabic"/>
          <w:color w:val="000000"/>
          <w:sz w:val="26"/>
          <w:szCs w:val="26"/>
          <w:rtl/>
        </w:rPr>
        <w:t xml:space="preserve">يعمل </w:t>
      </w:r>
      <w:r w:rsidRPr="001C5CC9">
        <w:rPr>
          <w:rFonts w:ascii="Simplified Arabic" w:eastAsia="Calibri" w:hAnsi="Simplified Arabic" w:cs="Simplified Arabic"/>
          <w:color w:val="000000"/>
          <w:sz w:val="26"/>
          <w:szCs w:val="26"/>
          <w:rtl/>
        </w:rPr>
        <w:t>في السوق المحلي (العاملين في القطاع العام والخ</w:t>
      </w:r>
      <w:r w:rsidRPr="001C5CC9">
        <w:rPr>
          <w:rFonts w:ascii="Simplified Arabic" w:eastAsia="Calibri" w:hAnsi="Simplified Arabic" w:cs="Simplified Arabic"/>
          <w:color w:val="000000"/>
          <w:sz w:val="26"/>
          <w:szCs w:val="26"/>
          <w:rtl/>
          <w:lang w:eastAsia="ar-SA"/>
        </w:rPr>
        <w:t>اص</w:t>
      </w:r>
      <w:r w:rsidR="0076399D" w:rsidRPr="001C5CC9">
        <w:rPr>
          <w:rFonts w:ascii="Simplified Arabic" w:eastAsia="Calibri" w:hAnsi="Simplified Arabic" w:cs="Simplified Arabic"/>
          <w:color w:val="000000"/>
          <w:sz w:val="26"/>
          <w:szCs w:val="26"/>
          <w:rtl/>
          <w:lang w:eastAsia="ar-SA"/>
        </w:rPr>
        <w:t xml:space="preserve"> و</w:t>
      </w:r>
      <w:r w:rsidR="001B3C92" w:rsidRPr="001C5CC9">
        <w:rPr>
          <w:rFonts w:ascii="Simplified Arabic" w:eastAsia="Calibri" w:hAnsi="Simplified Arabic" w:cs="Simplified Arabic"/>
          <w:color w:val="000000"/>
          <w:sz w:val="26"/>
          <w:szCs w:val="26"/>
          <w:rtl/>
          <w:lang w:eastAsia="ar-SA"/>
        </w:rPr>
        <w:t xml:space="preserve">الدولي والانروا </w:t>
      </w:r>
      <w:r w:rsidR="008760C4" w:rsidRPr="001C5CC9">
        <w:rPr>
          <w:rFonts w:ascii="Simplified Arabic" w:eastAsia="Calibri" w:hAnsi="Simplified Arabic" w:cs="Simplified Arabic"/>
          <w:color w:val="000000"/>
          <w:sz w:val="26"/>
          <w:szCs w:val="26"/>
          <w:rtl/>
          <w:lang w:eastAsia="ar-SA"/>
        </w:rPr>
        <w:t>و</w:t>
      </w:r>
      <w:r w:rsidR="0076399D" w:rsidRPr="001C5CC9">
        <w:rPr>
          <w:rFonts w:ascii="Simplified Arabic" w:eastAsia="Calibri" w:hAnsi="Simplified Arabic" w:cs="Simplified Arabic"/>
          <w:color w:val="000000"/>
          <w:sz w:val="26"/>
          <w:szCs w:val="26"/>
          <w:rtl/>
          <w:lang w:eastAsia="ar-SA"/>
        </w:rPr>
        <w:t>الأهلي</w:t>
      </w:r>
      <w:r w:rsidRPr="001C5CC9">
        <w:rPr>
          <w:rFonts w:ascii="Simplified Arabic" w:eastAsia="Calibri" w:hAnsi="Simplified Arabic" w:cs="Simplified Arabic"/>
          <w:color w:val="000000"/>
          <w:sz w:val="26"/>
          <w:szCs w:val="26"/>
          <w:rtl/>
        </w:rPr>
        <w:t>) نحو</w:t>
      </w:r>
      <w:r w:rsidRPr="001C5CC9">
        <w:rPr>
          <w:rFonts w:ascii="Simplified Arabic" w:hAnsi="Simplified Arabic" w:cs="Simplified Arabic"/>
          <w:sz w:val="26"/>
          <w:szCs w:val="26"/>
          <w:rtl/>
        </w:rPr>
        <w:t xml:space="preserve"> </w:t>
      </w:r>
      <w:r w:rsidRPr="001C5CC9">
        <w:rPr>
          <w:rFonts w:ascii="Simplified Arabic" w:hAnsi="Simplified Arabic" w:cs="Simplified Arabic"/>
          <w:sz w:val="26"/>
          <w:szCs w:val="26"/>
        </w:rPr>
        <w:t>,100</w:t>
      </w:r>
      <w:r w:rsidRPr="001C5CC9">
        <w:rPr>
          <w:rFonts w:ascii="Simplified Arabic" w:hAnsi="Simplified Arabic" w:cs="Simplified Arabic"/>
          <w:sz w:val="26"/>
          <w:szCs w:val="26"/>
          <w:rtl/>
        </w:rPr>
        <w:t>877 عامل في العام 2019</w:t>
      </w:r>
      <w:r w:rsidR="004B2D9A" w:rsidRPr="001C5CC9">
        <w:rPr>
          <w:rFonts w:ascii="Simplified Arabic" w:hAnsi="Simplified Arabic" w:cs="Simplified Arabic"/>
          <w:sz w:val="26"/>
          <w:szCs w:val="26"/>
        </w:rPr>
        <w:t>.</w:t>
      </w:r>
      <w:r w:rsidRPr="001C5CC9">
        <w:rPr>
          <w:rFonts w:ascii="Simplified Arabic" w:hAnsi="Simplified Arabic" w:cs="Simplified Arabic"/>
          <w:sz w:val="26"/>
          <w:szCs w:val="26"/>
          <w:rtl/>
        </w:rPr>
        <w:t xml:space="preserve">  </w:t>
      </w:r>
      <w:r w:rsidR="00AF6B4F" w:rsidRPr="001C5CC9">
        <w:rPr>
          <w:rFonts w:ascii="Simplified Arabic" w:eastAsia="Calibri" w:hAnsi="Simplified Arabic" w:cs="Simplified Arabic"/>
          <w:color w:val="000000"/>
          <w:sz w:val="26"/>
          <w:szCs w:val="26"/>
          <w:rtl/>
        </w:rPr>
        <w:t>فبل</w:t>
      </w:r>
      <w:r w:rsidRPr="001C5CC9">
        <w:rPr>
          <w:rFonts w:ascii="Simplified Arabic" w:eastAsia="Calibri" w:hAnsi="Simplified Arabic" w:cs="Simplified Arabic"/>
          <w:color w:val="000000"/>
          <w:sz w:val="26"/>
          <w:szCs w:val="26"/>
          <w:rtl/>
        </w:rPr>
        <w:t xml:space="preserve">غ عدد المستخدمين </w:t>
      </w:r>
      <w:r w:rsidR="00AF6B4F" w:rsidRPr="001C5CC9">
        <w:rPr>
          <w:rFonts w:ascii="Simplified Arabic" w:eastAsia="Calibri" w:hAnsi="Simplified Arabic" w:cs="Simplified Arabic"/>
          <w:color w:val="000000"/>
          <w:sz w:val="26"/>
          <w:szCs w:val="26"/>
          <w:rtl/>
        </w:rPr>
        <w:t xml:space="preserve">منهم </w:t>
      </w:r>
      <w:r w:rsidRPr="001C5CC9">
        <w:rPr>
          <w:rFonts w:ascii="Simplified Arabic" w:eastAsia="Calibri" w:hAnsi="Simplified Arabic" w:cs="Simplified Arabic"/>
          <w:color w:val="000000"/>
          <w:sz w:val="26"/>
          <w:szCs w:val="26"/>
          <w:rtl/>
        </w:rPr>
        <w:t xml:space="preserve">بأجر في القطاع الخاص نحو </w:t>
      </w:r>
      <w:r w:rsidR="001D06DA" w:rsidRPr="001C5CC9">
        <w:rPr>
          <w:rFonts w:ascii="Simplified Arabic" w:eastAsia="Calibri" w:hAnsi="Simplified Arabic" w:cs="Simplified Arabic"/>
          <w:color w:val="000000"/>
          <w:sz w:val="26"/>
          <w:szCs w:val="26"/>
          <w:rtl/>
        </w:rPr>
        <w:t>3</w:t>
      </w:r>
      <w:r w:rsidRPr="001C5CC9">
        <w:rPr>
          <w:rFonts w:ascii="Simplified Arabic" w:eastAsia="Calibri" w:hAnsi="Simplified Arabic" w:cs="Simplified Arabic"/>
          <w:color w:val="000000"/>
          <w:sz w:val="26"/>
          <w:szCs w:val="26"/>
          <w:rtl/>
        </w:rPr>
        <w:t>90</w:t>
      </w:r>
      <w:r w:rsidR="00C31D45" w:rsidRPr="001C5CC9">
        <w:rPr>
          <w:rFonts w:ascii="Simplified Arabic" w:eastAsia="Calibri" w:hAnsi="Simplified Arabic" w:cs="Simplified Arabic"/>
          <w:color w:val="000000"/>
          <w:sz w:val="26"/>
          <w:szCs w:val="26"/>
          <w:rtl/>
        </w:rPr>
        <w:t>,7</w:t>
      </w:r>
      <w:r w:rsidR="003977C2" w:rsidRPr="001C5CC9">
        <w:rPr>
          <w:rFonts w:ascii="Simplified Arabic" w:eastAsia="Calibri" w:hAnsi="Simplified Arabic" w:cs="Simplified Arabic"/>
          <w:color w:val="000000"/>
          <w:sz w:val="26"/>
          <w:szCs w:val="26"/>
          <w:rtl/>
        </w:rPr>
        <w:t>00 عامل، بواقع 275</w:t>
      </w:r>
      <w:r w:rsidRPr="001C5CC9">
        <w:rPr>
          <w:rFonts w:ascii="Simplified Arabic" w:eastAsia="Calibri" w:hAnsi="Simplified Arabic" w:cs="Simplified Arabic"/>
          <w:color w:val="000000"/>
          <w:sz w:val="26"/>
          <w:szCs w:val="26"/>
          <w:rtl/>
        </w:rPr>
        <w:t>,</w:t>
      </w:r>
      <w:r w:rsidR="003977C2" w:rsidRPr="001C5CC9">
        <w:rPr>
          <w:rFonts w:ascii="Simplified Arabic" w:eastAsia="Calibri" w:hAnsi="Simplified Arabic" w:cs="Simplified Arabic"/>
          <w:color w:val="000000"/>
          <w:sz w:val="26"/>
          <w:szCs w:val="26"/>
          <w:rtl/>
        </w:rPr>
        <w:t>700 في الضفة الغربية و11</w:t>
      </w:r>
      <w:r w:rsidRPr="001C5CC9">
        <w:rPr>
          <w:rFonts w:ascii="Simplified Arabic" w:eastAsia="Calibri" w:hAnsi="Simplified Arabic" w:cs="Simplified Arabic"/>
          <w:color w:val="000000"/>
          <w:sz w:val="26"/>
          <w:szCs w:val="26"/>
          <w:rtl/>
        </w:rPr>
        <w:t>5,</w:t>
      </w:r>
      <w:r w:rsidR="003977C2" w:rsidRPr="001C5CC9">
        <w:rPr>
          <w:rFonts w:ascii="Simplified Arabic" w:eastAsia="Calibri" w:hAnsi="Simplified Arabic" w:cs="Simplified Arabic"/>
          <w:color w:val="000000"/>
          <w:sz w:val="26"/>
          <w:szCs w:val="26"/>
          <w:rtl/>
        </w:rPr>
        <w:t>0</w:t>
      </w:r>
      <w:r w:rsidRPr="001C5CC9">
        <w:rPr>
          <w:rFonts w:ascii="Simplified Arabic" w:eastAsia="Calibri" w:hAnsi="Simplified Arabic" w:cs="Simplified Arabic"/>
          <w:color w:val="000000"/>
          <w:sz w:val="26"/>
          <w:szCs w:val="26"/>
          <w:rtl/>
        </w:rPr>
        <w:t xml:space="preserve">00 في قطاع غزة، منهم </w:t>
      </w:r>
      <w:r w:rsidR="003977C2" w:rsidRPr="001C5CC9">
        <w:rPr>
          <w:rFonts w:ascii="Simplified Arabic" w:eastAsia="Calibri" w:hAnsi="Simplified Arabic" w:cs="Simplified Arabic"/>
          <w:color w:val="000000"/>
          <w:sz w:val="26"/>
          <w:szCs w:val="26"/>
          <w:rtl/>
        </w:rPr>
        <w:t>318,1</w:t>
      </w:r>
      <w:r w:rsidRPr="001C5CC9">
        <w:rPr>
          <w:rFonts w:ascii="Simplified Arabic" w:eastAsia="Calibri" w:hAnsi="Simplified Arabic" w:cs="Simplified Arabic"/>
          <w:color w:val="000000"/>
          <w:sz w:val="26"/>
          <w:szCs w:val="26"/>
          <w:rtl/>
        </w:rPr>
        <w:t>00 من الذكور و</w:t>
      </w:r>
      <w:r w:rsidR="003977C2" w:rsidRPr="001C5CC9">
        <w:rPr>
          <w:rFonts w:ascii="Simplified Arabic" w:eastAsia="Calibri" w:hAnsi="Simplified Arabic" w:cs="Simplified Arabic"/>
          <w:color w:val="000000"/>
          <w:sz w:val="26"/>
          <w:szCs w:val="26"/>
          <w:rtl/>
        </w:rPr>
        <w:t>72,6</w:t>
      </w:r>
      <w:r w:rsidRPr="001C5CC9">
        <w:rPr>
          <w:rFonts w:ascii="Simplified Arabic" w:eastAsia="Calibri" w:hAnsi="Simplified Arabic" w:cs="Simplified Arabic"/>
          <w:color w:val="000000"/>
          <w:sz w:val="26"/>
          <w:szCs w:val="26"/>
          <w:rtl/>
        </w:rPr>
        <w:t>00 من الإناث.</w:t>
      </w:r>
    </w:p>
    <w:p w:rsidR="00884286" w:rsidRPr="001C5CC9" w:rsidRDefault="00884286" w:rsidP="007E3ABB">
      <w:pPr>
        <w:pStyle w:val="NormalWeb"/>
        <w:shd w:val="clear" w:color="auto" w:fill="FFFFFF"/>
        <w:bidi/>
        <w:spacing w:before="240" w:beforeAutospacing="0" w:after="0" w:afterAutospacing="0"/>
        <w:jc w:val="both"/>
        <w:rPr>
          <w:rFonts w:ascii="Simplified Arabic" w:eastAsia="Calibri" w:hAnsi="Simplified Arabic" w:cs="Simplified Arabic"/>
          <w:color w:val="000000"/>
          <w:sz w:val="26"/>
          <w:szCs w:val="26"/>
          <w:rtl/>
        </w:rPr>
      </w:pPr>
      <w:r w:rsidRPr="001C5CC9">
        <w:rPr>
          <w:rFonts w:ascii="Simplified Arabic" w:eastAsia="Calibri" w:hAnsi="Simplified Arabic" w:cs="Simplified Arabic"/>
          <w:color w:val="000000"/>
          <w:sz w:val="26"/>
          <w:szCs w:val="26"/>
          <w:rtl/>
        </w:rPr>
        <w:t>يتوزع العاملون في القطاع الخاص</w:t>
      </w:r>
      <w:r w:rsidR="007E3ABB" w:rsidRPr="001C5CC9">
        <w:rPr>
          <w:rFonts w:ascii="Simplified Arabic" w:eastAsia="Calibri" w:hAnsi="Simplified Arabic" w:cs="Simplified Arabic"/>
          <w:color w:val="000000"/>
          <w:sz w:val="26"/>
          <w:szCs w:val="26"/>
        </w:rPr>
        <w:t xml:space="preserve"> </w:t>
      </w:r>
      <w:r w:rsidRPr="001C5CC9">
        <w:rPr>
          <w:rFonts w:ascii="Simplified Arabic" w:eastAsia="Calibri" w:hAnsi="Simplified Arabic" w:cs="Simplified Arabic"/>
          <w:color w:val="000000"/>
          <w:sz w:val="26"/>
          <w:szCs w:val="26"/>
          <w:rtl/>
        </w:rPr>
        <w:t xml:space="preserve">حسب الحالة العملية بواقع </w:t>
      </w:r>
      <w:r w:rsidR="00907EFE" w:rsidRPr="001C5CC9">
        <w:rPr>
          <w:rFonts w:ascii="Simplified Arabic" w:eastAsia="Calibri" w:hAnsi="Simplified Arabic" w:cs="Simplified Arabic"/>
          <w:color w:val="000000"/>
          <w:sz w:val="26"/>
          <w:szCs w:val="26"/>
          <w:rtl/>
        </w:rPr>
        <w:t xml:space="preserve">60,700 </w:t>
      </w:r>
      <w:r w:rsidRPr="001C5CC9">
        <w:rPr>
          <w:rFonts w:ascii="Simplified Arabic" w:eastAsia="Calibri" w:hAnsi="Simplified Arabic" w:cs="Simplified Arabic"/>
          <w:color w:val="000000"/>
          <w:sz w:val="26"/>
          <w:szCs w:val="26"/>
          <w:rtl/>
        </w:rPr>
        <w:t xml:space="preserve">عامل مصنفون "كصاحب عمل" (أي يعمل في منشأة يملكها أو يملك جزء منها ولديه على </w:t>
      </w:r>
      <w:r w:rsidR="00C11E36" w:rsidRPr="001C5CC9">
        <w:rPr>
          <w:rFonts w:ascii="Simplified Arabic" w:eastAsia="Calibri" w:hAnsi="Simplified Arabic" w:cs="Simplified Arabic"/>
          <w:color w:val="000000"/>
          <w:sz w:val="26"/>
          <w:szCs w:val="26"/>
          <w:rtl/>
        </w:rPr>
        <w:t>الأ</w:t>
      </w:r>
      <w:r w:rsidRPr="001C5CC9">
        <w:rPr>
          <w:rFonts w:ascii="Simplified Arabic" w:eastAsia="Calibri" w:hAnsi="Simplified Arabic" w:cs="Simplified Arabic"/>
          <w:color w:val="000000"/>
          <w:sz w:val="26"/>
          <w:szCs w:val="26"/>
          <w:rtl/>
        </w:rPr>
        <w:t xml:space="preserve">قل مستخدم واحد بأجر) منهم </w:t>
      </w:r>
      <w:r w:rsidR="00907EFE" w:rsidRPr="001C5CC9">
        <w:rPr>
          <w:rFonts w:ascii="Simplified Arabic" w:eastAsia="Calibri" w:hAnsi="Simplified Arabic" w:cs="Simplified Arabic"/>
          <w:color w:val="000000"/>
          <w:sz w:val="26"/>
          <w:szCs w:val="26"/>
          <w:rtl/>
        </w:rPr>
        <w:t>52,</w:t>
      </w:r>
      <w:r w:rsidR="003141D3" w:rsidRPr="001C5CC9">
        <w:rPr>
          <w:rFonts w:ascii="Simplified Arabic" w:eastAsia="Calibri" w:hAnsi="Simplified Arabic" w:cs="Simplified Arabic"/>
          <w:color w:val="000000"/>
          <w:sz w:val="26"/>
          <w:szCs w:val="26"/>
          <w:rtl/>
        </w:rPr>
        <w:t>3</w:t>
      </w:r>
      <w:r w:rsidR="00907EFE" w:rsidRPr="001C5CC9">
        <w:rPr>
          <w:rFonts w:ascii="Simplified Arabic" w:eastAsia="Calibri" w:hAnsi="Simplified Arabic" w:cs="Simplified Arabic"/>
          <w:color w:val="000000"/>
          <w:sz w:val="26"/>
          <w:szCs w:val="26"/>
          <w:rtl/>
        </w:rPr>
        <w:t xml:space="preserve">00 </w:t>
      </w:r>
      <w:r w:rsidRPr="001C5CC9">
        <w:rPr>
          <w:rFonts w:ascii="Simplified Arabic" w:eastAsia="Calibri" w:hAnsi="Simplified Arabic" w:cs="Simplified Arabic"/>
          <w:color w:val="000000"/>
          <w:sz w:val="26"/>
          <w:szCs w:val="26"/>
          <w:rtl/>
        </w:rPr>
        <w:t xml:space="preserve">في الضفة الغربية </w:t>
      </w:r>
      <w:r w:rsidR="00907EFE" w:rsidRPr="001C5CC9">
        <w:rPr>
          <w:rFonts w:ascii="Simplified Arabic" w:eastAsia="Calibri" w:hAnsi="Simplified Arabic" w:cs="Simplified Arabic"/>
          <w:color w:val="000000"/>
          <w:sz w:val="26"/>
          <w:szCs w:val="26"/>
          <w:rtl/>
        </w:rPr>
        <w:t xml:space="preserve">و 8,400 </w:t>
      </w:r>
      <w:r w:rsidRPr="001C5CC9">
        <w:rPr>
          <w:rFonts w:ascii="Simplified Arabic" w:eastAsia="Calibri" w:hAnsi="Simplified Arabic" w:cs="Simplified Arabic"/>
          <w:color w:val="000000"/>
          <w:sz w:val="26"/>
          <w:szCs w:val="26"/>
          <w:rtl/>
        </w:rPr>
        <w:t xml:space="preserve">في قطاع غزة، </w:t>
      </w:r>
      <w:r w:rsidR="00AF6B4F" w:rsidRPr="001C5CC9">
        <w:rPr>
          <w:rFonts w:ascii="Simplified Arabic" w:eastAsia="Calibri" w:hAnsi="Simplified Arabic" w:cs="Simplified Arabic"/>
          <w:color w:val="000000"/>
          <w:sz w:val="26"/>
          <w:szCs w:val="26"/>
          <w:rtl/>
        </w:rPr>
        <w:t>و</w:t>
      </w:r>
      <w:r w:rsidR="00907EFE" w:rsidRPr="001C5CC9">
        <w:rPr>
          <w:rFonts w:ascii="Simplified Arabic" w:eastAsia="Calibri" w:hAnsi="Simplified Arabic" w:cs="Simplified Arabic"/>
          <w:color w:val="000000"/>
          <w:sz w:val="26"/>
          <w:szCs w:val="26"/>
          <w:rtl/>
        </w:rPr>
        <w:t xml:space="preserve">176,900 </w:t>
      </w:r>
      <w:r w:rsidR="00AF6B4F" w:rsidRPr="001C5CC9">
        <w:rPr>
          <w:rFonts w:ascii="Simplified Arabic" w:eastAsia="Calibri" w:hAnsi="Simplified Arabic" w:cs="Simplified Arabic"/>
          <w:color w:val="000000"/>
          <w:sz w:val="26"/>
          <w:szCs w:val="26"/>
          <w:rtl/>
        </w:rPr>
        <w:t xml:space="preserve">عامل </w:t>
      </w:r>
      <w:r w:rsidRPr="001C5CC9">
        <w:rPr>
          <w:rFonts w:ascii="Simplified Arabic" w:eastAsia="Calibri" w:hAnsi="Simplified Arabic" w:cs="Simplified Arabic"/>
          <w:color w:val="000000"/>
          <w:sz w:val="26"/>
          <w:szCs w:val="26"/>
          <w:rtl/>
        </w:rPr>
        <w:t xml:space="preserve">يندرجون تحت تصنيف "يعمل لحسابه" (اي يعمل في مؤسسة يملكها أو يملك جزء منها وليس لديه أي مستخدم بأجر)، بواقع </w:t>
      </w:r>
      <w:r w:rsidR="003141D3" w:rsidRPr="001C5CC9">
        <w:rPr>
          <w:rFonts w:ascii="Simplified Arabic" w:eastAsia="Calibri" w:hAnsi="Simplified Arabic" w:cs="Simplified Arabic"/>
          <w:color w:val="000000"/>
          <w:sz w:val="26"/>
          <w:szCs w:val="26"/>
          <w:rtl/>
        </w:rPr>
        <w:t xml:space="preserve"> 1</w:t>
      </w:r>
      <w:r w:rsidR="00907EFE" w:rsidRPr="001C5CC9">
        <w:rPr>
          <w:rFonts w:ascii="Simplified Arabic" w:eastAsia="Calibri" w:hAnsi="Simplified Arabic" w:cs="Simplified Arabic"/>
          <w:color w:val="000000"/>
          <w:sz w:val="26"/>
          <w:szCs w:val="26"/>
          <w:rtl/>
        </w:rPr>
        <w:t>39,700</w:t>
      </w:r>
      <w:r w:rsidR="003141D3" w:rsidRPr="001C5CC9">
        <w:rPr>
          <w:rFonts w:ascii="Simplified Arabic" w:eastAsia="Calibri" w:hAnsi="Simplified Arabic" w:cs="Simplified Arabic"/>
          <w:color w:val="000000"/>
          <w:sz w:val="26"/>
          <w:szCs w:val="26"/>
          <w:rtl/>
        </w:rPr>
        <w:t xml:space="preserve"> </w:t>
      </w:r>
      <w:r w:rsidRPr="001C5CC9">
        <w:rPr>
          <w:rFonts w:ascii="Simplified Arabic" w:eastAsia="Calibri" w:hAnsi="Simplified Arabic" w:cs="Simplified Arabic"/>
          <w:color w:val="000000"/>
          <w:sz w:val="26"/>
          <w:szCs w:val="26"/>
          <w:rtl/>
        </w:rPr>
        <w:t xml:space="preserve">في الضفة الغربية </w:t>
      </w:r>
      <w:r w:rsidR="00907EFE" w:rsidRPr="001C5CC9">
        <w:rPr>
          <w:rFonts w:ascii="Simplified Arabic" w:eastAsia="Calibri" w:hAnsi="Simplified Arabic" w:cs="Simplified Arabic"/>
          <w:color w:val="000000"/>
          <w:sz w:val="26"/>
          <w:szCs w:val="26"/>
          <w:rtl/>
        </w:rPr>
        <w:t>و3</w:t>
      </w:r>
      <w:r w:rsidR="003141D3" w:rsidRPr="001C5CC9">
        <w:rPr>
          <w:rFonts w:ascii="Simplified Arabic" w:eastAsia="Calibri" w:hAnsi="Simplified Arabic" w:cs="Simplified Arabic"/>
          <w:color w:val="000000"/>
          <w:sz w:val="26"/>
          <w:szCs w:val="26"/>
          <w:rtl/>
        </w:rPr>
        <w:t>7</w:t>
      </w:r>
      <w:r w:rsidR="00907EFE" w:rsidRPr="001C5CC9">
        <w:rPr>
          <w:rFonts w:ascii="Simplified Arabic" w:eastAsia="Calibri" w:hAnsi="Simplified Arabic" w:cs="Simplified Arabic"/>
          <w:color w:val="000000"/>
          <w:sz w:val="26"/>
          <w:szCs w:val="26"/>
          <w:rtl/>
        </w:rPr>
        <w:t xml:space="preserve">,200 </w:t>
      </w:r>
      <w:r w:rsidRPr="001C5CC9">
        <w:rPr>
          <w:rFonts w:ascii="Simplified Arabic" w:eastAsia="Calibri" w:hAnsi="Simplified Arabic" w:cs="Simplified Arabic"/>
          <w:color w:val="000000"/>
          <w:sz w:val="26"/>
          <w:szCs w:val="26"/>
          <w:rtl/>
        </w:rPr>
        <w:t xml:space="preserve">في قطاع غزة، وهناك نحو </w:t>
      </w:r>
      <w:r w:rsidR="003141D3" w:rsidRPr="001C5CC9">
        <w:rPr>
          <w:rFonts w:ascii="Simplified Arabic" w:eastAsia="Calibri" w:hAnsi="Simplified Arabic" w:cs="Simplified Arabic"/>
          <w:color w:val="000000"/>
          <w:sz w:val="26"/>
          <w:szCs w:val="26"/>
          <w:rtl/>
        </w:rPr>
        <w:t>390,7</w:t>
      </w:r>
      <w:r w:rsidR="00907EFE" w:rsidRPr="001C5CC9">
        <w:rPr>
          <w:rFonts w:ascii="Simplified Arabic" w:eastAsia="Calibri" w:hAnsi="Simplified Arabic" w:cs="Simplified Arabic"/>
          <w:color w:val="000000"/>
          <w:sz w:val="26"/>
          <w:szCs w:val="26"/>
          <w:rtl/>
        </w:rPr>
        <w:t xml:space="preserve">00 </w:t>
      </w:r>
      <w:r w:rsidRPr="001C5CC9">
        <w:rPr>
          <w:rFonts w:ascii="Simplified Arabic" w:eastAsia="Calibri" w:hAnsi="Simplified Arabic" w:cs="Simplified Arabic"/>
          <w:color w:val="000000"/>
          <w:sz w:val="26"/>
          <w:szCs w:val="26"/>
          <w:rtl/>
        </w:rPr>
        <w:t xml:space="preserve">مصنفون "كمستخدم بأجر"، بواقع </w:t>
      </w:r>
      <w:r w:rsidR="003141D3" w:rsidRPr="001C5CC9">
        <w:rPr>
          <w:rFonts w:ascii="Simplified Arabic" w:eastAsia="Calibri" w:hAnsi="Simplified Arabic" w:cs="Simplified Arabic"/>
          <w:color w:val="000000"/>
          <w:sz w:val="26"/>
          <w:szCs w:val="26"/>
          <w:rtl/>
        </w:rPr>
        <w:t>275,7</w:t>
      </w:r>
      <w:r w:rsidR="00907EFE" w:rsidRPr="001C5CC9">
        <w:rPr>
          <w:rFonts w:ascii="Simplified Arabic" w:eastAsia="Calibri" w:hAnsi="Simplified Arabic" w:cs="Simplified Arabic"/>
          <w:color w:val="000000"/>
          <w:sz w:val="26"/>
          <w:szCs w:val="26"/>
          <w:rtl/>
        </w:rPr>
        <w:t xml:space="preserve">00 </w:t>
      </w:r>
      <w:r w:rsidR="000928A9" w:rsidRPr="001C5CC9">
        <w:rPr>
          <w:rFonts w:ascii="Simplified Arabic" w:eastAsia="Calibri" w:hAnsi="Simplified Arabic" w:cs="Simplified Arabic"/>
          <w:color w:val="000000"/>
          <w:sz w:val="26"/>
          <w:szCs w:val="26"/>
          <w:rtl/>
        </w:rPr>
        <w:t>في</w:t>
      </w:r>
      <w:r w:rsidRPr="001C5CC9">
        <w:rPr>
          <w:rFonts w:ascii="Simplified Arabic" w:eastAsia="Calibri" w:hAnsi="Simplified Arabic" w:cs="Simplified Arabic"/>
          <w:color w:val="000000"/>
          <w:sz w:val="26"/>
          <w:szCs w:val="26"/>
          <w:rtl/>
        </w:rPr>
        <w:t xml:space="preserve"> الضفة الغربية </w:t>
      </w:r>
      <w:r w:rsidR="00907EFE" w:rsidRPr="001C5CC9">
        <w:rPr>
          <w:rFonts w:ascii="Simplified Arabic" w:eastAsia="Calibri" w:hAnsi="Simplified Arabic" w:cs="Simplified Arabic"/>
          <w:color w:val="000000"/>
          <w:sz w:val="26"/>
          <w:szCs w:val="26"/>
          <w:rtl/>
        </w:rPr>
        <w:t>و115,000</w:t>
      </w:r>
      <w:r w:rsidRPr="001C5CC9">
        <w:rPr>
          <w:rFonts w:ascii="Simplified Arabic" w:eastAsia="Calibri" w:hAnsi="Simplified Arabic" w:cs="Simplified Arabic"/>
          <w:color w:val="000000"/>
          <w:sz w:val="26"/>
          <w:szCs w:val="26"/>
          <w:rtl/>
        </w:rPr>
        <w:t xml:space="preserve"> في قطاع غزة، في حين ان هناك حوالي </w:t>
      </w:r>
      <w:r w:rsidR="00907EFE" w:rsidRPr="001C5CC9">
        <w:rPr>
          <w:rFonts w:ascii="Simplified Arabic" w:eastAsia="Calibri" w:hAnsi="Simplified Arabic" w:cs="Simplified Arabic"/>
          <w:color w:val="000000"/>
          <w:sz w:val="26"/>
          <w:szCs w:val="26"/>
          <w:rtl/>
        </w:rPr>
        <w:t xml:space="preserve">39,300 </w:t>
      </w:r>
      <w:r w:rsidRPr="001C5CC9">
        <w:rPr>
          <w:rFonts w:ascii="Simplified Arabic" w:eastAsia="Calibri" w:hAnsi="Simplified Arabic" w:cs="Simplified Arabic"/>
          <w:color w:val="000000"/>
          <w:sz w:val="26"/>
          <w:szCs w:val="26"/>
          <w:rtl/>
        </w:rPr>
        <w:t xml:space="preserve">عامل يعملون كعضو أسرة غير مدفوع الأجر، بواقع </w:t>
      </w:r>
      <w:r w:rsidR="00907EFE" w:rsidRPr="001C5CC9">
        <w:rPr>
          <w:rFonts w:ascii="Simplified Arabic" w:eastAsia="Calibri" w:hAnsi="Simplified Arabic" w:cs="Simplified Arabic"/>
          <w:color w:val="000000"/>
          <w:sz w:val="26"/>
          <w:szCs w:val="26"/>
          <w:rtl/>
        </w:rPr>
        <w:t xml:space="preserve">33,900 </w:t>
      </w:r>
      <w:r w:rsidRPr="001C5CC9">
        <w:rPr>
          <w:rFonts w:ascii="Simplified Arabic" w:eastAsia="Calibri" w:hAnsi="Simplified Arabic" w:cs="Simplified Arabic"/>
          <w:color w:val="000000"/>
          <w:sz w:val="26"/>
          <w:szCs w:val="26"/>
          <w:rtl/>
        </w:rPr>
        <w:t xml:space="preserve">في الضفة الغربية وحوالي </w:t>
      </w:r>
      <w:r w:rsidR="00907EFE" w:rsidRPr="001C5CC9">
        <w:rPr>
          <w:rFonts w:ascii="Simplified Arabic" w:eastAsia="Calibri" w:hAnsi="Simplified Arabic" w:cs="Simplified Arabic"/>
          <w:color w:val="000000"/>
          <w:sz w:val="26"/>
          <w:szCs w:val="26"/>
          <w:rtl/>
        </w:rPr>
        <w:t xml:space="preserve">5,400 </w:t>
      </w:r>
      <w:r w:rsidRPr="001C5CC9">
        <w:rPr>
          <w:rFonts w:ascii="Simplified Arabic" w:eastAsia="Calibri" w:hAnsi="Simplified Arabic" w:cs="Simplified Arabic"/>
          <w:color w:val="000000"/>
          <w:sz w:val="26"/>
          <w:szCs w:val="26"/>
          <w:rtl/>
        </w:rPr>
        <w:t>في قطاع غزة.</w:t>
      </w:r>
    </w:p>
    <w:p w:rsidR="00CD2C23" w:rsidRPr="001C5CC9" w:rsidRDefault="001B3898" w:rsidP="001B3898">
      <w:pPr>
        <w:pStyle w:val="NormalWeb"/>
        <w:shd w:val="clear" w:color="auto" w:fill="FFFFFF"/>
        <w:bidi/>
        <w:spacing w:before="240" w:beforeAutospacing="0" w:after="0" w:afterAutospacing="0"/>
        <w:jc w:val="both"/>
        <w:rPr>
          <w:rFonts w:ascii="Simplified Arabic" w:eastAsia="Calibri" w:hAnsi="Simplified Arabic" w:cs="Simplified Arabic"/>
          <w:color w:val="000000"/>
          <w:sz w:val="26"/>
          <w:szCs w:val="26"/>
          <w:rtl/>
        </w:rPr>
      </w:pPr>
      <w:r w:rsidRPr="001C5CC9">
        <w:rPr>
          <w:rFonts w:ascii="Simplified Arabic" w:eastAsia="Calibri" w:hAnsi="Simplified Arabic" w:cs="Simplified Arabic"/>
          <w:color w:val="000000"/>
          <w:sz w:val="26"/>
          <w:szCs w:val="26"/>
          <w:rtl/>
        </w:rPr>
        <w:t xml:space="preserve">يعتبر نشاط المطاعم والفنادق والتجارة المشغل الأكبر للعاملين في القطاع الخاص حيث يعمل فيه 32% من العاملين بواقع 31.1% في الضفة الغربية و34.8% في قطاع غزة، يليه نشاط الخدمات حيث يعمل فيه 22.4% من العاملين في القطاع الخاص بواقع 19.9% في الضفة الغربية و30.1% في قطاع غزة، يليه قطاع الصناعة بنسبة 16.0% بواقع 18.1% في الضفة الغربية </w:t>
      </w:r>
      <w:r w:rsidR="00467835" w:rsidRPr="001C5CC9">
        <w:rPr>
          <w:rFonts w:ascii="Simplified Arabic" w:eastAsia="Calibri" w:hAnsi="Simplified Arabic" w:cs="Simplified Arabic"/>
          <w:color w:val="000000"/>
          <w:sz w:val="26"/>
          <w:szCs w:val="26"/>
          <w:rtl/>
        </w:rPr>
        <w:t>9.7% في قطاع غزة، ويتوزع باقي العاملين على الأنشطة المتبقية المختلفة.</w:t>
      </w:r>
    </w:p>
    <w:p w:rsidR="00FE3F6F" w:rsidRPr="001C5CC9" w:rsidRDefault="00FE3F6F" w:rsidP="00660B5C">
      <w:pPr>
        <w:pStyle w:val="NoSpacing"/>
        <w:ind w:left="48"/>
        <w:jc w:val="both"/>
        <w:rPr>
          <w:rFonts w:ascii="Simplified Arabic" w:eastAsia="Calibri" w:hAnsi="Simplified Arabic" w:cs="Simplified Arabic"/>
          <w:color w:val="000000"/>
          <w:sz w:val="26"/>
          <w:szCs w:val="26"/>
          <w:rtl/>
          <w:lang w:eastAsia="en-US"/>
        </w:rPr>
      </w:pPr>
    </w:p>
    <w:p w:rsidR="00FE3F6F" w:rsidRPr="001C5CC9" w:rsidDel="00053F21" w:rsidRDefault="00FE3F6F" w:rsidP="00FE3F6F">
      <w:pPr>
        <w:widowControl w:val="0"/>
        <w:jc w:val="lowKashida"/>
        <w:rPr>
          <w:rFonts w:ascii="Simplified Arabic" w:hAnsi="Simplified Arabic" w:cs="Simplified Arabic"/>
          <w:color w:val="000000"/>
          <w:sz w:val="26"/>
          <w:szCs w:val="26"/>
          <w:rtl/>
        </w:rPr>
      </w:pPr>
    </w:p>
    <w:p w:rsidR="00FE3F6F" w:rsidRPr="001C5CC9" w:rsidRDefault="00FE3F6F" w:rsidP="007E3ABB">
      <w:pPr>
        <w:pStyle w:val="BodyText"/>
        <w:ind w:left="126"/>
        <w:jc w:val="both"/>
        <w:rPr>
          <w:rFonts w:ascii="Simplified Arabic" w:eastAsia="Calibri" w:hAnsi="Simplified Arabic"/>
          <w:color w:val="000000"/>
          <w:sz w:val="26"/>
          <w:szCs w:val="26"/>
          <w:rtl/>
        </w:rPr>
      </w:pPr>
      <w:r w:rsidRPr="001C5CC9">
        <w:rPr>
          <w:rFonts w:ascii="Simplified Arabic" w:eastAsia="Calibri" w:hAnsi="Simplified Arabic"/>
          <w:b/>
          <w:bCs/>
          <w:color w:val="000000"/>
          <w:sz w:val="28"/>
          <w:szCs w:val="28"/>
          <w:rtl/>
          <w:lang w:bidi="ar-JO"/>
        </w:rPr>
        <w:lastRenderedPageBreak/>
        <w:t>النساء في القطاع الخاص</w:t>
      </w:r>
      <w:r w:rsidR="0087639C" w:rsidRPr="001C5CC9">
        <w:rPr>
          <w:rFonts w:ascii="Simplified Arabic" w:eastAsia="Calibri" w:hAnsi="Simplified Arabic"/>
          <w:b/>
          <w:bCs/>
          <w:color w:val="000000"/>
          <w:sz w:val="28"/>
          <w:szCs w:val="28"/>
          <w:rtl/>
          <w:lang w:bidi="ar-JO"/>
        </w:rPr>
        <w:t>:</w:t>
      </w:r>
      <w:r w:rsidRPr="001C5CC9">
        <w:rPr>
          <w:rFonts w:ascii="Simplified Arabic" w:eastAsia="Calibri" w:hAnsi="Simplified Arabic"/>
          <w:color w:val="000000"/>
          <w:sz w:val="26"/>
          <w:szCs w:val="26"/>
          <w:rtl/>
          <w:lang w:bidi="ar-JO"/>
        </w:rPr>
        <w:t xml:space="preserve"> بلغ عدد النساء العاملات في القطاع الخاص </w:t>
      </w:r>
      <w:r w:rsidRPr="001C5CC9">
        <w:rPr>
          <w:rFonts w:ascii="Simplified Arabic" w:eastAsia="Calibri" w:hAnsi="Simplified Arabic"/>
          <w:color w:val="000000"/>
          <w:sz w:val="26"/>
          <w:szCs w:val="26"/>
          <w:rtl/>
        </w:rPr>
        <w:t>109 آلاف</w:t>
      </w:r>
      <w:r w:rsidRPr="001C5CC9">
        <w:rPr>
          <w:rFonts w:ascii="Simplified Arabic" w:eastAsia="Calibri" w:hAnsi="Simplified Arabic"/>
          <w:color w:val="000000"/>
          <w:sz w:val="26"/>
          <w:szCs w:val="26"/>
          <w:rtl/>
          <w:lang w:bidi="ar-JO"/>
        </w:rPr>
        <w:t xml:space="preserve"> امرأة  بنسبة</w:t>
      </w:r>
      <w:r w:rsidRPr="001C5CC9">
        <w:rPr>
          <w:rFonts w:ascii="Simplified Arabic" w:eastAsia="Calibri" w:hAnsi="Simplified Arabic"/>
          <w:color w:val="000000"/>
          <w:sz w:val="26"/>
          <w:szCs w:val="26"/>
          <w:rtl/>
        </w:rPr>
        <w:t xml:space="preserve"> 68</w:t>
      </w:r>
      <w:r w:rsidRPr="001C5CC9">
        <w:rPr>
          <w:rFonts w:ascii="Simplified Arabic" w:eastAsia="Calibri" w:hAnsi="Simplified Arabic"/>
          <w:color w:val="000000"/>
          <w:sz w:val="26"/>
          <w:szCs w:val="26"/>
          <w:rtl/>
          <w:lang w:bidi="ar-JO"/>
        </w:rPr>
        <w:t>%</w:t>
      </w:r>
      <w:r w:rsidRPr="001C5CC9">
        <w:rPr>
          <w:rFonts w:ascii="Simplified Arabic" w:eastAsia="Calibri" w:hAnsi="Simplified Arabic"/>
          <w:color w:val="000000"/>
          <w:sz w:val="26"/>
          <w:szCs w:val="26"/>
        </w:rPr>
        <w:t xml:space="preserve"> </w:t>
      </w:r>
      <w:r w:rsidRPr="001C5CC9">
        <w:rPr>
          <w:rFonts w:ascii="Simplified Arabic" w:eastAsia="Calibri" w:hAnsi="Simplified Arabic"/>
          <w:color w:val="000000"/>
          <w:sz w:val="26"/>
          <w:szCs w:val="26"/>
          <w:rtl/>
        </w:rPr>
        <w:t>وحوالي ألف امرأة يعملن في إسرائيل والمستعمرات</w:t>
      </w:r>
      <w:r w:rsidRPr="001C5CC9">
        <w:rPr>
          <w:rFonts w:ascii="Simplified Arabic" w:eastAsia="Calibri" w:hAnsi="Simplified Arabic"/>
          <w:color w:val="000000"/>
          <w:sz w:val="26"/>
          <w:szCs w:val="26"/>
          <w:rtl/>
          <w:lang w:bidi="ar-JO"/>
        </w:rPr>
        <w:t xml:space="preserve"> بنسبة 0.6%</w:t>
      </w:r>
      <w:r w:rsidR="00596D77" w:rsidRPr="001C5CC9">
        <w:rPr>
          <w:rFonts w:ascii="Simplified Arabic" w:eastAsia="Calibri" w:hAnsi="Simplified Arabic"/>
          <w:color w:val="000000"/>
          <w:sz w:val="26"/>
          <w:szCs w:val="26"/>
          <w:rtl/>
          <w:lang w:bidi="ar-JO"/>
        </w:rPr>
        <w:t xml:space="preserve">.  </w:t>
      </w:r>
      <w:r w:rsidR="00D05F58" w:rsidRPr="001C5CC9">
        <w:rPr>
          <w:rFonts w:ascii="Simplified Arabic" w:eastAsia="Calibri" w:hAnsi="Simplified Arabic"/>
          <w:color w:val="000000"/>
          <w:sz w:val="26"/>
          <w:szCs w:val="26"/>
          <w:rtl/>
          <w:lang w:bidi="ar-JO"/>
        </w:rPr>
        <w:t xml:space="preserve">حوالي </w:t>
      </w:r>
      <w:r w:rsidR="00596D77" w:rsidRPr="001C5CC9">
        <w:rPr>
          <w:rFonts w:ascii="Simplified Arabic" w:eastAsia="Calibri" w:hAnsi="Simplified Arabic"/>
          <w:color w:val="000000"/>
          <w:sz w:val="26"/>
          <w:szCs w:val="26"/>
          <w:rtl/>
          <w:lang w:bidi="ar-JO"/>
        </w:rPr>
        <w:t>59</w:t>
      </w:r>
      <w:r w:rsidR="00D05F58" w:rsidRPr="001C5CC9">
        <w:rPr>
          <w:rFonts w:ascii="Simplified Arabic" w:eastAsia="Calibri" w:hAnsi="Simplified Arabic"/>
          <w:color w:val="000000"/>
          <w:sz w:val="26"/>
          <w:szCs w:val="26"/>
          <w:rtl/>
          <w:lang w:bidi="ar-JO"/>
        </w:rPr>
        <w:t xml:space="preserve">% (72 ألف) من النساء العاملات في القطاع الخاص هن مستخدمات بأجر </w:t>
      </w:r>
      <w:r w:rsidR="003D753E" w:rsidRPr="001C5CC9">
        <w:rPr>
          <w:rFonts w:ascii="Simplified Arabic" w:eastAsia="Calibri" w:hAnsi="Simplified Arabic"/>
          <w:color w:val="000000"/>
          <w:sz w:val="26"/>
          <w:szCs w:val="26"/>
          <w:rtl/>
          <w:lang w:bidi="ar-JO"/>
        </w:rPr>
        <w:t>تتركز معظمهن في</w:t>
      </w:r>
      <w:r w:rsidR="003D753E" w:rsidRPr="001C5CC9">
        <w:rPr>
          <w:rFonts w:ascii="Simplified Arabic" w:eastAsia="Calibri" w:hAnsi="Simplified Arabic"/>
          <w:color w:val="FF0000"/>
          <w:sz w:val="26"/>
          <w:szCs w:val="26"/>
          <w:rtl/>
          <w:lang w:bidi="ar-JO"/>
        </w:rPr>
        <w:t xml:space="preserve"> </w:t>
      </w:r>
      <w:r w:rsidR="00C36192" w:rsidRPr="001C5CC9">
        <w:rPr>
          <w:rFonts w:ascii="Simplified Arabic" w:eastAsia="Calibri" w:hAnsi="Simplified Arabic"/>
          <w:color w:val="000000"/>
          <w:sz w:val="26"/>
          <w:szCs w:val="26"/>
          <w:rtl/>
        </w:rPr>
        <w:t>نشاط</w:t>
      </w:r>
      <w:r w:rsidR="00C36192" w:rsidRPr="001C5CC9">
        <w:rPr>
          <w:rFonts w:ascii="Simplified Arabic" w:eastAsia="Calibri" w:hAnsi="Simplified Arabic"/>
          <w:color w:val="000000"/>
          <w:sz w:val="26"/>
          <w:szCs w:val="26"/>
          <w:rtl/>
          <w:lang w:bidi="ar-JO"/>
        </w:rPr>
        <w:t xml:space="preserve"> </w:t>
      </w:r>
      <w:r w:rsidR="003D753E" w:rsidRPr="001C5CC9">
        <w:rPr>
          <w:rFonts w:ascii="Simplified Arabic" w:eastAsia="Calibri" w:hAnsi="Simplified Arabic"/>
          <w:color w:val="000000"/>
          <w:sz w:val="26"/>
          <w:szCs w:val="26"/>
          <w:rtl/>
          <w:lang w:bidi="ar-JO"/>
        </w:rPr>
        <w:t xml:space="preserve">التعليم بنسبة 40% و15% في </w:t>
      </w:r>
      <w:r w:rsidR="00C36192" w:rsidRPr="001C5CC9">
        <w:rPr>
          <w:rFonts w:ascii="Simplified Arabic" w:eastAsia="Calibri" w:hAnsi="Simplified Arabic"/>
          <w:color w:val="000000"/>
          <w:sz w:val="26"/>
          <w:szCs w:val="26"/>
          <w:rtl/>
          <w:lang w:bidi="ar-JO"/>
        </w:rPr>
        <w:t xml:space="preserve">نشاط </w:t>
      </w:r>
      <w:r w:rsidR="003D753E" w:rsidRPr="001C5CC9">
        <w:rPr>
          <w:rFonts w:ascii="Simplified Arabic" w:eastAsia="Calibri" w:hAnsi="Simplified Arabic"/>
          <w:color w:val="000000"/>
          <w:sz w:val="26"/>
          <w:szCs w:val="26"/>
          <w:rtl/>
          <w:lang w:bidi="ar-JO"/>
        </w:rPr>
        <w:t xml:space="preserve">الصحة، بينما شكلت نسبة صاحبات الأعمال فقط 4% تركزن </w:t>
      </w:r>
      <w:r w:rsidR="00CD2C23" w:rsidRPr="001C5CC9">
        <w:rPr>
          <w:rFonts w:ascii="Simplified Arabic" w:eastAsia="Calibri" w:hAnsi="Simplified Arabic"/>
          <w:color w:val="000000"/>
          <w:sz w:val="26"/>
          <w:szCs w:val="26"/>
          <w:rtl/>
          <w:lang w:bidi="ar-JO"/>
        </w:rPr>
        <w:t>أيضا</w:t>
      </w:r>
      <w:r w:rsidR="003D753E" w:rsidRPr="001C5CC9">
        <w:rPr>
          <w:rFonts w:ascii="Simplified Arabic" w:eastAsia="Calibri" w:hAnsi="Simplified Arabic"/>
          <w:color w:val="000000"/>
          <w:sz w:val="26"/>
          <w:szCs w:val="26"/>
          <w:rtl/>
          <w:lang w:bidi="ar-JO"/>
        </w:rPr>
        <w:t xml:space="preserve"> في</w:t>
      </w:r>
      <w:r w:rsidR="003D753E" w:rsidRPr="001C5CC9">
        <w:rPr>
          <w:rFonts w:ascii="Simplified Arabic" w:eastAsia="Calibri" w:hAnsi="Simplified Arabic"/>
          <w:color w:val="FF0000"/>
          <w:sz w:val="26"/>
          <w:szCs w:val="26"/>
          <w:rtl/>
          <w:lang w:bidi="ar-JO"/>
        </w:rPr>
        <w:t xml:space="preserve"> </w:t>
      </w:r>
      <w:r w:rsidR="00C36192" w:rsidRPr="001C5CC9">
        <w:rPr>
          <w:rFonts w:ascii="Simplified Arabic" w:eastAsia="Calibri" w:hAnsi="Simplified Arabic"/>
          <w:color w:val="000000"/>
          <w:sz w:val="26"/>
          <w:szCs w:val="26"/>
          <w:rtl/>
          <w:lang w:bidi="ar-JO"/>
        </w:rPr>
        <w:t xml:space="preserve">نشاط </w:t>
      </w:r>
      <w:r w:rsidR="003D753E" w:rsidRPr="001C5CC9">
        <w:rPr>
          <w:rFonts w:ascii="Simplified Arabic" w:eastAsia="Calibri" w:hAnsi="Simplified Arabic"/>
          <w:color w:val="000000"/>
          <w:sz w:val="26"/>
          <w:szCs w:val="26"/>
          <w:rtl/>
          <w:lang w:bidi="ar-JO"/>
        </w:rPr>
        <w:t xml:space="preserve">التعليم بنسبة 33%، وبلغت نسبة العاملات لحسابهن الخاص 17% تركزن في </w:t>
      </w:r>
      <w:r w:rsidR="00C36192" w:rsidRPr="001C5CC9">
        <w:rPr>
          <w:rFonts w:ascii="Simplified Arabic" w:eastAsia="Calibri" w:hAnsi="Simplified Arabic"/>
          <w:color w:val="000000"/>
          <w:sz w:val="26"/>
          <w:szCs w:val="26"/>
          <w:rtl/>
          <w:lang w:bidi="ar-JO"/>
        </w:rPr>
        <w:t xml:space="preserve">نشاط </w:t>
      </w:r>
      <w:r w:rsidR="00D544EA" w:rsidRPr="001C5CC9">
        <w:rPr>
          <w:rFonts w:ascii="Simplified Arabic" w:eastAsia="Calibri" w:hAnsi="Simplified Arabic"/>
          <w:color w:val="000000"/>
          <w:sz w:val="26"/>
          <w:szCs w:val="26"/>
          <w:rtl/>
          <w:lang w:bidi="ar-JO"/>
        </w:rPr>
        <w:t>التجارة و</w:t>
      </w:r>
      <w:r w:rsidR="003D753E" w:rsidRPr="001C5CC9">
        <w:rPr>
          <w:rFonts w:ascii="Simplified Arabic" w:eastAsia="Calibri" w:hAnsi="Simplified Arabic"/>
          <w:color w:val="000000"/>
          <w:sz w:val="26"/>
          <w:szCs w:val="26"/>
          <w:rtl/>
          <w:lang w:bidi="ar-JO"/>
        </w:rPr>
        <w:t>المطاعم والفنادق بنسبة 27%</w:t>
      </w:r>
      <w:r w:rsidRPr="001C5CC9">
        <w:rPr>
          <w:rFonts w:ascii="Simplified Arabic" w:eastAsia="Calibri" w:hAnsi="Simplified Arabic"/>
          <w:color w:val="000000"/>
          <w:sz w:val="26"/>
          <w:szCs w:val="26"/>
          <w:rtl/>
        </w:rPr>
        <w:t xml:space="preserve">. </w:t>
      </w:r>
    </w:p>
    <w:p w:rsidR="00FE3F6F" w:rsidRPr="001C5CC9" w:rsidRDefault="00FE3F6F" w:rsidP="00FE3F6F">
      <w:pPr>
        <w:pStyle w:val="BodyText"/>
        <w:ind w:left="126"/>
        <w:jc w:val="both"/>
        <w:rPr>
          <w:rFonts w:ascii="Simplified Arabic" w:eastAsia="Calibri" w:hAnsi="Simplified Arabic"/>
          <w:color w:val="000000"/>
          <w:sz w:val="26"/>
          <w:szCs w:val="26"/>
          <w:rtl/>
        </w:rPr>
      </w:pPr>
    </w:p>
    <w:p w:rsidR="00FE3F6F" w:rsidRPr="001C5CC9" w:rsidRDefault="00FE3F6F" w:rsidP="00FE3F6F">
      <w:pPr>
        <w:pStyle w:val="NoSpacing"/>
        <w:ind w:left="48"/>
        <w:jc w:val="both"/>
        <w:rPr>
          <w:rFonts w:ascii="Simplified Arabic" w:eastAsia="Calibri" w:hAnsi="Simplified Arabic" w:cs="Simplified Arabic"/>
          <w:b/>
          <w:bCs/>
          <w:color w:val="000000"/>
          <w:sz w:val="26"/>
          <w:szCs w:val="26"/>
          <w:rtl/>
          <w:lang w:eastAsia="en-US"/>
        </w:rPr>
      </w:pPr>
      <w:r w:rsidRPr="001C5CC9">
        <w:rPr>
          <w:rFonts w:ascii="Simplified Arabic" w:eastAsia="Calibri" w:hAnsi="Simplified Arabic" w:cs="Simplified Arabic"/>
          <w:b/>
          <w:bCs/>
          <w:color w:val="000000"/>
          <w:sz w:val="28"/>
          <w:szCs w:val="28"/>
          <w:rtl/>
          <w:lang w:eastAsia="en-US"/>
        </w:rPr>
        <w:t>العاملون في القطاع غير المنظم</w:t>
      </w:r>
      <w:r w:rsidR="001C5CC9">
        <w:rPr>
          <w:rFonts w:ascii="Simplified Arabic" w:eastAsia="Calibri" w:hAnsi="Simplified Arabic" w:cs="Simplified Arabic" w:hint="cs"/>
          <w:color w:val="000000"/>
          <w:sz w:val="26"/>
          <w:szCs w:val="26"/>
          <w:rtl/>
          <w:lang w:eastAsia="en-US"/>
        </w:rPr>
        <w:t>:</w:t>
      </w:r>
      <w:r w:rsidRPr="001C5CC9">
        <w:rPr>
          <w:rFonts w:ascii="Simplified Arabic" w:eastAsia="Calibri" w:hAnsi="Simplified Arabic" w:cs="Simplified Arabic"/>
          <w:color w:val="000000"/>
          <w:sz w:val="26"/>
          <w:szCs w:val="26"/>
          <w:rtl/>
          <w:lang w:eastAsia="en-US"/>
        </w:rPr>
        <w:t xml:space="preserve"> (أي صاحب عمل أو يعمل لحسابه والمنشأة التي يعمل فيها لا يوجد لديها سجل ضريبي ولا يوجد لديها سجل محاسبي) حيث بلغ عدد العاملين فيه 320 ألف عامل منهم 288 ألف عامل من الذكور مقابل نحو 32 ألف من الإناث، وتمثل نسبة العاملين في هذا القطاع نحو 32% من إجمالي العاملين في فلسطين بمعدل أجر يومي 85 شيقلاً. </w:t>
      </w:r>
    </w:p>
    <w:p w:rsidR="00FE3F6F" w:rsidRPr="001C5CC9" w:rsidRDefault="00FE3F6F" w:rsidP="00FE3F6F">
      <w:pPr>
        <w:pStyle w:val="NoSpacing"/>
        <w:ind w:left="48"/>
        <w:jc w:val="both"/>
        <w:rPr>
          <w:rFonts w:ascii="Simplified Arabic" w:eastAsia="Calibri" w:hAnsi="Simplified Arabic" w:cs="Simplified Arabic"/>
          <w:color w:val="000000"/>
          <w:sz w:val="26"/>
          <w:szCs w:val="26"/>
          <w:rtl/>
          <w:lang w:eastAsia="en-US"/>
        </w:rPr>
      </w:pPr>
      <w:r w:rsidRPr="001C5CC9">
        <w:rPr>
          <w:rFonts w:ascii="Simplified Arabic" w:eastAsia="Calibri" w:hAnsi="Simplified Arabic" w:cs="Simplified Arabic"/>
          <w:b/>
          <w:bCs/>
          <w:color w:val="000000"/>
          <w:sz w:val="26"/>
          <w:szCs w:val="26"/>
          <w:rtl/>
          <w:lang w:eastAsia="en-US"/>
        </w:rPr>
        <w:t>العاملون عمالة غير منظمة</w:t>
      </w:r>
      <w:r w:rsidRPr="001C5CC9">
        <w:rPr>
          <w:rFonts w:ascii="Simplified Arabic" w:eastAsia="Calibri" w:hAnsi="Simplified Arabic" w:cs="Simplified Arabic"/>
          <w:color w:val="000000"/>
          <w:sz w:val="26"/>
          <w:szCs w:val="26"/>
          <w:rtl/>
          <w:lang w:eastAsia="en-US"/>
        </w:rPr>
        <w:t xml:space="preserve"> حيث بلغت نسبة العاملين </w:t>
      </w:r>
      <w:r w:rsidR="00A6630E" w:rsidRPr="001C5CC9">
        <w:rPr>
          <w:rFonts w:ascii="Simplified Arabic" w:eastAsia="Calibri" w:hAnsi="Simplified Arabic" w:cs="Simplified Arabic"/>
          <w:color w:val="000000"/>
          <w:sz w:val="26"/>
          <w:szCs w:val="26"/>
          <w:rtl/>
          <w:lang w:eastAsia="en-US"/>
        </w:rPr>
        <w:t>ك</w:t>
      </w:r>
      <w:r w:rsidRPr="001C5CC9">
        <w:rPr>
          <w:rFonts w:ascii="Simplified Arabic" w:eastAsia="Calibri" w:hAnsi="Simplified Arabic" w:cs="Simplified Arabic"/>
          <w:color w:val="000000"/>
          <w:sz w:val="26"/>
          <w:szCs w:val="26"/>
          <w:rtl/>
          <w:lang w:eastAsia="en-US"/>
        </w:rPr>
        <w:t>عمالة غير منظمة في فلسطين (بمعنى العاملين في القطاع غير المنظم بالإضافة إلى المستخدمين باجر الذين لا يحصلون على أي من الحقوق في سوق العمل سواء مكافأة نهاية الخدمة/تقاعد، أو إجازة سنوية مدفوعة الأجر، أو إجازة مرضية مدفوعة الأجر) قد بلغت حوالي 57% من مجمل العاملين</w:t>
      </w:r>
      <w:r w:rsidR="003F36B1" w:rsidRPr="001C5CC9">
        <w:rPr>
          <w:rFonts w:ascii="Simplified Arabic" w:eastAsia="Calibri" w:hAnsi="Simplified Arabic" w:cs="Simplified Arabic"/>
          <w:color w:val="000000"/>
          <w:sz w:val="26"/>
          <w:szCs w:val="26"/>
          <w:lang w:eastAsia="en-US"/>
        </w:rPr>
        <w:t xml:space="preserve"> </w:t>
      </w:r>
      <w:r w:rsidR="003F36B1" w:rsidRPr="001C5CC9">
        <w:rPr>
          <w:rFonts w:ascii="Simplified Arabic" w:eastAsia="Calibri" w:hAnsi="Simplified Arabic" w:cs="Simplified Arabic"/>
          <w:color w:val="000000"/>
          <w:sz w:val="26"/>
          <w:szCs w:val="26"/>
          <w:rtl/>
          <w:lang w:eastAsia="en-US"/>
        </w:rPr>
        <w:t>في فلسطين</w:t>
      </w:r>
      <w:r w:rsidRPr="001C5CC9">
        <w:rPr>
          <w:rFonts w:ascii="Simplified Arabic" w:eastAsia="Calibri" w:hAnsi="Simplified Arabic" w:cs="Simplified Arabic"/>
          <w:color w:val="000000"/>
          <w:sz w:val="26"/>
          <w:szCs w:val="26"/>
          <w:rtl/>
          <w:lang w:eastAsia="en-US"/>
        </w:rPr>
        <w:t xml:space="preserve"> منهم 61% من الذكور و38% من الإناث، وبواقع 59% في الضفة الغربية و51% في قطاع غزة. </w:t>
      </w:r>
    </w:p>
    <w:p w:rsidR="00FE3F6F" w:rsidRPr="001C5CC9" w:rsidRDefault="00FE3F6F" w:rsidP="00FE3F6F">
      <w:pPr>
        <w:pStyle w:val="NoSpacing"/>
        <w:ind w:left="48"/>
        <w:jc w:val="both"/>
        <w:rPr>
          <w:rFonts w:ascii="Simplified Arabic" w:eastAsia="Calibri" w:hAnsi="Simplified Arabic" w:cs="Simplified Arabic"/>
          <w:color w:val="000000"/>
          <w:sz w:val="26"/>
          <w:szCs w:val="26"/>
          <w:rtl/>
          <w:lang w:eastAsia="en-US"/>
        </w:rPr>
      </w:pPr>
    </w:p>
    <w:p w:rsidR="005125F7" w:rsidRPr="001C5CC9" w:rsidRDefault="00810872" w:rsidP="004E61CD">
      <w:pPr>
        <w:widowControl w:val="0"/>
        <w:ind w:right="142"/>
        <w:jc w:val="both"/>
        <w:rPr>
          <w:rFonts w:ascii="Simplified Arabic" w:hAnsi="Simplified Arabic" w:cs="Simplified Arabic"/>
          <w:sz w:val="26"/>
          <w:szCs w:val="26"/>
          <w:rtl/>
        </w:rPr>
      </w:pPr>
      <w:r w:rsidRPr="001C5CC9">
        <w:rPr>
          <w:rFonts w:ascii="Simplified Arabic" w:hAnsi="Simplified Arabic" w:cs="Simplified Arabic"/>
          <w:sz w:val="26"/>
          <w:szCs w:val="26"/>
          <w:rtl/>
        </w:rPr>
        <w:t xml:space="preserve">هناك حوالي 487 ألف </w:t>
      </w:r>
      <w:r w:rsidR="00C56905" w:rsidRPr="001C5CC9">
        <w:rPr>
          <w:rFonts w:ascii="Simplified Arabic" w:hAnsi="Simplified Arabic" w:cs="Simplified Arabic"/>
          <w:sz w:val="26"/>
          <w:szCs w:val="26"/>
          <w:rtl/>
        </w:rPr>
        <w:t xml:space="preserve">شخص </w:t>
      </w:r>
      <w:r w:rsidRPr="001C5CC9">
        <w:rPr>
          <w:rFonts w:ascii="Simplified Arabic" w:hAnsi="Simplified Arabic" w:cs="Simplified Arabic"/>
          <w:sz w:val="26"/>
          <w:szCs w:val="26"/>
          <w:rtl/>
        </w:rPr>
        <w:t>يعانون من ن</w:t>
      </w:r>
      <w:r w:rsidR="005125F7" w:rsidRPr="001C5CC9">
        <w:rPr>
          <w:rFonts w:ascii="Simplified Arabic" w:hAnsi="Simplified Arabic" w:cs="Simplified Arabic"/>
          <w:sz w:val="26"/>
          <w:szCs w:val="26"/>
          <w:rtl/>
        </w:rPr>
        <w:t>قص الاستخدام للعمالة</w:t>
      </w:r>
      <w:r w:rsidR="008A2145" w:rsidRPr="001C5CC9">
        <w:rPr>
          <w:rFonts w:ascii="Simplified Arabic" w:hAnsi="Simplified Arabic" w:cs="Simplified Arabic"/>
          <w:sz w:val="26"/>
          <w:szCs w:val="26"/>
          <w:rtl/>
        </w:rPr>
        <w:t xml:space="preserve"> (يتضمن البطالة والعمالة الناقصة المتصلة بالوقت والقوى العاملة المحتملة)</w:t>
      </w:r>
      <w:r w:rsidR="005125F7" w:rsidRPr="001C5CC9">
        <w:rPr>
          <w:rFonts w:ascii="Simplified Arabic" w:hAnsi="Simplified Arabic" w:cs="Simplified Arabic"/>
          <w:sz w:val="26"/>
          <w:szCs w:val="26"/>
          <w:rtl/>
        </w:rPr>
        <w:t xml:space="preserve"> </w:t>
      </w:r>
      <w:r w:rsidR="00C56905" w:rsidRPr="001C5CC9">
        <w:rPr>
          <w:rFonts w:ascii="Simplified Arabic" w:hAnsi="Simplified Arabic" w:cs="Simplified Arabic"/>
          <w:sz w:val="26"/>
          <w:szCs w:val="26"/>
          <w:rtl/>
        </w:rPr>
        <w:t>حوالي 33% ع</w:t>
      </w:r>
      <w:r w:rsidR="005125F7" w:rsidRPr="001C5CC9">
        <w:rPr>
          <w:rFonts w:ascii="Simplified Arabic" w:hAnsi="Simplified Arabic" w:cs="Simplified Arabic"/>
          <w:sz w:val="26"/>
          <w:szCs w:val="26"/>
          <w:rtl/>
        </w:rPr>
        <w:t>ام 2019، حيث يتضمن هذا العدد</w:t>
      </w:r>
      <w:r w:rsidR="00907EFE" w:rsidRPr="001C5CC9">
        <w:rPr>
          <w:rFonts w:ascii="Simplified Arabic" w:hAnsi="Simplified Arabic" w:cs="Simplified Arabic"/>
          <w:sz w:val="26"/>
          <w:szCs w:val="26"/>
          <w:rtl/>
        </w:rPr>
        <w:t xml:space="preserve"> حوالي 344 ألف </w:t>
      </w:r>
      <w:r w:rsidR="00243F31" w:rsidRPr="001C5CC9">
        <w:rPr>
          <w:rFonts w:ascii="Simplified Arabic" w:hAnsi="Simplified Arabic" w:cs="Simplified Arabic"/>
          <w:sz w:val="26"/>
          <w:szCs w:val="26"/>
          <w:rtl/>
        </w:rPr>
        <w:t>عاطل</w:t>
      </w:r>
      <w:r w:rsidR="00907EFE" w:rsidRPr="001C5CC9">
        <w:rPr>
          <w:rFonts w:ascii="Simplified Arabic" w:hAnsi="Simplified Arabic" w:cs="Simplified Arabic"/>
          <w:sz w:val="26"/>
          <w:szCs w:val="26"/>
          <w:rtl/>
        </w:rPr>
        <w:t xml:space="preserve"> عن العمل </w:t>
      </w:r>
      <w:r w:rsidR="004E61CD" w:rsidRPr="001C5CC9">
        <w:rPr>
          <w:rFonts w:ascii="Simplified Arabic" w:hAnsi="Simplified Arabic" w:cs="Simplified Arabic"/>
          <w:sz w:val="26"/>
          <w:szCs w:val="26"/>
          <w:rtl/>
        </w:rPr>
        <w:t>و</w:t>
      </w:r>
      <w:r w:rsidR="005125F7" w:rsidRPr="001C5CC9">
        <w:rPr>
          <w:rFonts w:ascii="Simplified Arabic" w:hAnsi="Simplified Arabic" w:cs="Simplified Arabic"/>
          <w:sz w:val="26"/>
          <w:szCs w:val="26"/>
          <w:rtl/>
        </w:rPr>
        <w:t xml:space="preserve">حوالي 73 ألف من الباحثين عن عمل المحبطين، وحوالي 20 ألف </w:t>
      </w:r>
      <w:r w:rsidR="005F205A" w:rsidRPr="001C5CC9">
        <w:rPr>
          <w:rFonts w:ascii="Simplified Arabic" w:hAnsi="Simplified Arabic" w:cs="Simplified Arabic"/>
          <w:sz w:val="26"/>
          <w:szCs w:val="26"/>
          <w:rtl/>
        </w:rPr>
        <w:t>من</w:t>
      </w:r>
      <w:r w:rsidR="005125F7" w:rsidRPr="001C5CC9">
        <w:rPr>
          <w:rFonts w:ascii="Simplified Arabic" w:hAnsi="Simplified Arabic" w:cs="Simplified Arabic"/>
          <w:sz w:val="26"/>
          <w:szCs w:val="26"/>
          <w:rtl/>
        </w:rPr>
        <w:t xml:space="preserve"> العمالة الناقصة المتصلة بالوقت</w:t>
      </w:r>
      <w:r w:rsidR="004E61CD" w:rsidRPr="001C5CC9">
        <w:rPr>
          <w:rFonts w:ascii="Simplified Arabic" w:hAnsi="Simplified Arabic" w:cs="Simplified Arabic"/>
          <w:sz w:val="26"/>
          <w:szCs w:val="26"/>
          <w:rtl/>
        </w:rPr>
        <w:t xml:space="preserve"> بمعنى </w:t>
      </w:r>
      <w:r w:rsidR="00243F31" w:rsidRPr="001C5CC9">
        <w:rPr>
          <w:rFonts w:ascii="Simplified Arabic" w:hAnsi="Simplified Arabic" w:cs="Simplified Arabic"/>
          <w:sz w:val="26"/>
          <w:szCs w:val="26"/>
          <w:rtl/>
        </w:rPr>
        <w:t>يعملون</w:t>
      </w:r>
      <w:r w:rsidR="004E61CD" w:rsidRPr="001C5CC9">
        <w:rPr>
          <w:rFonts w:ascii="Simplified Arabic" w:hAnsi="Simplified Arabic" w:cs="Simplified Arabic"/>
          <w:sz w:val="26"/>
          <w:szCs w:val="26"/>
          <w:rtl/>
        </w:rPr>
        <w:t xml:space="preserve"> اقل من 35 ساعة عمل اسبوعيا ويسعون لزيادة ساعات عملهم</w:t>
      </w:r>
      <w:r w:rsidR="005125F7" w:rsidRPr="001C5CC9">
        <w:rPr>
          <w:rFonts w:ascii="Simplified Arabic" w:hAnsi="Simplified Arabic" w:cs="Simplified Arabic"/>
          <w:sz w:val="26"/>
          <w:szCs w:val="26"/>
          <w:rtl/>
        </w:rPr>
        <w:t>.</w:t>
      </w:r>
    </w:p>
    <w:p w:rsidR="00D542A0" w:rsidRPr="001C5CC9" w:rsidRDefault="00D542A0" w:rsidP="00D542A0">
      <w:pPr>
        <w:widowControl w:val="0"/>
        <w:ind w:right="142"/>
        <w:jc w:val="both"/>
        <w:rPr>
          <w:rFonts w:ascii="Simplified Arabic" w:hAnsi="Simplified Arabic" w:cs="Simplified Arabic"/>
          <w:b/>
          <w:bCs/>
          <w:sz w:val="26"/>
          <w:szCs w:val="26"/>
          <w:rtl/>
        </w:rPr>
      </w:pPr>
    </w:p>
    <w:p w:rsidR="00EA364D" w:rsidRPr="001C5CC9" w:rsidRDefault="000F5BC8" w:rsidP="000740CA">
      <w:pPr>
        <w:pStyle w:val="Heading2"/>
        <w:jc w:val="both"/>
        <w:rPr>
          <w:rFonts w:ascii="Simplified Arabic" w:hAnsi="Simplified Arabic"/>
          <w:sz w:val="28"/>
          <w:szCs w:val="28"/>
          <w:rtl/>
        </w:rPr>
      </w:pPr>
      <w:r w:rsidRPr="001C5CC9">
        <w:rPr>
          <w:rFonts w:ascii="Simplified Arabic" w:hAnsi="Simplified Arabic"/>
          <w:sz w:val="28"/>
          <w:szCs w:val="28"/>
          <w:rtl/>
        </w:rPr>
        <w:t>ربع</w:t>
      </w:r>
      <w:r w:rsidR="00EA364D" w:rsidRPr="001C5CC9">
        <w:rPr>
          <w:rFonts w:ascii="Simplified Arabic" w:hAnsi="Simplified Arabic"/>
          <w:sz w:val="28"/>
          <w:szCs w:val="28"/>
          <w:rtl/>
        </w:rPr>
        <w:t xml:space="preserve"> </w:t>
      </w:r>
      <w:r w:rsidR="0027770C" w:rsidRPr="001C5CC9">
        <w:rPr>
          <w:rFonts w:ascii="Simplified Arabic" w:hAnsi="Simplified Arabic"/>
          <w:sz w:val="28"/>
          <w:szCs w:val="28"/>
          <w:rtl/>
        </w:rPr>
        <w:t>المستخدمين</w:t>
      </w:r>
      <w:r w:rsidR="00722C00" w:rsidRPr="001C5CC9">
        <w:rPr>
          <w:rFonts w:ascii="Simplified Arabic" w:hAnsi="Simplified Arabic"/>
          <w:sz w:val="28"/>
          <w:szCs w:val="28"/>
          <w:rtl/>
        </w:rPr>
        <w:t xml:space="preserve"> بأجر</w:t>
      </w:r>
      <w:r w:rsidR="00EA364D" w:rsidRPr="001C5CC9">
        <w:rPr>
          <w:rFonts w:ascii="Simplified Arabic" w:hAnsi="Simplified Arabic"/>
          <w:sz w:val="28"/>
          <w:szCs w:val="28"/>
          <w:rtl/>
        </w:rPr>
        <w:t xml:space="preserve"> </w:t>
      </w:r>
      <w:r w:rsidR="0019724C" w:rsidRPr="001C5CC9">
        <w:rPr>
          <w:rFonts w:ascii="Simplified Arabic" w:hAnsi="Simplified Arabic"/>
          <w:sz w:val="28"/>
          <w:szCs w:val="28"/>
          <w:rtl/>
        </w:rPr>
        <w:t>في القطاع الخاص</w:t>
      </w:r>
      <w:r w:rsidR="008760C4" w:rsidRPr="001C5CC9">
        <w:rPr>
          <w:rFonts w:ascii="Simplified Arabic" w:hAnsi="Simplified Arabic"/>
          <w:sz w:val="28"/>
          <w:szCs w:val="28"/>
          <w:rtl/>
        </w:rPr>
        <w:t xml:space="preserve"> </w:t>
      </w:r>
      <w:r w:rsidR="00EA364D" w:rsidRPr="001C5CC9">
        <w:rPr>
          <w:rFonts w:ascii="Simplified Arabic" w:hAnsi="Simplified Arabic"/>
          <w:sz w:val="28"/>
          <w:szCs w:val="28"/>
          <w:rtl/>
        </w:rPr>
        <w:t>يعملون في مهن</w:t>
      </w:r>
      <w:r w:rsidR="000740CA" w:rsidRPr="001C5CC9">
        <w:rPr>
          <w:rFonts w:ascii="Simplified Arabic" w:hAnsi="Simplified Arabic"/>
          <w:sz w:val="28"/>
          <w:szCs w:val="28"/>
          <w:rtl/>
        </w:rPr>
        <w:t>ة</w:t>
      </w:r>
      <w:r w:rsidR="00EA364D" w:rsidRPr="001C5CC9">
        <w:rPr>
          <w:rFonts w:ascii="Simplified Arabic" w:hAnsi="Simplified Arabic"/>
          <w:sz w:val="28"/>
          <w:szCs w:val="28"/>
          <w:rtl/>
        </w:rPr>
        <w:t xml:space="preserve"> </w:t>
      </w:r>
      <w:r w:rsidR="000740CA" w:rsidRPr="001C5CC9">
        <w:rPr>
          <w:rFonts w:ascii="Simplified Arabic" w:hAnsi="Simplified Arabic"/>
          <w:sz w:val="28"/>
          <w:szCs w:val="28"/>
          <w:rtl/>
        </w:rPr>
        <w:t>الفنيون والمتخصصون</w:t>
      </w:r>
    </w:p>
    <w:p w:rsidR="00EA364D" w:rsidRPr="001C5CC9" w:rsidRDefault="00EA364D" w:rsidP="00597225">
      <w:pPr>
        <w:jc w:val="lowKashida"/>
        <w:rPr>
          <w:rFonts w:ascii="Simplified Arabic" w:hAnsi="Simplified Arabic" w:cs="Simplified Arabic"/>
          <w:sz w:val="26"/>
          <w:szCs w:val="26"/>
          <w:rtl/>
        </w:rPr>
      </w:pPr>
      <w:r w:rsidRPr="001C5CC9">
        <w:rPr>
          <w:rFonts w:ascii="Simplified Arabic" w:hAnsi="Simplified Arabic" w:cs="Simplified Arabic"/>
          <w:sz w:val="26"/>
          <w:szCs w:val="26"/>
          <w:rtl/>
        </w:rPr>
        <w:t>بلغت نسبة</w:t>
      </w:r>
      <w:r w:rsidR="0061207C" w:rsidRPr="001C5CC9">
        <w:rPr>
          <w:rFonts w:ascii="Simplified Arabic" w:hAnsi="Simplified Arabic" w:cs="Simplified Arabic"/>
          <w:sz w:val="26"/>
          <w:szCs w:val="26"/>
          <w:rtl/>
        </w:rPr>
        <w:t xml:space="preserve"> المستخدمين بأجر</w:t>
      </w:r>
      <w:r w:rsidR="00D23002" w:rsidRPr="001C5CC9">
        <w:rPr>
          <w:rFonts w:ascii="Simplified Arabic" w:hAnsi="Simplified Arabic" w:cs="Simplified Arabic"/>
          <w:sz w:val="26"/>
          <w:szCs w:val="26"/>
          <w:rtl/>
        </w:rPr>
        <w:t xml:space="preserve"> </w:t>
      </w:r>
      <w:r w:rsidR="00C4497D" w:rsidRPr="001C5CC9">
        <w:rPr>
          <w:rFonts w:ascii="Simplified Arabic" w:hAnsi="Simplified Arabic" w:cs="Simplified Arabic"/>
          <w:sz w:val="26"/>
          <w:szCs w:val="26"/>
          <w:rtl/>
        </w:rPr>
        <w:t xml:space="preserve">الذين يعملون في مهنة </w:t>
      </w:r>
      <w:r w:rsidR="00597225" w:rsidRPr="001C5CC9">
        <w:rPr>
          <w:rFonts w:ascii="Simplified Arabic" w:hAnsi="Simplified Arabic" w:cs="Simplified Arabic"/>
          <w:sz w:val="26"/>
          <w:szCs w:val="26"/>
          <w:rtl/>
        </w:rPr>
        <w:t xml:space="preserve">الفنيون والمتخصصون </w:t>
      </w:r>
      <w:r w:rsidR="00D23002" w:rsidRPr="001C5CC9">
        <w:rPr>
          <w:rFonts w:ascii="Simplified Arabic" w:hAnsi="Simplified Arabic" w:cs="Simplified Arabic"/>
          <w:sz w:val="26"/>
          <w:szCs w:val="26"/>
          <w:rtl/>
        </w:rPr>
        <w:t>في القطاع الخاص</w:t>
      </w:r>
      <w:r w:rsidRPr="001C5CC9">
        <w:rPr>
          <w:rFonts w:ascii="Simplified Arabic" w:hAnsi="Simplified Arabic" w:cs="Simplified Arabic"/>
          <w:sz w:val="26"/>
          <w:szCs w:val="26"/>
          <w:rtl/>
        </w:rPr>
        <w:t xml:space="preserve"> حوالي </w:t>
      </w:r>
      <w:r w:rsidR="00554DEA" w:rsidRPr="001C5CC9">
        <w:rPr>
          <w:rFonts w:ascii="Simplified Arabic" w:hAnsi="Simplified Arabic" w:cs="Simplified Arabic"/>
          <w:sz w:val="26"/>
          <w:szCs w:val="26"/>
          <w:rtl/>
        </w:rPr>
        <w:t>27</w:t>
      </w:r>
      <w:r w:rsidRPr="001C5CC9">
        <w:rPr>
          <w:rFonts w:ascii="Simplified Arabic" w:hAnsi="Simplified Arabic" w:cs="Simplified Arabic"/>
          <w:sz w:val="26"/>
          <w:szCs w:val="26"/>
          <w:rtl/>
        </w:rPr>
        <w:t>%</w:t>
      </w:r>
      <w:r w:rsidR="00FF304E" w:rsidRPr="001C5CC9">
        <w:rPr>
          <w:rFonts w:ascii="Simplified Arabic" w:hAnsi="Simplified Arabic" w:cs="Simplified Arabic"/>
          <w:sz w:val="26"/>
          <w:szCs w:val="26"/>
          <w:rtl/>
        </w:rPr>
        <w:t xml:space="preserve"> </w:t>
      </w:r>
      <w:r w:rsidR="00F4326B" w:rsidRPr="001C5CC9">
        <w:rPr>
          <w:rFonts w:ascii="Simplified Arabic" w:hAnsi="Simplified Arabic" w:cs="Simplified Arabic"/>
          <w:sz w:val="26"/>
          <w:szCs w:val="26"/>
          <w:rtl/>
        </w:rPr>
        <w:t>من</w:t>
      </w:r>
      <w:r w:rsidR="00FF304E" w:rsidRPr="001C5CC9">
        <w:rPr>
          <w:rFonts w:ascii="Simplified Arabic" w:hAnsi="Simplified Arabic" w:cs="Simplified Arabic"/>
          <w:sz w:val="26"/>
          <w:szCs w:val="26"/>
          <w:rtl/>
        </w:rPr>
        <w:t xml:space="preserve"> </w:t>
      </w:r>
      <w:r w:rsidR="006F0CA4" w:rsidRPr="001C5CC9">
        <w:rPr>
          <w:rFonts w:ascii="Simplified Arabic" w:hAnsi="Simplified Arabic" w:cs="Simplified Arabic"/>
          <w:sz w:val="26"/>
          <w:szCs w:val="26"/>
          <w:rtl/>
        </w:rPr>
        <w:t>فلسطين</w:t>
      </w:r>
      <w:r w:rsidRPr="001C5CC9">
        <w:rPr>
          <w:rFonts w:ascii="Simplified Arabic" w:hAnsi="Simplified Arabic" w:cs="Simplified Arabic"/>
          <w:sz w:val="26"/>
          <w:szCs w:val="26"/>
          <w:rtl/>
        </w:rPr>
        <w:t>؛</w:t>
      </w:r>
      <w:r w:rsidR="0079137E" w:rsidRPr="001C5CC9">
        <w:rPr>
          <w:rFonts w:ascii="Simplified Arabic" w:hAnsi="Simplified Arabic" w:cs="Simplified Arabic"/>
          <w:sz w:val="26"/>
          <w:szCs w:val="26"/>
          <w:rtl/>
        </w:rPr>
        <w:t xml:space="preserve"> </w:t>
      </w:r>
      <w:r w:rsidR="00554DEA" w:rsidRPr="001C5CC9">
        <w:rPr>
          <w:rFonts w:ascii="Simplified Arabic" w:hAnsi="Simplified Arabic" w:cs="Simplified Arabic"/>
          <w:sz w:val="26"/>
          <w:szCs w:val="26"/>
          <w:rtl/>
        </w:rPr>
        <w:t>17</w:t>
      </w:r>
      <w:r w:rsidR="0079137E" w:rsidRPr="001C5CC9">
        <w:rPr>
          <w:rFonts w:ascii="Simplified Arabic" w:hAnsi="Simplified Arabic" w:cs="Simplified Arabic"/>
          <w:sz w:val="26"/>
          <w:szCs w:val="26"/>
          <w:rtl/>
        </w:rPr>
        <w:t xml:space="preserve">% للذكور مقابل </w:t>
      </w:r>
      <w:r w:rsidR="00554DEA" w:rsidRPr="001C5CC9">
        <w:rPr>
          <w:rFonts w:ascii="Simplified Arabic" w:hAnsi="Simplified Arabic" w:cs="Simplified Arabic"/>
          <w:sz w:val="26"/>
          <w:szCs w:val="26"/>
          <w:rtl/>
        </w:rPr>
        <w:t>71</w:t>
      </w:r>
      <w:r w:rsidR="0079137E" w:rsidRPr="001C5CC9">
        <w:rPr>
          <w:rFonts w:ascii="Simplified Arabic" w:hAnsi="Simplified Arabic" w:cs="Simplified Arabic"/>
          <w:sz w:val="26"/>
          <w:szCs w:val="26"/>
          <w:rtl/>
        </w:rPr>
        <w:t>% للاناث</w:t>
      </w:r>
      <w:r w:rsidRPr="001C5CC9">
        <w:rPr>
          <w:rFonts w:ascii="Simplified Arabic" w:hAnsi="Simplified Arabic" w:cs="Simplified Arabic"/>
          <w:sz w:val="26"/>
          <w:szCs w:val="26"/>
          <w:rtl/>
        </w:rPr>
        <w:t>.</w:t>
      </w:r>
      <w:r w:rsidR="00BC1BE3" w:rsidRPr="001C5CC9">
        <w:rPr>
          <w:rFonts w:ascii="Simplified Arabic" w:hAnsi="Simplified Arabic" w:cs="Simplified Arabic"/>
          <w:sz w:val="26"/>
          <w:szCs w:val="26"/>
          <w:rtl/>
        </w:rPr>
        <w:t xml:space="preserve"> </w:t>
      </w:r>
      <w:r w:rsidRPr="001C5CC9">
        <w:rPr>
          <w:rFonts w:ascii="Simplified Arabic" w:hAnsi="Simplified Arabic" w:cs="Simplified Arabic"/>
          <w:sz w:val="26"/>
          <w:szCs w:val="26"/>
          <w:rtl/>
        </w:rPr>
        <w:t xml:space="preserve"> في حين بلغت </w:t>
      </w:r>
      <w:r w:rsidR="00570F14" w:rsidRPr="001C5CC9">
        <w:rPr>
          <w:rFonts w:ascii="Simplified Arabic" w:hAnsi="Simplified Arabic" w:cs="Simplified Arabic"/>
          <w:sz w:val="26"/>
          <w:szCs w:val="26"/>
          <w:rtl/>
        </w:rPr>
        <w:t>النسبة</w:t>
      </w:r>
      <w:r w:rsidR="00992A1F" w:rsidRPr="001C5CC9">
        <w:rPr>
          <w:rFonts w:ascii="Simplified Arabic" w:hAnsi="Simplified Arabic" w:cs="Simplified Arabic"/>
          <w:sz w:val="26"/>
          <w:szCs w:val="26"/>
          <w:rtl/>
        </w:rPr>
        <w:t xml:space="preserve"> للمستخدمين العاملين</w:t>
      </w:r>
      <w:r w:rsidRPr="001C5CC9">
        <w:rPr>
          <w:rFonts w:ascii="Simplified Arabic" w:hAnsi="Simplified Arabic" w:cs="Simplified Arabic"/>
          <w:sz w:val="26"/>
          <w:szCs w:val="26"/>
          <w:rtl/>
        </w:rPr>
        <w:t xml:space="preserve"> في </w:t>
      </w:r>
      <w:r w:rsidR="007D01BF" w:rsidRPr="001C5CC9">
        <w:rPr>
          <w:rFonts w:ascii="Simplified Arabic" w:hAnsi="Simplified Arabic" w:cs="Simplified Arabic"/>
          <w:sz w:val="26"/>
          <w:szCs w:val="26"/>
          <w:rtl/>
        </w:rPr>
        <w:t xml:space="preserve">الحرف وما اليها من </w:t>
      </w:r>
      <w:r w:rsidR="00992A1F" w:rsidRPr="001C5CC9">
        <w:rPr>
          <w:rFonts w:ascii="Simplified Arabic" w:hAnsi="Simplified Arabic" w:cs="Simplified Arabic"/>
          <w:sz w:val="26"/>
          <w:szCs w:val="26"/>
          <w:rtl/>
        </w:rPr>
        <w:t>ال</w:t>
      </w:r>
      <w:r w:rsidR="007D01BF" w:rsidRPr="001C5CC9">
        <w:rPr>
          <w:rFonts w:ascii="Simplified Arabic" w:hAnsi="Simplified Arabic" w:cs="Simplified Arabic"/>
          <w:sz w:val="26"/>
          <w:szCs w:val="26"/>
          <w:rtl/>
        </w:rPr>
        <w:t>مهن</w:t>
      </w:r>
      <w:r w:rsidRPr="001C5CC9">
        <w:rPr>
          <w:rFonts w:ascii="Simplified Arabic" w:hAnsi="Simplified Arabic" w:cs="Simplified Arabic"/>
          <w:sz w:val="26"/>
          <w:szCs w:val="26"/>
          <w:rtl/>
        </w:rPr>
        <w:t xml:space="preserve"> حوالي </w:t>
      </w:r>
      <w:r w:rsidR="00823867" w:rsidRPr="001C5CC9">
        <w:rPr>
          <w:rFonts w:ascii="Simplified Arabic" w:hAnsi="Simplified Arabic" w:cs="Simplified Arabic"/>
          <w:sz w:val="26"/>
          <w:szCs w:val="26"/>
          <w:rtl/>
        </w:rPr>
        <w:t>18</w:t>
      </w:r>
      <w:r w:rsidRPr="001C5CC9">
        <w:rPr>
          <w:rFonts w:ascii="Simplified Arabic" w:hAnsi="Simplified Arabic" w:cs="Simplified Arabic"/>
          <w:sz w:val="26"/>
          <w:szCs w:val="26"/>
          <w:rtl/>
        </w:rPr>
        <w:t>%؛</w:t>
      </w:r>
      <w:r w:rsidR="0079137E" w:rsidRPr="001C5CC9">
        <w:rPr>
          <w:rFonts w:ascii="Simplified Arabic" w:hAnsi="Simplified Arabic" w:cs="Simplified Arabic"/>
          <w:sz w:val="26"/>
          <w:szCs w:val="26"/>
          <w:rtl/>
        </w:rPr>
        <w:t xml:space="preserve"> </w:t>
      </w:r>
      <w:r w:rsidR="00554DEA" w:rsidRPr="001C5CC9">
        <w:rPr>
          <w:rFonts w:ascii="Simplified Arabic" w:hAnsi="Simplified Arabic" w:cs="Simplified Arabic"/>
          <w:sz w:val="26"/>
          <w:szCs w:val="26"/>
          <w:rtl/>
        </w:rPr>
        <w:t>22</w:t>
      </w:r>
      <w:r w:rsidR="0079137E" w:rsidRPr="001C5CC9">
        <w:rPr>
          <w:rFonts w:ascii="Simplified Arabic" w:hAnsi="Simplified Arabic" w:cs="Simplified Arabic"/>
          <w:sz w:val="26"/>
          <w:szCs w:val="26"/>
          <w:rtl/>
        </w:rPr>
        <w:t xml:space="preserve">% للذكور مقابل </w:t>
      </w:r>
      <w:r w:rsidR="00554DEA" w:rsidRPr="001C5CC9">
        <w:rPr>
          <w:rFonts w:ascii="Simplified Arabic" w:hAnsi="Simplified Arabic" w:cs="Simplified Arabic"/>
          <w:sz w:val="26"/>
          <w:szCs w:val="26"/>
          <w:rtl/>
        </w:rPr>
        <w:t>1</w:t>
      </w:r>
      <w:r w:rsidR="0079137E" w:rsidRPr="001C5CC9">
        <w:rPr>
          <w:rFonts w:ascii="Simplified Arabic" w:hAnsi="Simplified Arabic" w:cs="Simplified Arabic"/>
          <w:sz w:val="26"/>
          <w:szCs w:val="26"/>
          <w:rtl/>
        </w:rPr>
        <w:t xml:space="preserve">% </w:t>
      </w:r>
      <w:r w:rsidR="008760C4" w:rsidRPr="001C5CC9">
        <w:rPr>
          <w:rFonts w:ascii="Simplified Arabic" w:hAnsi="Simplified Arabic" w:cs="Simplified Arabic"/>
          <w:sz w:val="26"/>
          <w:szCs w:val="26"/>
          <w:rtl/>
        </w:rPr>
        <w:t>للإناث</w:t>
      </w:r>
      <w:r w:rsidRPr="001C5CC9">
        <w:rPr>
          <w:rFonts w:ascii="Simplified Arabic" w:hAnsi="Simplified Arabic" w:cs="Simplified Arabic"/>
          <w:sz w:val="26"/>
          <w:szCs w:val="26"/>
          <w:rtl/>
        </w:rPr>
        <w:t>.</w:t>
      </w:r>
    </w:p>
    <w:p w:rsidR="00832FD9" w:rsidRDefault="004E61CD" w:rsidP="007E3ABB">
      <w:pPr>
        <w:jc w:val="lowKashida"/>
        <w:rPr>
          <w:rFonts w:ascii="Simplified Arabic" w:hAnsi="Simplified Arabic" w:cs="Simplified Arabic" w:hint="cs"/>
          <w:sz w:val="26"/>
          <w:szCs w:val="26"/>
          <w:rtl/>
        </w:rPr>
      </w:pPr>
      <w:r w:rsidRPr="001C5CC9">
        <w:rPr>
          <w:rFonts w:ascii="Simplified Arabic" w:hAnsi="Simplified Arabic" w:cs="Simplified Arabic"/>
          <w:sz w:val="26"/>
          <w:szCs w:val="26"/>
          <w:rtl/>
        </w:rPr>
        <w:t xml:space="preserve">يعتبر </w:t>
      </w:r>
      <w:r w:rsidR="00243F31" w:rsidRPr="001C5CC9">
        <w:rPr>
          <w:rFonts w:ascii="Simplified Arabic" w:hAnsi="Simplified Arabic" w:cs="Simplified Arabic"/>
          <w:sz w:val="26"/>
          <w:szCs w:val="26"/>
          <w:rtl/>
        </w:rPr>
        <w:t>نشاط الخد</w:t>
      </w:r>
      <w:r w:rsidRPr="001C5CC9">
        <w:rPr>
          <w:rFonts w:ascii="Simplified Arabic" w:hAnsi="Simplified Arabic" w:cs="Simplified Arabic"/>
          <w:sz w:val="26"/>
          <w:szCs w:val="26"/>
          <w:rtl/>
        </w:rPr>
        <w:t xml:space="preserve">مات هو المشغل </w:t>
      </w:r>
      <w:r w:rsidR="00243F31" w:rsidRPr="001C5CC9">
        <w:rPr>
          <w:rFonts w:ascii="Simplified Arabic" w:hAnsi="Simplified Arabic" w:cs="Simplified Arabic"/>
          <w:sz w:val="26"/>
          <w:szCs w:val="26"/>
          <w:rtl/>
        </w:rPr>
        <w:t>الأكبر</w:t>
      </w:r>
      <w:r w:rsidRPr="001C5CC9">
        <w:rPr>
          <w:rFonts w:ascii="Simplified Arabic" w:hAnsi="Simplified Arabic" w:cs="Simplified Arabic"/>
          <w:sz w:val="26"/>
          <w:szCs w:val="26"/>
          <w:rtl/>
        </w:rPr>
        <w:t xml:space="preserve"> ل</w:t>
      </w:r>
      <w:r w:rsidR="00FD5B38" w:rsidRPr="001C5CC9">
        <w:rPr>
          <w:rFonts w:ascii="Simplified Arabic" w:hAnsi="Simplified Arabic" w:cs="Simplified Arabic"/>
          <w:sz w:val="26"/>
          <w:szCs w:val="26"/>
          <w:rtl/>
        </w:rPr>
        <w:t xml:space="preserve">لمستخدمين بأجر  في القطاع الخاص </w:t>
      </w:r>
      <w:r w:rsidRPr="001C5CC9">
        <w:rPr>
          <w:rFonts w:ascii="Simplified Arabic" w:hAnsi="Simplified Arabic" w:cs="Simplified Arabic"/>
          <w:sz w:val="26"/>
          <w:szCs w:val="26"/>
          <w:rtl/>
        </w:rPr>
        <w:t>حيث بلغت نسبة العاملين فيه</w:t>
      </w:r>
      <w:r w:rsidR="00D218E2" w:rsidRPr="001C5CC9">
        <w:rPr>
          <w:rFonts w:ascii="Simplified Arabic" w:hAnsi="Simplified Arabic" w:cs="Simplified Arabic"/>
          <w:sz w:val="26"/>
          <w:szCs w:val="26"/>
          <w:rtl/>
        </w:rPr>
        <w:t xml:space="preserve"> 28.8% بواقع</w:t>
      </w:r>
      <w:r w:rsidR="00243F31" w:rsidRPr="001C5CC9">
        <w:rPr>
          <w:rFonts w:ascii="Simplified Arabic" w:hAnsi="Simplified Arabic" w:cs="Simplified Arabic"/>
          <w:sz w:val="26"/>
          <w:szCs w:val="26"/>
          <w:rtl/>
        </w:rPr>
        <w:t xml:space="preserve"> 75.1% من </w:t>
      </w:r>
      <w:r w:rsidR="00D218E2" w:rsidRPr="001C5CC9">
        <w:rPr>
          <w:rFonts w:ascii="Simplified Arabic" w:hAnsi="Simplified Arabic" w:cs="Simplified Arabic"/>
          <w:sz w:val="26"/>
          <w:szCs w:val="26"/>
          <w:rtl/>
        </w:rPr>
        <w:t>الإناث</w:t>
      </w:r>
      <w:r w:rsidR="00243F31" w:rsidRPr="001C5CC9">
        <w:rPr>
          <w:rFonts w:ascii="Simplified Arabic" w:hAnsi="Simplified Arabic" w:cs="Simplified Arabic"/>
          <w:sz w:val="26"/>
          <w:szCs w:val="26"/>
          <w:rtl/>
        </w:rPr>
        <w:t xml:space="preserve"> المستخدمات باجر و 18.2% من الذكور المستخدمين باجر</w:t>
      </w:r>
      <w:r w:rsidR="00D218E2" w:rsidRPr="001C5CC9">
        <w:rPr>
          <w:rFonts w:ascii="Simplified Arabic" w:hAnsi="Simplified Arabic" w:cs="Simplified Arabic"/>
          <w:sz w:val="26"/>
          <w:szCs w:val="26"/>
          <w:rtl/>
        </w:rPr>
        <w:t>،</w:t>
      </w:r>
      <w:r w:rsidR="00243F31" w:rsidRPr="001C5CC9">
        <w:rPr>
          <w:rFonts w:ascii="Simplified Arabic" w:hAnsi="Simplified Arabic" w:cs="Simplified Arabic"/>
          <w:sz w:val="26"/>
          <w:szCs w:val="26"/>
          <w:rtl/>
        </w:rPr>
        <w:t xml:space="preserve"> يليه نشاط المطاعم والفنادق والتجارة حيث يعمل فيه 27.9% بواقع 31.4% من الذكور و 12.2% </w:t>
      </w:r>
      <w:r w:rsidR="00D218E2" w:rsidRPr="001C5CC9">
        <w:rPr>
          <w:rFonts w:ascii="Simplified Arabic" w:hAnsi="Simplified Arabic" w:cs="Simplified Arabic"/>
          <w:sz w:val="26"/>
          <w:szCs w:val="26"/>
          <w:rtl/>
        </w:rPr>
        <w:t>من</w:t>
      </w:r>
      <w:r w:rsidR="00243F31" w:rsidRPr="001C5CC9">
        <w:rPr>
          <w:rFonts w:ascii="Simplified Arabic" w:hAnsi="Simplified Arabic" w:cs="Simplified Arabic"/>
          <w:sz w:val="26"/>
          <w:szCs w:val="26"/>
          <w:rtl/>
        </w:rPr>
        <w:t xml:space="preserve"> </w:t>
      </w:r>
      <w:r w:rsidR="00D218E2" w:rsidRPr="001C5CC9">
        <w:rPr>
          <w:rFonts w:ascii="Simplified Arabic" w:hAnsi="Simplified Arabic" w:cs="Simplified Arabic"/>
          <w:sz w:val="26"/>
          <w:szCs w:val="26"/>
          <w:rtl/>
        </w:rPr>
        <w:t>الإناث</w:t>
      </w:r>
      <w:r w:rsidR="00243F31" w:rsidRPr="001C5CC9">
        <w:rPr>
          <w:rFonts w:ascii="Simplified Arabic" w:hAnsi="Simplified Arabic" w:cs="Simplified Arabic"/>
          <w:sz w:val="26"/>
          <w:szCs w:val="26"/>
          <w:rtl/>
        </w:rPr>
        <w:t xml:space="preserve">، يليه نشاط الصناعة حيث يعمل فيه 17.6% من المستخدمين بأجر بواقع 19.8% من الذكور و 7.8% من </w:t>
      </w:r>
      <w:r w:rsidR="00E52544" w:rsidRPr="001C5CC9">
        <w:rPr>
          <w:rFonts w:ascii="Simplified Arabic" w:hAnsi="Simplified Arabic" w:cs="Simplified Arabic"/>
          <w:sz w:val="26"/>
          <w:szCs w:val="26"/>
          <w:rtl/>
        </w:rPr>
        <w:t>الإناث و</w:t>
      </w:r>
      <w:r w:rsidR="00D218E2" w:rsidRPr="001C5CC9">
        <w:rPr>
          <w:rFonts w:ascii="Simplified Arabic" w:hAnsi="Simplified Arabic" w:cs="Simplified Arabic"/>
          <w:sz w:val="26"/>
          <w:szCs w:val="26"/>
          <w:rtl/>
        </w:rPr>
        <w:t>ي</w:t>
      </w:r>
      <w:r w:rsidR="006C4D12" w:rsidRPr="001C5CC9">
        <w:rPr>
          <w:rFonts w:ascii="Simplified Arabic" w:hAnsi="Simplified Arabic" w:cs="Simplified Arabic"/>
          <w:sz w:val="26"/>
          <w:szCs w:val="26"/>
          <w:rtl/>
        </w:rPr>
        <w:t>ت</w:t>
      </w:r>
      <w:r w:rsidR="00D218E2" w:rsidRPr="001C5CC9">
        <w:rPr>
          <w:rFonts w:ascii="Simplified Arabic" w:hAnsi="Simplified Arabic" w:cs="Simplified Arabic"/>
          <w:sz w:val="26"/>
          <w:szCs w:val="26"/>
          <w:rtl/>
        </w:rPr>
        <w:t xml:space="preserve">وزع باقي </w:t>
      </w:r>
      <w:r w:rsidR="006C4D12" w:rsidRPr="001C5CC9">
        <w:rPr>
          <w:rFonts w:ascii="Simplified Arabic" w:hAnsi="Simplified Arabic" w:cs="Simplified Arabic"/>
          <w:sz w:val="26"/>
          <w:szCs w:val="26"/>
          <w:rtl/>
        </w:rPr>
        <w:t>المستخدمين بأجر</w:t>
      </w:r>
      <w:r w:rsidR="00D218E2" w:rsidRPr="001C5CC9">
        <w:rPr>
          <w:rFonts w:ascii="Simplified Arabic" w:hAnsi="Simplified Arabic" w:cs="Simplified Arabic"/>
          <w:sz w:val="26"/>
          <w:szCs w:val="26"/>
          <w:rtl/>
        </w:rPr>
        <w:t xml:space="preserve"> على </w:t>
      </w:r>
      <w:r w:rsidR="006C4D12" w:rsidRPr="001C5CC9">
        <w:rPr>
          <w:rFonts w:ascii="Simplified Arabic" w:hAnsi="Simplified Arabic" w:cs="Simplified Arabic"/>
          <w:sz w:val="26"/>
          <w:szCs w:val="26"/>
          <w:rtl/>
        </w:rPr>
        <w:t>أنشطة</w:t>
      </w:r>
      <w:r w:rsidR="00D218E2" w:rsidRPr="001C5CC9">
        <w:rPr>
          <w:rFonts w:ascii="Simplified Arabic" w:hAnsi="Simplified Arabic" w:cs="Simplified Arabic"/>
          <w:sz w:val="26"/>
          <w:szCs w:val="26"/>
          <w:rtl/>
        </w:rPr>
        <w:t xml:space="preserve"> البناء والزراعة والنقل والتخزين.</w:t>
      </w:r>
    </w:p>
    <w:p w:rsidR="001C5CC9" w:rsidRDefault="001C5CC9" w:rsidP="007E3ABB">
      <w:pPr>
        <w:jc w:val="lowKashida"/>
        <w:rPr>
          <w:rFonts w:ascii="Simplified Arabic" w:hAnsi="Simplified Arabic" w:cs="Simplified Arabic" w:hint="cs"/>
          <w:sz w:val="26"/>
          <w:szCs w:val="26"/>
          <w:rtl/>
        </w:rPr>
      </w:pPr>
    </w:p>
    <w:p w:rsidR="001C5CC9" w:rsidRDefault="001C5CC9" w:rsidP="007E3ABB">
      <w:pPr>
        <w:jc w:val="lowKashida"/>
        <w:rPr>
          <w:rFonts w:ascii="Simplified Arabic" w:hAnsi="Simplified Arabic" w:cs="Simplified Arabic" w:hint="cs"/>
          <w:sz w:val="26"/>
          <w:szCs w:val="26"/>
          <w:rtl/>
        </w:rPr>
      </w:pPr>
    </w:p>
    <w:p w:rsidR="001C5CC9" w:rsidRDefault="001C5CC9" w:rsidP="007E3ABB">
      <w:pPr>
        <w:jc w:val="lowKashida"/>
        <w:rPr>
          <w:rFonts w:ascii="Simplified Arabic" w:hAnsi="Simplified Arabic" w:cs="Simplified Arabic" w:hint="cs"/>
          <w:sz w:val="26"/>
          <w:szCs w:val="26"/>
          <w:rtl/>
        </w:rPr>
      </w:pPr>
    </w:p>
    <w:p w:rsidR="001C5CC9" w:rsidRPr="001C5CC9" w:rsidRDefault="001C5CC9" w:rsidP="007E3ABB">
      <w:pPr>
        <w:jc w:val="lowKashida"/>
        <w:rPr>
          <w:rFonts w:ascii="Simplified Arabic" w:hAnsi="Simplified Arabic" w:cs="Simplified Arabic"/>
          <w:sz w:val="26"/>
          <w:szCs w:val="26"/>
          <w:rtl/>
        </w:rPr>
      </w:pPr>
    </w:p>
    <w:p w:rsidR="00EA364D" w:rsidRPr="001C5CC9" w:rsidRDefault="0027770C" w:rsidP="007E3ABB">
      <w:pPr>
        <w:ind w:right="-360"/>
        <w:jc w:val="lowKashida"/>
        <w:rPr>
          <w:rFonts w:ascii="Simplified Arabic" w:hAnsi="Simplified Arabic" w:cs="Simplified Arabic"/>
          <w:sz w:val="28"/>
          <w:szCs w:val="28"/>
          <w:rtl/>
        </w:rPr>
      </w:pPr>
      <w:r w:rsidRPr="001C5CC9">
        <w:rPr>
          <w:rFonts w:ascii="Simplified Arabic" w:hAnsi="Simplified Arabic" w:cs="Simplified Arabic"/>
          <w:b/>
          <w:bCs/>
          <w:sz w:val="28"/>
          <w:szCs w:val="28"/>
          <w:rtl/>
        </w:rPr>
        <w:t>معدلات أجور</w:t>
      </w:r>
      <w:r w:rsidR="00992A1F" w:rsidRPr="001C5CC9">
        <w:rPr>
          <w:rFonts w:ascii="Simplified Arabic" w:hAnsi="Simplified Arabic" w:cs="Simplified Arabic"/>
          <w:b/>
          <w:bCs/>
          <w:sz w:val="28"/>
          <w:szCs w:val="28"/>
          <w:rtl/>
        </w:rPr>
        <w:t xml:space="preserve"> حقيقية</w:t>
      </w:r>
      <w:r w:rsidRPr="001C5CC9">
        <w:rPr>
          <w:rFonts w:ascii="Simplified Arabic" w:hAnsi="Simplified Arabic" w:cs="Simplified Arabic"/>
          <w:b/>
          <w:bCs/>
          <w:sz w:val="28"/>
          <w:szCs w:val="28"/>
          <w:rtl/>
        </w:rPr>
        <w:t xml:space="preserve"> متدنية في القطاع الخاص</w:t>
      </w:r>
      <w:r w:rsidR="00EA364D" w:rsidRPr="001C5CC9">
        <w:rPr>
          <w:rFonts w:ascii="Simplified Arabic" w:hAnsi="Simplified Arabic" w:cs="Simplified Arabic"/>
          <w:b/>
          <w:bCs/>
          <w:sz w:val="28"/>
          <w:szCs w:val="28"/>
          <w:rtl/>
        </w:rPr>
        <w:t xml:space="preserve"> </w:t>
      </w:r>
    </w:p>
    <w:p w:rsidR="00EA364D" w:rsidRPr="001C5CC9" w:rsidRDefault="00EA364D" w:rsidP="007E3ABB">
      <w:pPr>
        <w:jc w:val="lowKashida"/>
        <w:rPr>
          <w:rFonts w:ascii="Simplified Arabic" w:hAnsi="Simplified Arabic" w:cs="Simplified Arabic"/>
          <w:color w:val="000000"/>
          <w:sz w:val="26"/>
          <w:szCs w:val="26"/>
          <w:rtl/>
        </w:rPr>
      </w:pPr>
      <w:r w:rsidRPr="001C5CC9">
        <w:rPr>
          <w:rFonts w:ascii="Simplified Arabic" w:hAnsi="Simplified Arabic" w:cs="Simplified Arabic"/>
          <w:color w:val="000000"/>
          <w:sz w:val="26"/>
          <w:szCs w:val="26"/>
          <w:rtl/>
        </w:rPr>
        <w:t>بلغ معدل الأجر اليومي الحقيقي</w:t>
      </w:r>
      <w:r w:rsidR="00BF3817" w:rsidRPr="001C5CC9">
        <w:rPr>
          <w:rFonts w:ascii="Simplified Arabic" w:hAnsi="Simplified Arabic" w:cs="Simplified Arabic"/>
          <w:color w:val="000000"/>
          <w:sz w:val="26"/>
          <w:szCs w:val="26"/>
          <w:rtl/>
        </w:rPr>
        <w:t xml:space="preserve"> عام 2019</w:t>
      </w:r>
      <w:r w:rsidR="00C52C52" w:rsidRPr="001C5CC9">
        <w:rPr>
          <w:rFonts w:ascii="Simplified Arabic" w:hAnsi="Simplified Arabic" w:cs="Simplified Arabic"/>
          <w:color w:val="000000"/>
          <w:sz w:val="26"/>
          <w:szCs w:val="26"/>
          <w:rtl/>
        </w:rPr>
        <w:t xml:space="preserve"> (سنة الأساس= 2010)</w:t>
      </w:r>
      <w:r w:rsidRPr="001C5CC9">
        <w:rPr>
          <w:rFonts w:ascii="Simplified Arabic" w:hAnsi="Simplified Arabic" w:cs="Simplified Arabic"/>
          <w:color w:val="000000"/>
          <w:sz w:val="26"/>
          <w:szCs w:val="26"/>
          <w:rtl/>
        </w:rPr>
        <w:t xml:space="preserve"> للمستخدمين بأجر</w:t>
      </w:r>
      <w:r w:rsidR="00B603A4" w:rsidRPr="001C5CC9">
        <w:rPr>
          <w:rFonts w:ascii="Simplified Arabic" w:hAnsi="Simplified Arabic" w:cs="Simplified Arabic"/>
          <w:color w:val="000000"/>
          <w:sz w:val="26"/>
          <w:szCs w:val="26"/>
          <w:rtl/>
        </w:rPr>
        <w:t xml:space="preserve"> في القطاع الخاص</w:t>
      </w:r>
      <w:r w:rsidRPr="001C5CC9">
        <w:rPr>
          <w:rFonts w:ascii="Simplified Arabic" w:hAnsi="Simplified Arabic" w:cs="Simplified Arabic"/>
          <w:color w:val="000000"/>
          <w:sz w:val="26"/>
          <w:szCs w:val="26"/>
          <w:rtl/>
        </w:rPr>
        <w:t xml:space="preserve"> حوالي </w:t>
      </w:r>
      <w:r w:rsidR="00395416" w:rsidRPr="001C5CC9">
        <w:rPr>
          <w:rFonts w:ascii="Simplified Arabic" w:hAnsi="Simplified Arabic" w:cs="Simplified Arabic"/>
          <w:color w:val="000000"/>
          <w:sz w:val="26"/>
          <w:szCs w:val="26"/>
          <w:rtl/>
        </w:rPr>
        <w:t>86</w:t>
      </w:r>
      <w:r w:rsidRPr="001C5CC9">
        <w:rPr>
          <w:rFonts w:ascii="Simplified Arabic" w:hAnsi="Simplified Arabic" w:cs="Simplified Arabic"/>
          <w:color w:val="000000"/>
          <w:sz w:val="26"/>
          <w:szCs w:val="26"/>
          <w:rtl/>
        </w:rPr>
        <w:t xml:space="preserve"> شي</w:t>
      </w:r>
      <w:r w:rsidR="00C4497D" w:rsidRPr="001C5CC9">
        <w:rPr>
          <w:rFonts w:ascii="Simplified Arabic" w:hAnsi="Simplified Arabic" w:cs="Simplified Arabic"/>
          <w:color w:val="000000"/>
          <w:sz w:val="26"/>
          <w:szCs w:val="26"/>
          <w:rtl/>
        </w:rPr>
        <w:t>ق</w:t>
      </w:r>
      <w:r w:rsidRPr="001C5CC9">
        <w:rPr>
          <w:rFonts w:ascii="Simplified Arabic" w:hAnsi="Simplified Arabic" w:cs="Simplified Arabic"/>
          <w:color w:val="000000"/>
          <w:sz w:val="26"/>
          <w:szCs w:val="26"/>
          <w:rtl/>
        </w:rPr>
        <w:t>ل</w:t>
      </w:r>
      <w:r w:rsidR="00FF304E" w:rsidRPr="001C5CC9">
        <w:rPr>
          <w:rFonts w:ascii="Simplified Arabic" w:hAnsi="Simplified Arabic" w:cs="Simplified Arabic"/>
          <w:color w:val="000000"/>
          <w:sz w:val="26"/>
          <w:szCs w:val="26"/>
          <w:rtl/>
        </w:rPr>
        <w:t xml:space="preserve"> في </w:t>
      </w:r>
      <w:r w:rsidR="006C1415" w:rsidRPr="001C5CC9">
        <w:rPr>
          <w:rFonts w:ascii="Simplified Arabic" w:hAnsi="Simplified Arabic" w:cs="Simplified Arabic"/>
          <w:color w:val="000000"/>
          <w:sz w:val="26"/>
          <w:szCs w:val="26"/>
          <w:rtl/>
        </w:rPr>
        <w:t>فلسطين</w:t>
      </w:r>
      <w:r w:rsidR="00F7233E" w:rsidRPr="001C5CC9">
        <w:rPr>
          <w:rFonts w:ascii="Simplified Arabic" w:hAnsi="Simplified Arabic" w:cs="Simplified Arabic"/>
          <w:color w:val="000000"/>
          <w:sz w:val="26"/>
          <w:szCs w:val="26"/>
          <w:rtl/>
        </w:rPr>
        <w:t>،</w:t>
      </w:r>
      <w:r w:rsidR="00140171" w:rsidRPr="001C5CC9">
        <w:rPr>
          <w:rFonts w:ascii="Simplified Arabic" w:hAnsi="Simplified Arabic" w:cs="Simplified Arabic"/>
          <w:color w:val="000000"/>
          <w:sz w:val="26"/>
          <w:szCs w:val="26"/>
          <w:rtl/>
        </w:rPr>
        <w:t xml:space="preserve"> بواقع </w:t>
      </w:r>
      <w:r w:rsidR="00395416" w:rsidRPr="001C5CC9">
        <w:rPr>
          <w:rFonts w:ascii="Simplified Arabic" w:hAnsi="Simplified Arabic" w:cs="Simplified Arabic"/>
          <w:color w:val="000000"/>
          <w:sz w:val="26"/>
          <w:szCs w:val="26"/>
          <w:rtl/>
        </w:rPr>
        <w:t>43</w:t>
      </w:r>
      <w:r w:rsidR="001C0904" w:rsidRPr="001C5CC9">
        <w:rPr>
          <w:rFonts w:ascii="Simplified Arabic" w:hAnsi="Simplified Arabic" w:cs="Simplified Arabic"/>
          <w:color w:val="000000"/>
          <w:sz w:val="26"/>
          <w:szCs w:val="26"/>
          <w:rtl/>
        </w:rPr>
        <w:t xml:space="preserve"> شي</w:t>
      </w:r>
      <w:r w:rsidR="00C4497D" w:rsidRPr="001C5CC9">
        <w:rPr>
          <w:rFonts w:ascii="Simplified Arabic" w:hAnsi="Simplified Arabic" w:cs="Simplified Arabic"/>
          <w:color w:val="000000"/>
          <w:sz w:val="26"/>
          <w:szCs w:val="26"/>
          <w:rtl/>
        </w:rPr>
        <w:t>ق</w:t>
      </w:r>
      <w:r w:rsidR="001C0904" w:rsidRPr="001C5CC9">
        <w:rPr>
          <w:rFonts w:ascii="Simplified Arabic" w:hAnsi="Simplified Arabic" w:cs="Simplified Arabic"/>
          <w:color w:val="000000"/>
          <w:sz w:val="26"/>
          <w:szCs w:val="26"/>
          <w:rtl/>
        </w:rPr>
        <w:t xml:space="preserve">ل في قطاع غزة </w:t>
      </w:r>
      <w:r w:rsidR="00832FD9" w:rsidRPr="001C5CC9">
        <w:rPr>
          <w:rFonts w:ascii="Simplified Arabic" w:hAnsi="Simplified Arabic" w:cs="Simplified Arabic"/>
          <w:color w:val="000000"/>
          <w:sz w:val="26"/>
          <w:szCs w:val="26"/>
          <w:rtl/>
          <w:lang w:bidi="ar-JO"/>
        </w:rPr>
        <w:t>و</w:t>
      </w:r>
      <w:r w:rsidR="00395416" w:rsidRPr="001C5CC9">
        <w:rPr>
          <w:rFonts w:ascii="Simplified Arabic" w:hAnsi="Simplified Arabic" w:cs="Simplified Arabic"/>
          <w:color w:val="000000"/>
          <w:sz w:val="26"/>
          <w:szCs w:val="26"/>
          <w:rtl/>
        </w:rPr>
        <w:t>102</w:t>
      </w:r>
      <w:r w:rsidR="009645B8" w:rsidRPr="001C5CC9">
        <w:rPr>
          <w:rFonts w:ascii="Simplified Arabic" w:hAnsi="Simplified Arabic" w:cs="Simplified Arabic"/>
          <w:color w:val="000000"/>
          <w:sz w:val="26"/>
          <w:szCs w:val="26"/>
          <w:rtl/>
        </w:rPr>
        <w:t xml:space="preserve"> شي</w:t>
      </w:r>
      <w:r w:rsidR="00C4497D" w:rsidRPr="001C5CC9">
        <w:rPr>
          <w:rFonts w:ascii="Simplified Arabic" w:hAnsi="Simplified Arabic" w:cs="Simplified Arabic"/>
          <w:color w:val="000000"/>
          <w:sz w:val="26"/>
          <w:szCs w:val="26"/>
          <w:rtl/>
        </w:rPr>
        <w:t>ق</w:t>
      </w:r>
      <w:r w:rsidR="009645B8" w:rsidRPr="001C5CC9">
        <w:rPr>
          <w:rFonts w:ascii="Simplified Arabic" w:hAnsi="Simplified Arabic" w:cs="Simplified Arabic"/>
          <w:color w:val="000000"/>
          <w:sz w:val="26"/>
          <w:szCs w:val="26"/>
          <w:rtl/>
        </w:rPr>
        <w:t>ل</w:t>
      </w:r>
      <w:r w:rsidR="003E55F0" w:rsidRPr="001C5CC9">
        <w:rPr>
          <w:rFonts w:ascii="Simplified Arabic" w:hAnsi="Simplified Arabic" w:cs="Simplified Arabic"/>
          <w:color w:val="000000"/>
          <w:sz w:val="26"/>
          <w:szCs w:val="26"/>
          <w:rtl/>
        </w:rPr>
        <w:t xml:space="preserve"> </w:t>
      </w:r>
      <w:r w:rsidR="009645B8" w:rsidRPr="001C5CC9">
        <w:rPr>
          <w:rFonts w:ascii="Simplified Arabic" w:hAnsi="Simplified Arabic" w:cs="Simplified Arabic"/>
          <w:color w:val="000000"/>
          <w:sz w:val="26"/>
          <w:szCs w:val="26"/>
          <w:rtl/>
        </w:rPr>
        <w:t>في الضفة</w:t>
      </w:r>
      <w:r w:rsidR="008E6D68" w:rsidRPr="001C5CC9">
        <w:rPr>
          <w:rFonts w:ascii="Simplified Arabic" w:hAnsi="Simplified Arabic" w:cs="Simplified Arabic"/>
          <w:color w:val="000000"/>
          <w:sz w:val="26"/>
          <w:szCs w:val="26"/>
          <w:rtl/>
        </w:rPr>
        <w:t xml:space="preserve"> </w:t>
      </w:r>
      <w:r w:rsidR="00FD00F3" w:rsidRPr="001C5CC9">
        <w:rPr>
          <w:rFonts w:ascii="Simplified Arabic" w:hAnsi="Simplified Arabic" w:cs="Simplified Arabic"/>
          <w:color w:val="000000"/>
          <w:sz w:val="26"/>
          <w:szCs w:val="26"/>
          <w:rtl/>
        </w:rPr>
        <w:t xml:space="preserve">الغربية </w:t>
      </w:r>
      <w:r w:rsidR="008E6D68" w:rsidRPr="001C5CC9">
        <w:rPr>
          <w:rFonts w:ascii="Simplified Arabic" w:hAnsi="Simplified Arabic" w:cs="Simplified Arabic"/>
          <w:color w:val="000000"/>
          <w:sz w:val="26"/>
          <w:szCs w:val="26"/>
          <w:rtl/>
        </w:rPr>
        <w:t>(</w:t>
      </w:r>
      <w:r w:rsidR="001C0904" w:rsidRPr="001C5CC9">
        <w:rPr>
          <w:rFonts w:ascii="Simplified Arabic" w:hAnsi="Simplified Arabic" w:cs="Simplified Arabic"/>
          <w:color w:val="000000"/>
          <w:sz w:val="26"/>
          <w:szCs w:val="26"/>
          <w:rtl/>
        </w:rPr>
        <w:t>لا يشمل العاملين في اسرائيل و</w:t>
      </w:r>
      <w:r w:rsidR="00527F62" w:rsidRPr="001C5CC9">
        <w:rPr>
          <w:rFonts w:ascii="Simplified Arabic" w:hAnsi="Simplified Arabic" w:cs="Simplified Arabic"/>
          <w:color w:val="000000"/>
          <w:sz w:val="26"/>
          <w:szCs w:val="26"/>
          <w:rtl/>
        </w:rPr>
        <w:t>المستعمرات</w:t>
      </w:r>
      <w:r w:rsidR="001C0904" w:rsidRPr="001C5CC9">
        <w:rPr>
          <w:rFonts w:ascii="Simplified Arabic" w:hAnsi="Simplified Arabic" w:cs="Simplified Arabic"/>
          <w:color w:val="000000"/>
          <w:sz w:val="26"/>
          <w:szCs w:val="26"/>
          <w:rtl/>
        </w:rPr>
        <w:t>)</w:t>
      </w:r>
      <w:r w:rsidR="009645B8" w:rsidRPr="001C5CC9">
        <w:rPr>
          <w:rFonts w:ascii="Simplified Arabic" w:hAnsi="Simplified Arabic" w:cs="Simplified Arabic"/>
          <w:color w:val="000000"/>
          <w:sz w:val="26"/>
          <w:szCs w:val="26"/>
          <w:rtl/>
        </w:rPr>
        <w:t>.</w:t>
      </w:r>
    </w:p>
    <w:p w:rsidR="00600A2D" w:rsidRPr="001C5CC9" w:rsidRDefault="00600A2D" w:rsidP="00B80DA4">
      <w:pPr>
        <w:ind w:right="-360"/>
        <w:jc w:val="lowKashida"/>
        <w:rPr>
          <w:rFonts w:ascii="Simplified Arabic" w:hAnsi="Simplified Arabic" w:cs="Simplified Arabic"/>
          <w:color w:val="000000"/>
          <w:sz w:val="26"/>
          <w:szCs w:val="26"/>
          <w:rtl/>
        </w:rPr>
      </w:pPr>
    </w:p>
    <w:p w:rsidR="00EA364D" w:rsidRPr="001C5CC9" w:rsidRDefault="00EA364D" w:rsidP="005B5B11">
      <w:pPr>
        <w:jc w:val="lowKashida"/>
        <w:rPr>
          <w:rFonts w:ascii="Simplified Arabic" w:hAnsi="Simplified Arabic" w:cs="Simplified Arabic"/>
          <w:color w:val="000000"/>
          <w:sz w:val="26"/>
          <w:szCs w:val="26"/>
          <w:rtl/>
        </w:rPr>
      </w:pPr>
      <w:r w:rsidRPr="001C5CC9">
        <w:rPr>
          <w:rFonts w:ascii="Simplified Arabic" w:hAnsi="Simplified Arabic" w:cs="Simplified Arabic"/>
          <w:color w:val="000000"/>
          <w:sz w:val="26"/>
          <w:szCs w:val="26"/>
          <w:rtl/>
        </w:rPr>
        <w:t xml:space="preserve">سجل </w:t>
      </w:r>
      <w:r w:rsidR="00275357" w:rsidRPr="001C5CC9">
        <w:rPr>
          <w:rFonts w:ascii="Simplified Arabic" w:hAnsi="Simplified Arabic" w:cs="Simplified Arabic"/>
          <w:color w:val="000000"/>
          <w:sz w:val="26"/>
          <w:szCs w:val="26"/>
          <w:rtl/>
        </w:rPr>
        <w:t>نشاط</w:t>
      </w:r>
      <w:r w:rsidR="009C4956" w:rsidRPr="001C5CC9">
        <w:rPr>
          <w:rFonts w:ascii="Simplified Arabic" w:hAnsi="Simplified Arabic" w:cs="Simplified Arabic"/>
          <w:color w:val="000000"/>
          <w:sz w:val="26"/>
          <w:szCs w:val="26"/>
          <w:rtl/>
        </w:rPr>
        <w:t xml:space="preserve"> البناء والتشييد أعلى معدلات للأجور اليومية الحقيقية في القطاع الخاص بمعدل </w:t>
      </w:r>
      <w:r w:rsidR="009C4956" w:rsidRPr="001C5CC9">
        <w:rPr>
          <w:rFonts w:ascii="Simplified Arabic" w:hAnsi="Simplified Arabic" w:cs="Simplified Arabic"/>
          <w:color w:val="000000"/>
          <w:sz w:val="26"/>
          <w:szCs w:val="26"/>
        </w:rPr>
        <w:t>1</w:t>
      </w:r>
      <w:r w:rsidR="00395416" w:rsidRPr="001C5CC9">
        <w:rPr>
          <w:rFonts w:ascii="Simplified Arabic" w:hAnsi="Simplified Arabic" w:cs="Simplified Arabic"/>
          <w:color w:val="000000"/>
          <w:sz w:val="26"/>
          <w:szCs w:val="26"/>
        </w:rPr>
        <w:t>12</w:t>
      </w:r>
      <w:r w:rsidR="009C4956" w:rsidRPr="001C5CC9">
        <w:rPr>
          <w:rFonts w:ascii="Simplified Arabic" w:hAnsi="Simplified Arabic" w:cs="Simplified Arabic"/>
          <w:color w:val="000000"/>
          <w:sz w:val="26"/>
          <w:szCs w:val="26"/>
          <w:rtl/>
        </w:rPr>
        <w:t xml:space="preserve"> شي</w:t>
      </w:r>
      <w:r w:rsidR="00C4497D" w:rsidRPr="001C5CC9">
        <w:rPr>
          <w:rFonts w:ascii="Simplified Arabic" w:hAnsi="Simplified Arabic" w:cs="Simplified Arabic"/>
          <w:color w:val="000000"/>
          <w:sz w:val="26"/>
          <w:szCs w:val="26"/>
          <w:rtl/>
        </w:rPr>
        <w:t>ق</w:t>
      </w:r>
      <w:r w:rsidR="009C4956" w:rsidRPr="001C5CC9">
        <w:rPr>
          <w:rFonts w:ascii="Simplified Arabic" w:hAnsi="Simplified Arabic" w:cs="Simplified Arabic"/>
          <w:color w:val="000000"/>
          <w:sz w:val="26"/>
          <w:szCs w:val="26"/>
          <w:rtl/>
        </w:rPr>
        <w:t>ل في الضفة الغربية و</w:t>
      </w:r>
      <w:r w:rsidR="00395416" w:rsidRPr="001C5CC9">
        <w:rPr>
          <w:rFonts w:ascii="Simplified Arabic" w:hAnsi="Simplified Arabic" w:cs="Simplified Arabic"/>
          <w:color w:val="000000"/>
          <w:sz w:val="26"/>
          <w:szCs w:val="26"/>
        </w:rPr>
        <w:t>40</w:t>
      </w:r>
      <w:r w:rsidR="009C4956" w:rsidRPr="001C5CC9">
        <w:rPr>
          <w:rFonts w:ascii="Simplified Arabic" w:hAnsi="Simplified Arabic" w:cs="Simplified Arabic"/>
          <w:color w:val="000000"/>
          <w:sz w:val="26"/>
          <w:szCs w:val="26"/>
          <w:rtl/>
        </w:rPr>
        <w:t xml:space="preserve"> شي</w:t>
      </w:r>
      <w:r w:rsidR="00C4497D" w:rsidRPr="001C5CC9">
        <w:rPr>
          <w:rFonts w:ascii="Simplified Arabic" w:hAnsi="Simplified Arabic" w:cs="Simplified Arabic"/>
          <w:color w:val="000000"/>
          <w:sz w:val="26"/>
          <w:szCs w:val="26"/>
          <w:rtl/>
        </w:rPr>
        <w:t>ق</w:t>
      </w:r>
      <w:r w:rsidR="009C4956" w:rsidRPr="001C5CC9">
        <w:rPr>
          <w:rFonts w:ascii="Simplified Arabic" w:hAnsi="Simplified Arabic" w:cs="Simplified Arabic"/>
          <w:color w:val="000000"/>
          <w:sz w:val="26"/>
          <w:szCs w:val="26"/>
          <w:rtl/>
        </w:rPr>
        <w:t>ل في قطاع غزة،</w:t>
      </w:r>
      <w:r w:rsidRPr="001C5CC9">
        <w:rPr>
          <w:rFonts w:ascii="Simplified Arabic" w:hAnsi="Simplified Arabic" w:cs="Simplified Arabic"/>
          <w:color w:val="000000"/>
          <w:sz w:val="26"/>
          <w:szCs w:val="26"/>
          <w:rtl/>
        </w:rPr>
        <w:t xml:space="preserve"> </w:t>
      </w:r>
      <w:r w:rsidR="00EE28AB" w:rsidRPr="001C5CC9">
        <w:rPr>
          <w:rFonts w:ascii="Simplified Arabic" w:hAnsi="Simplified Arabic" w:cs="Simplified Arabic"/>
          <w:color w:val="000000"/>
          <w:sz w:val="26"/>
          <w:szCs w:val="26"/>
          <w:rtl/>
        </w:rPr>
        <w:t xml:space="preserve">يليه </w:t>
      </w:r>
      <w:r w:rsidR="00275357" w:rsidRPr="001C5CC9">
        <w:rPr>
          <w:rFonts w:ascii="Simplified Arabic" w:hAnsi="Simplified Arabic" w:cs="Simplified Arabic"/>
          <w:color w:val="000000"/>
          <w:sz w:val="26"/>
          <w:szCs w:val="26"/>
          <w:rtl/>
        </w:rPr>
        <w:t>نشاط</w:t>
      </w:r>
      <w:r w:rsidR="00EE28AB" w:rsidRPr="001C5CC9">
        <w:rPr>
          <w:rFonts w:ascii="Simplified Arabic" w:hAnsi="Simplified Arabic" w:cs="Simplified Arabic"/>
          <w:color w:val="000000"/>
          <w:sz w:val="26"/>
          <w:szCs w:val="26"/>
          <w:rtl/>
        </w:rPr>
        <w:t xml:space="preserve"> </w:t>
      </w:r>
      <w:r w:rsidR="009C4956" w:rsidRPr="001C5CC9">
        <w:rPr>
          <w:rFonts w:ascii="Simplified Arabic" w:hAnsi="Simplified Arabic" w:cs="Simplified Arabic"/>
          <w:color w:val="000000"/>
          <w:sz w:val="26"/>
          <w:szCs w:val="26"/>
          <w:rtl/>
        </w:rPr>
        <w:t>الخدمات</w:t>
      </w:r>
      <w:r w:rsidR="00EE28AB" w:rsidRPr="001C5CC9">
        <w:rPr>
          <w:rFonts w:ascii="Simplified Arabic" w:hAnsi="Simplified Arabic" w:cs="Simplified Arabic"/>
          <w:color w:val="000000"/>
          <w:sz w:val="26"/>
          <w:szCs w:val="26"/>
          <w:rtl/>
        </w:rPr>
        <w:t xml:space="preserve"> </w:t>
      </w:r>
      <w:r w:rsidR="009C4956" w:rsidRPr="001C5CC9">
        <w:rPr>
          <w:rFonts w:ascii="Simplified Arabic" w:hAnsi="Simplified Arabic" w:cs="Simplified Arabic"/>
          <w:color w:val="000000"/>
          <w:sz w:val="26"/>
          <w:szCs w:val="26"/>
        </w:rPr>
        <w:t>1</w:t>
      </w:r>
      <w:r w:rsidR="005B5B11" w:rsidRPr="001C5CC9">
        <w:rPr>
          <w:rFonts w:ascii="Simplified Arabic" w:hAnsi="Simplified Arabic" w:cs="Simplified Arabic"/>
          <w:color w:val="000000"/>
          <w:sz w:val="26"/>
          <w:szCs w:val="26"/>
        </w:rPr>
        <w:t>15</w:t>
      </w:r>
      <w:r w:rsidR="009C4956" w:rsidRPr="001C5CC9">
        <w:rPr>
          <w:rFonts w:ascii="Simplified Arabic" w:hAnsi="Simplified Arabic" w:cs="Simplified Arabic"/>
          <w:color w:val="000000"/>
          <w:sz w:val="26"/>
          <w:szCs w:val="26"/>
          <w:rtl/>
        </w:rPr>
        <w:t xml:space="preserve"> شي</w:t>
      </w:r>
      <w:r w:rsidR="00C4497D" w:rsidRPr="001C5CC9">
        <w:rPr>
          <w:rFonts w:ascii="Simplified Arabic" w:hAnsi="Simplified Arabic" w:cs="Simplified Arabic"/>
          <w:color w:val="000000"/>
          <w:sz w:val="26"/>
          <w:szCs w:val="26"/>
          <w:rtl/>
        </w:rPr>
        <w:t>ق</w:t>
      </w:r>
      <w:r w:rsidR="009C4956" w:rsidRPr="001C5CC9">
        <w:rPr>
          <w:rFonts w:ascii="Simplified Arabic" w:hAnsi="Simplified Arabic" w:cs="Simplified Arabic"/>
          <w:color w:val="000000"/>
          <w:sz w:val="26"/>
          <w:szCs w:val="26"/>
          <w:rtl/>
        </w:rPr>
        <w:t xml:space="preserve">ل في الضفة الغربية </w:t>
      </w:r>
      <w:r w:rsidR="00CE089B" w:rsidRPr="001C5CC9">
        <w:rPr>
          <w:rFonts w:ascii="Simplified Arabic" w:hAnsi="Simplified Arabic" w:cs="Simplified Arabic"/>
          <w:color w:val="000000"/>
          <w:sz w:val="26"/>
          <w:szCs w:val="26"/>
          <w:rtl/>
        </w:rPr>
        <w:t>و</w:t>
      </w:r>
      <w:r w:rsidR="005B5B11" w:rsidRPr="001C5CC9">
        <w:rPr>
          <w:rFonts w:ascii="Simplified Arabic" w:hAnsi="Simplified Arabic" w:cs="Simplified Arabic"/>
          <w:color w:val="000000"/>
          <w:sz w:val="26"/>
          <w:szCs w:val="26"/>
        </w:rPr>
        <w:t>73</w:t>
      </w:r>
      <w:r w:rsidR="009C4956" w:rsidRPr="001C5CC9">
        <w:rPr>
          <w:rFonts w:ascii="Simplified Arabic" w:hAnsi="Simplified Arabic" w:cs="Simplified Arabic"/>
          <w:color w:val="000000"/>
          <w:sz w:val="26"/>
          <w:szCs w:val="26"/>
          <w:rtl/>
        </w:rPr>
        <w:t xml:space="preserve"> شي</w:t>
      </w:r>
      <w:r w:rsidR="00C4497D" w:rsidRPr="001C5CC9">
        <w:rPr>
          <w:rFonts w:ascii="Simplified Arabic" w:hAnsi="Simplified Arabic" w:cs="Simplified Arabic"/>
          <w:color w:val="000000"/>
          <w:sz w:val="26"/>
          <w:szCs w:val="26"/>
          <w:rtl/>
        </w:rPr>
        <w:t>ق</w:t>
      </w:r>
      <w:r w:rsidR="009C4956" w:rsidRPr="001C5CC9">
        <w:rPr>
          <w:rFonts w:ascii="Simplified Arabic" w:hAnsi="Simplified Arabic" w:cs="Simplified Arabic"/>
          <w:color w:val="000000"/>
          <w:sz w:val="26"/>
          <w:szCs w:val="26"/>
          <w:rtl/>
        </w:rPr>
        <w:t>ل في قطاع غزة،</w:t>
      </w:r>
      <w:r w:rsidRPr="001C5CC9">
        <w:rPr>
          <w:rFonts w:ascii="Simplified Arabic" w:hAnsi="Simplified Arabic" w:cs="Simplified Arabic"/>
          <w:color w:val="000000"/>
          <w:sz w:val="26"/>
          <w:szCs w:val="26"/>
          <w:rtl/>
        </w:rPr>
        <w:t xml:space="preserve"> بينما سجل </w:t>
      </w:r>
      <w:r w:rsidR="00275357" w:rsidRPr="001C5CC9">
        <w:rPr>
          <w:rFonts w:ascii="Simplified Arabic" w:hAnsi="Simplified Arabic" w:cs="Simplified Arabic"/>
          <w:color w:val="000000"/>
          <w:sz w:val="26"/>
          <w:szCs w:val="26"/>
          <w:rtl/>
        </w:rPr>
        <w:t>نشاط</w:t>
      </w:r>
      <w:r w:rsidRPr="001C5CC9">
        <w:rPr>
          <w:rFonts w:ascii="Simplified Arabic" w:hAnsi="Simplified Arabic" w:cs="Simplified Arabic"/>
          <w:color w:val="000000"/>
          <w:sz w:val="26"/>
          <w:szCs w:val="26"/>
          <w:rtl/>
        </w:rPr>
        <w:t xml:space="preserve"> الزراعة أدنى معدل أجر يومي</w:t>
      </w:r>
      <w:r w:rsidR="00CE089B" w:rsidRPr="001C5CC9">
        <w:rPr>
          <w:rFonts w:ascii="Simplified Arabic" w:hAnsi="Simplified Arabic" w:cs="Simplified Arabic"/>
          <w:color w:val="000000"/>
          <w:sz w:val="26"/>
          <w:szCs w:val="26"/>
          <w:rtl/>
        </w:rPr>
        <w:t xml:space="preserve"> حقيقي</w:t>
      </w:r>
      <w:r w:rsidRPr="001C5CC9">
        <w:rPr>
          <w:rFonts w:ascii="Simplified Arabic" w:hAnsi="Simplified Arabic" w:cs="Simplified Arabic"/>
          <w:color w:val="000000"/>
          <w:sz w:val="26"/>
          <w:szCs w:val="26"/>
          <w:rtl/>
        </w:rPr>
        <w:t xml:space="preserve"> بواقع </w:t>
      </w:r>
      <w:r w:rsidR="005B5B11" w:rsidRPr="001C5CC9">
        <w:rPr>
          <w:rFonts w:ascii="Simplified Arabic" w:hAnsi="Simplified Arabic" w:cs="Simplified Arabic"/>
          <w:color w:val="000000"/>
          <w:sz w:val="26"/>
          <w:szCs w:val="26"/>
        </w:rPr>
        <w:t>75</w:t>
      </w:r>
      <w:r w:rsidRPr="001C5CC9">
        <w:rPr>
          <w:rFonts w:ascii="Simplified Arabic" w:hAnsi="Simplified Arabic" w:cs="Simplified Arabic"/>
          <w:color w:val="000000"/>
          <w:sz w:val="26"/>
          <w:szCs w:val="26"/>
          <w:rtl/>
        </w:rPr>
        <w:t xml:space="preserve"> شي</w:t>
      </w:r>
      <w:r w:rsidR="00C4497D" w:rsidRPr="001C5CC9">
        <w:rPr>
          <w:rFonts w:ascii="Simplified Arabic" w:hAnsi="Simplified Arabic" w:cs="Simplified Arabic"/>
          <w:color w:val="000000"/>
          <w:sz w:val="26"/>
          <w:szCs w:val="26"/>
          <w:rtl/>
        </w:rPr>
        <w:t>ق</w:t>
      </w:r>
      <w:r w:rsidRPr="001C5CC9">
        <w:rPr>
          <w:rFonts w:ascii="Simplified Arabic" w:hAnsi="Simplified Arabic" w:cs="Simplified Arabic"/>
          <w:color w:val="000000"/>
          <w:sz w:val="26"/>
          <w:szCs w:val="26"/>
          <w:rtl/>
        </w:rPr>
        <w:t>ل في الضفة الغربية و</w:t>
      </w:r>
      <w:r w:rsidR="009C4956" w:rsidRPr="001C5CC9">
        <w:rPr>
          <w:rFonts w:ascii="Simplified Arabic" w:hAnsi="Simplified Arabic" w:cs="Simplified Arabic"/>
          <w:color w:val="000000"/>
          <w:sz w:val="26"/>
          <w:szCs w:val="26"/>
        </w:rPr>
        <w:t>21</w:t>
      </w:r>
      <w:r w:rsidR="004B618D" w:rsidRPr="001C5CC9">
        <w:rPr>
          <w:rFonts w:ascii="Simplified Arabic" w:hAnsi="Simplified Arabic" w:cs="Simplified Arabic"/>
          <w:color w:val="000000"/>
          <w:sz w:val="26"/>
          <w:szCs w:val="26"/>
          <w:rtl/>
        </w:rPr>
        <w:t xml:space="preserve"> </w:t>
      </w:r>
      <w:r w:rsidRPr="001C5CC9">
        <w:rPr>
          <w:rFonts w:ascii="Simplified Arabic" w:hAnsi="Simplified Arabic" w:cs="Simplified Arabic"/>
          <w:color w:val="000000"/>
          <w:sz w:val="26"/>
          <w:szCs w:val="26"/>
          <w:rtl/>
        </w:rPr>
        <w:t>شي</w:t>
      </w:r>
      <w:r w:rsidR="00C4497D" w:rsidRPr="001C5CC9">
        <w:rPr>
          <w:rFonts w:ascii="Simplified Arabic" w:hAnsi="Simplified Arabic" w:cs="Simplified Arabic"/>
          <w:color w:val="000000"/>
          <w:sz w:val="26"/>
          <w:szCs w:val="26"/>
          <w:rtl/>
        </w:rPr>
        <w:t>ق</w:t>
      </w:r>
      <w:r w:rsidRPr="001C5CC9">
        <w:rPr>
          <w:rFonts w:ascii="Simplified Arabic" w:hAnsi="Simplified Arabic" w:cs="Simplified Arabic"/>
          <w:color w:val="000000"/>
          <w:sz w:val="26"/>
          <w:szCs w:val="26"/>
          <w:rtl/>
        </w:rPr>
        <w:t>ل في قطاع غزة.</w:t>
      </w:r>
    </w:p>
    <w:p w:rsidR="00567FE7" w:rsidRDefault="00567FE7" w:rsidP="00C4497D">
      <w:pPr>
        <w:jc w:val="lowKashida"/>
        <w:rPr>
          <w:rFonts w:cs="Simplified Arabic"/>
          <w:color w:val="000000"/>
          <w:rtl/>
        </w:rPr>
      </w:pPr>
    </w:p>
    <w:p w:rsidR="00255E71" w:rsidRPr="001C5CC9" w:rsidRDefault="00255E71" w:rsidP="007E3ABB">
      <w:pPr>
        <w:pStyle w:val="Heading3"/>
        <w:ind w:left="-16"/>
        <w:jc w:val="center"/>
        <w:rPr>
          <w:b w:val="0"/>
          <w:bCs w:val="0"/>
          <w:sz w:val="26"/>
          <w:szCs w:val="26"/>
          <w:rtl/>
        </w:rPr>
      </w:pPr>
      <w:r w:rsidRPr="001C5CC9">
        <w:rPr>
          <w:rFonts w:hint="cs"/>
          <w:sz w:val="26"/>
          <w:szCs w:val="26"/>
          <w:rtl/>
        </w:rPr>
        <w:t>معدل الأجر اليومي الحقيقي بالشي</w:t>
      </w:r>
      <w:r w:rsidR="00C4497D" w:rsidRPr="001C5CC9">
        <w:rPr>
          <w:rFonts w:hint="cs"/>
          <w:sz w:val="26"/>
          <w:szCs w:val="26"/>
          <w:rtl/>
        </w:rPr>
        <w:t>ق</w:t>
      </w:r>
      <w:r w:rsidRPr="001C5CC9">
        <w:rPr>
          <w:rFonts w:hint="cs"/>
          <w:sz w:val="26"/>
          <w:szCs w:val="26"/>
          <w:rtl/>
        </w:rPr>
        <w:t>ل للمستخدمين بأجر في القطاع الخاص</w:t>
      </w:r>
      <w:r w:rsidR="008760C4" w:rsidRPr="001C5CC9">
        <w:rPr>
          <w:rFonts w:hint="cs"/>
          <w:sz w:val="26"/>
          <w:szCs w:val="26"/>
          <w:rtl/>
        </w:rPr>
        <w:t xml:space="preserve"> </w:t>
      </w:r>
      <w:r w:rsidRPr="001C5CC9">
        <w:rPr>
          <w:rFonts w:hint="cs"/>
          <w:sz w:val="26"/>
          <w:szCs w:val="26"/>
          <w:rtl/>
        </w:rPr>
        <w:t xml:space="preserve">حسب المنطقة، </w:t>
      </w:r>
      <w:r w:rsidR="0064365B" w:rsidRPr="001C5CC9">
        <w:rPr>
          <w:rFonts w:hint="cs"/>
          <w:sz w:val="26"/>
          <w:szCs w:val="26"/>
          <w:rtl/>
        </w:rPr>
        <w:t>2015</w:t>
      </w:r>
      <w:r w:rsidRPr="001C5CC9">
        <w:rPr>
          <w:rFonts w:hint="cs"/>
          <w:sz w:val="26"/>
          <w:szCs w:val="26"/>
          <w:rtl/>
        </w:rPr>
        <w:t>-</w:t>
      </w:r>
      <w:r w:rsidR="0064365B" w:rsidRPr="001C5CC9">
        <w:rPr>
          <w:rFonts w:hint="cs"/>
          <w:sz w:val="26"/>
          <w:szCs w:val="26"/>
          <w:rtl/>
        </w:rPr>
        <w:t>2019</w:t>
      </w:r>
    </w:p>
    <w:p w:rsidR="00255E71" w:rsidRDefault="00732F01" w:rsidP="001C5CC9">
      <w:pPr>
        <w:tabs>
          <w:tab w:val="num" w:pos="610"/>
        </w:tabs>
        <w:jc w:val="center"/>
        <w:rPr>
          <w:rFonts w:cs="Simplified Arabic"/>
          <w:b/>
          <w:bCs/>
          <w:rtl/>
        </w:rPr>
      </w:pPr>
      <w:r>
        <w:rPr>
          <w:rFonts w:cs="Simplified Arabic"/>
          <w:b/>
          <w:bCs/>
          <w:noProof/>
          <w:lang w:eastAsia="en-US"/>
        </w:rPr>
        <w:drawing>
          <wp:inline distT="0" distB="0" distL="0" distR="0">
            <wp:extent cx="3474720" cy="2030730"/>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B2DFC" w:rsidRPr="001C5CC9" w:rsidRDefault="00F44BF5" w:rsidP="007E3ABB">
      <w:pPr>
        <w:tabs>
          <w:tab w:val="num" w:pos="610"/>
        </w:tabs>
        <w:jc w:val="both"/>
        <w:rPr>
          <w:rFonts w:cs="Simplified Arabic"/>
          <w:b/>
          <w:bCs/>
          <w:sz w:val="28"/>
          <w:szCs w:val="28"/>
          <w:rtl/>
        </w:rPr>
      </w:pPr>
      <w:r w:rsidRPr="001C5CC9">
        <w:rPr>
          <w:rFonts w:cs="Simplified Arabic" w:hint="cs"/>
          <w:b/>
          <w:bCs/>
          <w:sz w:val="28"/>
          <w:szCs w:val="28"/>
          <w:rtl/>
        </w:rPr>
        <w:t xml:space="preserve">حوالي </w:t>
      </w:r>
      <w:r w:rsidR="003415BA" w:rsidRPr="001C5CC9">
        <w:rPr>
          <w:rFonts w:cs="Simplified Arabic" w:hint="cs"/>
          <w:b/>
          <w:bCs/>
          <w:sz w:val="28"/>
          <w:szCs w:val="28"/>
          <w:rtl/>
        </w:rPr>
        <w:t>30</w:t>
      </w:r>
      <w:r w:rsidR="00FB2DFC" w:rsidRPr="001C5CC9">
        <w:rPr>
          <w:rFonts w:cs="Simplified Arabic" w:hint="cs"/>
          <w:b/>
          <w:bCs/>
          <w:sz w:val="28"/>
          <w:szCs w:val="28"/>
          <w:rtl/>
        </w:rPr>
        <w:t xml:space="preserve">% من </w:t>
      </w:r>
      <w:r w:rsidR="007E3ABB" w:rsidRPr="001C5CC9">
        <w:rPr>
          <w:rFonts w:cs="Simplified Arabic" w:hint="cs"/>
          <w:b/>
          <w:bCs/>
          <w:sz w:val="28"/>
          <w:szCs w:val="28"/>
          <w:rtl/>
        </w:rPr>
        <w:t>المستخدمين بأجر في القطاع الخاص</w:t>
      </w:r>
      <w:r w:rsidR="007E3ABB" w:rsidRPr="001C5CC9">
        <w:rPr>
          <w:rFonts w:cs="Simplified Arabic"/>
          <w:b/>
          <w:bCs/>
          <w:sz w:val="28"/>
          <w:szCs w:val="28"/>
        </w:rPr>
        <w:t xml:space="preserve"> </w:t>
      </w:r>
      <w:r w:rsidR="00FB2DFC" w:rsidRPr="001C5CC9">
        <w:rPr>
          <w:rFonts w:cs="Simplified Arabic" w:hint="cs"/>
          <w:b/>
          <w:bCs/>
          <w:sz w:val="28"/>
          <w:szCs w:val="28"/>
          <w:rtl/>
        </w:rPr>
        <w:t>يتقاضون أجراً شهرياً أقل من الحد الأدنى للأجر (1,450 شي</w:t>
      </w:r>
      <w:r w:rsidR="00CB0FBD" w:rsidRPr="001C5CC9">
        <w:rPr>
          <w:rFonts w:cs="Simplified Arabic" w:hint="cs"/>
          <w:b/>
          <w:bCs/>
          <w:sz w:val="28"/>
          <w:szCs w:val="28"/>
          <w:rtl/>
        </w:rPr>
        <w:t>ق</w:t>
      </w:r>
      <w:r w:rsidR="00FB2DFC" w:rsidRPr="001C5CC9">
        <w:rPr>
          <w:rFonts w:cs="Simplified Arabic" w:hint="cs"/>
          <w:b/>
          <w:bCs/>
          <w:sz w:val="28"/>
          <w:szCs w:val="28"/>
          <w:rtl/>
        </w:rPr>
        <w:t>ل) في فلسطين</w:t>
      </w:r>
    </w:p>
    <w:p w:rsidR="00490EFA" w:rsidRPr="001C5CC9" w:rsidRDefault="00490EFA" w:rsidP="004A6F8A">
      <w:pPr>
        <w:pStyle w:val="NoSpacing"/>
        <w:ind w:left="48"/>
        <w:jc w:val="both"/>
        <w:rPr>
          <w:rFonts w:ascii="Simplified Arabic" w:hAnsi="Simplified Arabic" w:cs="Simplified Arabic"/>
          <w:color w:val="000000"/>
          <w:sz w:val="26"/>
          <w:szCs w:val="26"/>
        </w:rPr>
      </w:pPr>
      <w:r w:rsidRPr="001C5CC9">
        <w:rPr>
          <w:rFonts w:ascii="Simplified Arabic" w:eastAsia="Calibri" w:hAnsi="Simplified Arabic" w:cs="Simplified Arabic" w:hint="cs"/>
          <w:color w:val="000000"/>
          <w:sz w:val="26"/>
          <w:szCs w:val="26"/>
          <w:rtl/>
          <w:lang w:eastAsia="en-US"/>
        </w:rPr>
        <w:t xml:space="preserve">بلغ </w:t>
      </w:r>
      <w:r w:rsidRPr="001C5CC9">
        <w:rPr>
          <w:rFonts w:ascii="Simplified Arabic" w:eastAsia="Calibri" w:hAnsi="Simplified Arabic" w:cs="Simplified Arabic"/>
          <w:color w:val="000000"/>
          <w:sz w:val="26"/>
          <w:szCs w:val="26"/>
          <w:rtl/>
          <w:lang w:eastAsia="en-US"/>
        </w:rPr>
        <w:t>عدد</w:t>
      </w:r>
      <w:r w:rsidR="004A6F8A" w:rsidRPr="001C5CC9">
        <w:rPr>
          <w:rFonts w:ascii="Simplified Arabic" w:eastAsia="Calibri" w:hAnsi="Simplified Arabic" w:cs="Simplified Arabic"/>
          <w:color w:val="000000"/>
          <w:sz w:val="26"/>
          <w:szCs w:val="26"/>
          <w:rtl/>
          <w:lang w:eastAsia="en-US"/>
        </w:rPr>
        <w:t xml:space="preserve"> المستخدمين بأجر في القطاع الخا</w:t>
      </w:r>
      <w:r w:rsidR="004A6F8A" w:rsidRPr="001C5CC9">
        <w:rPr>
          <w:rFonts w:ascii="Simplified Arabic" w:eastAsia="Calibri" w:hAnsi="Simplified Arabic" w:cs="Simplified Arabic" w:hint="cs"/>
          <w:color w:val="000000"/>
          <w:sz w:val="26"/>
          <w:szCs w:val="26"/>
          <w:rtl/>
          <w:lang w:eastAsia="en-US"/>
        </w:rPr>
        <w:t xml:space="preserve">ص </w:t>
      </w:r>
      <w:r w:rsidR="007E3ABB" w:rsidRPr="001C5CC9">
        <w:rPr>
          <w:rFonts w:ascii="Simplified Arabic" w:eastAsia="Calibri" w:hAnsi="Simplified Arabic" w:cs="Simplified Arabic"/>
          <w:color w:val="000000"/>
          <w:sz w:val="26"/>
          <w:szCs w:val="26"/>
          <w:lang w:eastAsia="en-US"/>
        </w:rPr>
        <w:t xml:space="preserve"> </w:t>
      </w:r>
      <w:r w:rsidRPr="001C5CC9">
        <w:rPr>
          <w:rFonts w:ascii="Simplified Arabic" w:eastAsia="Calibri" w:hAnsi="Simplified Arabic" w:cs="Simplified Arabic"/>
          <w:color w:val="000000"/>
          <w:sz w:val="26"/>
          <w:szCs w:val="26"/>
          <w:rtl/>
          <w:lang w:eastAsia="en-US"/>
        </w:rPr>
        <w:t>يتقاضون اقل من الحد الأدنى للأجر (1,450 شيقل</w:t>
      </w:r>
      <w:r w:rsidRPr="001C5CC9">
        <w:rPr>
          <w:rFonts w:ascii="Simplified Arabic" w:eastAsia="Calibri" w:hAnsi="Simplified Arabic" w:cs="Simplified Arabic" w:hint="cs"/>
          <w:color w:val="000000"/>
          <w:sz w:val="26"/>
          <w:szCs w:val="26"/>
          <w:rtl/>
          <w:lang w:eastAsia="en-US"/>
        </w:rPr>
        <w:t>ا</w:t>
      </w:r>
      <w:r w:rsidRPr="001C5CC9">
        <w:rPr>
          <w:rFonts w:ascii="Simplified Arabic" w:eastAsia="Calibri" w:hAnsi="Simplified Arabic" w:cs="Simplified Arabic"/>
          <w:color w:val="000000"/>
          <w:sz w:val="26"/>
          <w:szCs w:val="26"/>
          <w:rtl/>
          <w:lang w:eastAsia="en-US"/>
        </w:rPr>
        <w:t>) حوالي 109</w:t>
      </w:r>
      <w:r w:rsidR="004833BC" w:rsidRPr="001C5CC9">
        <w:rPr>
          <w:rFonts w:ascii="Simplified Arabic" w:eastAsia="Calibri" w:hAnsi="Simplified Arabic" w:cs="Simplified Arabic" w:hint="cs"/>
          <w:color w:val="000000"/>
          <w:sz w:val="26"/>
          <w:szCs w:val="26"/>
          <w:rtl/>
          <w:lang w:eastAsia="en-US"/>
        </w:rPr>
        <w:t xml:space="preserve"> </w:t>
      </w:r>
      <w:r w:rsidR="002C47DB" w:rsidRPr="001C5CC9">
        <w:rPr>
          <w:rFonts w:ascii="Simplified Arabic" w:eastAsia="Calibri" w:hAnsi="Simplified Arabic" w:cs="Simplified Arabic" w:hint="cs"/>
          <w:color w:val="000000"/>
          <w:sz w:val="26"/>
          <w:szCs w:val="26"/>
          <w:rtl/>
          <w:lang w:eastAsia="en-US"/>
        </w:rPr>
        <w:t>آلاف</w:t>
      </w:r>
      <w:r w:rsidRPr="001C5CC9">
        <w:rPr>
          <w:rFonts w:ascii="Simplified Arabic" w:eastAsia="Calibri" w:hAnsi="Simplified Arabic" w:cs="Simplified Arabic"/>
          <w:color w:val="000000"/>
          <w:sz w:val="26"/>
          <w:szCs w:val="26"/>
          <w:rtl/>
          <w:lang w:eastAsia="en-US"/>
        </w:rPr>
        <w:t xml:space="preserve"> </w:t>
      </w:r>
      <w:r w:rsidR="002C47DB" w:rsidRPr="001C5CC9">
        <w:rPr>
          <w:rFonts w:ascii="Simplified Arabic" w:eastAsia="Calibri" w:hAnsi="Simplified Arabic" w:cs="Simplified Arabic" w:hint="cs"/>
          <w:color w:val="000000"/>
          <w:sz w:val="26"/>
          <w:szCs w:val="26"/>
          <w:rtl/>
          <w:lang w:eastAsia="en-US"/>
        </w:rPr>
        <w:t xml:space="preserve">مستخدم بأجر </w:t>
      </w:r>
      <w:r w:rsidRPr="001C5CC9">
        <w:rPr>
          <w:rFonts w:ascii="Simplified Arabic" w:eastAsia="Calibri" w:hAnsi="Simplified Arabic" w:cs="Simplified Arabic"/>
          <w:color w:val="000000"/>
          <w:sz w:val="26"/>
          <w:szCs w:val="26"/>
          <w:rtl/>
          <w:lang w:eastAsia="en-US"/>
        </w:rPr>
        <w:t xml:space="preserve">منهم 24 </w:t>
      </w:r>
      <w:r w:rsidR="004833BC" w:rsidRPr="001C5CC9">
        <w:rPr>
          <w:rFonts w:ascii="Simplified Arabic" w:eastAsia="Calibri" w:hAnsi="Simplified Arabic" w:cs="Simplified Arabic" w:hint="cs"/>
          <w:color w:val="000000"/>
          <w:sz w:val="26"/>
          <w:szCs w:val="26"/>
          <w:rtl/>
          <w:lang w:eastAsia="en-US"/>
        </w:rPr>
        <w:t xml:space="preserve">ألف </w:t>
      </w:r>
      <w:r w:rsidRPr="001C5CC9">
        <w:rPr>
          <w:rFonts w:ascii="Simplified Arabic" w:eastAsia="Calibri" w:hAnsi="Simplified Arabic" w:cs="Simplified Arabic"/>
          <w:color w:val="000000"/>
          <w:sz w:val="26"/>
          <w:szCs w:val="26"/>
          <w:rtl/>
          <w:lang w:eastAsia="en-US"/>
        </w:rPr>
        <w:t>في الضفة الغربية</w:t>
      </w:r>
      <w:r w:rsidRPr="001C5CC9">
        <w:rPr>
          <w:rFonts w:ascii="Simplified Arabic" w:eastAsia="Calibri" w:hAnsi="Simplified Arabic" w:cs="Simplified Arabic" w:hint="cs"/>
          <w:color w:val="000000"/>
          <w:sz w:val="26"/>
          <w:szCs w:val="26"/>
          <w:rtl/>
          <w:lang w:eastAsia="en-US"/>
        </w:rPr>
        <w:t>،</w:t>
      </w:r>
      <w:r w:rsidRPr="001C5CC9">
        <w:rPr>
          <w:rFonts w:ascii="Simplified Arabic" w:eastAsia="Calibri" w:hAnsi="Simplified Arabic" w:cs="Simplified Arabic"/>
          <w:color w:val="000000"/>
          <w:sz w:val="26"/>
          <w:szCs w:val="26"/>
          <w:rtl/>
          <w:lang w:eastAsia="en-US"/>
        </w:rPr>
        <w:t xml:space="preserve"> </w:t>
      </w:r>
      <w:r w:rsidRPr="001C5CC9">
        <w:rPr>
          <w:rFonts w:ascii="Simplified Arabic" w:eastAsia="Calibri" w:hAnsi="Simplified Arabic" w:cs="Simplified Arabic" w:hint="cs"/>
          <w:color w:val="000000"/>
          <w:sz w:val="26"/>
          <w:szCs w:val="26"/>
          <w:rtl/>
          <w:lang w:eastAsia="en-US"/>
        </w:rPr>
        <w:t xml:space="preserve">(يمثلون </w:t>
      </w:r>
      <w:r w:rsidRPr="001C5CC9">
        <w:rPr>
          <w:rFonts w:ascii="Simplified Arabic" w:eastAsia="Calibri" w:hAnsi="Simplified Arabic" w:cs="Simplified Arabic"/>
          <w:color w:val="000000"/>
          <w:sz w:val="26"/>
          <w:szCs w:val="26"/>
          <w:rtl/>
          <w:lang w:eastAsia="en-US"/>
        </w:rPr>
        <w:t>حوالي 10% من إجمالي المستخدمين باجر في القطاع الخاص في الضفة</w:t>
      </w:r>
      <w:r w:rsidRPr="001C5CC9">
        <w:rPr>
          <w:rFonts w:ascii="Simplified Arabic" w:eastAsia="Calibri" w:hAnsi="Simplified Arabic" w:cs="Simplified Arabic" w:hint="cs"/>
          <w:color w:val="000000"/>
          <w:sz w:val="26"/>
          <w:szCs w:val="26"/>
          <w:rtl/>
          <w:lang w:eastAsia="en-US"/>
        </w:rPr>
        <w:t xml:space="preserve"> الغربية</w:t>
      </w:r>
      <w:r w:rsidR="002C47DB" w:rsidRPr="001C5CC9">
        <w:rPr>
          <w:rFonts w:ascii="Simplified Arabic" w:eastAsia="Calibri" w:hAnsi="Simplified Arabic" w:cs="Simplified Arabic"/>
          <w:color w:val="000000"/>
          <w:sz w:val="26"/>
          <w:szCs w:val="26"/>
          <w:rtl/>
          <w:lang w:eastAsia="en-US"/>
        </w:rPr>
        <w:t xml:space="preserve">) وبمعدل </w:t>
      </w:r>
      <w:r w:rsidR="002C47DB" w:rsidRPr="001C5CC9">
        <w:rPr>
          <w:rFonts w:ascii="Simplified Arabic" w:eastAsia="Calibri" w:hAnsi="Simplified Arabic" w:cs="Simplified Arabic" w:hint="cs"/>
          <w:color w:val="000000"/>
          <w:sz w:val="26"/>
          <w:szCs w:val="26"/>
          <w:rtl/>
          <w:lang w:eastAsia="en-US"/>
        </w:rPr>
        <w:t>أ</w:t>
      </w:r>
      <w:r w:rsidRPr="001C5CC9">
        <w:rPr>
          <w:rFonts w:ascii="Simplified Arabic" w:eastAsia="Calibri" w:hAnsi="Simplified Arabic" w:cs="Simplified Arabic"/>
          <w:color w:val="000000"/>
          <w:sz w:val="26"/>
          <w:szCs w:val="26"/>
          <w:rtl/>
          <w:lang w:eastAsia="en-US"/>
        </w:rPr>
        <w:t>جر شهري 1,038 شيقل</w:t>
      </w:r>
      <w:r w:rsidRPr="001C5CC9">
        <w:rPr>
          <w:rFonts w:ascii="Simplified Arabic" w:eastAsia="Calibri" w:hAnsi="Simplified Arabic" w:cs="Simplified Arabic" w:hint="cs"/>
          <w:color w:val="000000"/>
          <w:sz w:val="26"/>
          <w:szCs w:val="26"/>
          <w:rtl/>
          <w:lang w:eastAsia="en-US"/>
        </w:rPr>
        <w:t>ا</w:t>
      </w:r>
      <w:r w:rsidRPr="001C5CC9">
        <w:rPr>
          <w:rFonts w:ascii="Simplified Arabic" w:eastAsia="Calibri" w:hAnsi="Simplified Arabic" w:cs="Simplified Arabic"/>
          <w:color w:val="000000"/>
          <w:sz w:val="26"/>
          <w:szCs w:val="26"/>
          <w:rtl/>
          <w:lang w:eastAsia="en-US"/>
        </w:rPr>
        <w:t>، مقابل 84</w:t>
      </w:r>
      <w:r w:rsidR="002C47DB" w:rsidRPr="001C5CC9">
        <w:rPr>
          <w:rFonts w:ascii="Simplified Arabic" w:eastAsia="Calibri" w:hAnsi="Simplified Arabic" w:cs="Simplified Arabic" w:hint="cs"/>
          <w:color w:val="000000"/>
          <w:sz w:val="26"/>
          <w:szCs w:val="26"/>
          <w:rtl/>
          <w:lang w:eastAsia="en-US"/>
        </w:rPr>
        <w:t xml:space="preserve"> ألف</w:t>
      </w:r>
      <w:r w:rsidR="00474558" w:rsidRPr="001C5CC9">
        <w:rPr>
          <w:rFonts w:ascii="Simplified Arabic" w:eastAsia="Calibri" w:hAnsi="Simplified Arabic" w:cs="Simplified Arabic" w:hint="cs"/>
          <w:color w:val="000000"/>
          <w:sz w:val="26"/>
          <w:szCs w:val="26"/>
          <w:rtl/>
          <w:lang w:eastAsia="en-US"/>
        </w:rPr>
        <w:t xml:space="preserve"> </w:t>
      </w:r>
      <w:r w:rsidRPr="001C5CC9">
        <w:rPr>
          <w:rFonts w:ascii="Simplified Arabic" w:eastAsia="Calibri" w:hAnsi="Simplified Arabic" w:cs="Simplified Arabic"/>
          <w:color w:val="000000"/>
          <w:sz w:val="26"/>
          <w:szCs w:val="26"/>
          <w:rtl/>
          <w:lang w:eastAsia="en-US"/>
        </w:rPr>
        <w:t>مستخدم باجر في قطاع غزة</w:t>
      </w:r>
      <w:r w:rsidRPr="001C5CC9">
        <w:rPr>
          <w:rFonts w:ascii="Simplified Arabic" w:eastAsia="Calibri" w:hAnsi="Simplified Arabic" w:cs="Simplified Arabic" w:hint="cs"/>
          <w:color w:val="000000"/>
          <w:sz w:val="26"/>
          <w:szCs w:val="26"/>
          <w:rtl/>
          <w:lang w:eastAsia="en-US"/>
        </w:rPr>
        <w:t xml:space="preserve">، (يمثلون </w:t>
      </w:r>
      <w:r w:rsidRPr="001C5CC9">
        <w:rPr>
          <w:rFonts w:ascii="Simplified Arabic" w:eastAsia="Calibri" w:hAnsi="Simplified Arabic" w:cs="Simplified Arabic"/>
          <w:color w:val="000000"/>
          <w:sz w:val="26"/>
          <w:szCs w:val="26"/>
          <w:rtl/>
          <w:lang w:eastAsia="en-US"/>
        </w:rPr>
        <w:t>حوالي 80% من إجمالي المستخدمين بأجر في القطاع الخاص في قطاع غزة</w:t>
      </w:r>
      <w:r w:rsidRPr="001C5CC9">
        <w:rPr>
          <w:rFonts w:ascii="Simplified Arabic" w:eastAsia="Calibri" w:hAnsi="Simplified Arabic" w:cs="Simplified Arabic" w:hint="cs"/>
          <w:color w:val="000000"/>
          <w:sz w:val="26"/>
          <w:szCs w:val="26"/>
          <w:rtl/>
          <w:lang w:eastAsia="en-US"/>
        </w:rPr>
        <w:t>)</w:t>
      </w:r>
      <w:r w:rsidRPr="001C5CC9">
        <w:rPr>
          <w:rFonts w:ascii="Simplified Arabic" w:eastAsia="Calibri" w:hAnsi="Simplified Arabic" w:cs="Simplified Arabic"/>
          <w:color w:val="000000"/>
          <w:sz w:val="26"/>
          <w:szCs w:val="26"/>
          <w:rtl/>
          <w:lang w:eastAsia="en-US"/>
        </w:rPr>
        <w:t xml:space="preserve"> بمعدل اجر شهري</w:t>
      </w:r>
      <w:r w:rsidRPr="001C5CC9">
        <w:rPr>
          <w:rFonts w:ascii="Simplified Arabic" w:eastAsia="Calibri" w:hAnsi="Simplified Arabic" w:cs="Simplified Arabic" w:hint="cs"/>
          <w:color w:val="000000"/>
          <w:sz w:val="26"/>
          <w:szCs w:val="26"/>
          <w:rtl/>
          <w:lang w:eastAsia="en-US"/>
        </w:rPr>
        <w:t xml:space="preserve"> لا يتجاوز</w:t>
      </w:r>
      <w:r w:rsidRPr="001C5CC9">
        <w:rPr>
          <w:rFonts w:ascii="Simplified Arabic" w:eastAsia="Calibri" w:hAnsi="Simplified Arabic" w:cs="Simplified Arabic"/>
          <w:color w:val="000000"/>
          <w:sz w:val="26"/>
          <w:szCs w:val="26"/>
          <w:rtl/>
          <w:lang w:eastAsia="en-US"/>
        </w:rPr>
        <w:t xml:space="preserve"> </w:t>
      </w:r>
      <w:r w:rsidR="00C26BD3" w:rsidRPr="001C5CC9">
        <w:rPr>
          <w:rFonts w:ascii="Simplified Arabic" w:eastAsia="Calibri" w:hAnsi="Simplified Arabic" w:cs="Simplified Arabic" w:hint="cs"/>
          <w:color w:val="000000"/>
          <w:sz w:val="26"/>
          <w:szCs w:val="26"/>
          <w:rtl/>
          <w:lang w:eastAsia="en-US"/>
        </w:rPr>
        <w:t>66</w:t>
      </w:r>
      <w:r w:rsidR="00C26BD3" w:rsidRPr="001C5CC9">
        <w:rPr>
          <w:rFonts w:ascii="Simplified Arabic" w:eastAsia="Calibri" w:hAnsi="Simplified Arabic" w:cs="Simplified Arabic"/>
          <w:color w:val="000000"/>
          <w:sz w:val="26"/>
          <w:szCs w:val="26"/>
          <w:rtl/>
          <w:lang w:eastAsia="en-US"/>
        </w:rPr>
        <w:t>0</w:t>
      </w:r>
      <w:r w:rsidR="00C26BD3" w:rsidRPr="001C5CC9">
        <w:rPr>
          <w:rFonts w:ascii="Simplified Arabic" w:hAnsi="Simplified Arabic" w:cs="Simplified Arabic"/>
          <w:color w:val="000000"/>
          <w:sz w:val="26"/>
          <w:szCs w:val="26"/>
          <w:rtl/>
        </w:rPr>
        <w:t xml:space="preserve"> </w:t>
      </w:r>
      <w:r w:rsidRPr="001C5CC9">
        <w:rPr>
          <w:rFonts w:ascii="Simplified Arabic" w:hAnsi="Simplified Arabic" w:cs="Simplified Arabic"/>
          <w:color w:val="000000"/>
          <w:sz w:val="26"/>
          <w:szCs w:val="26"/>
          <w:rtl/>
        </w:rPr>
        <w:t>شيقل.</w:t>
      </w:r>
    </w:p>
    <w:p w:rsidR="00490EFA" w:rsidRPr="001C5CC9" w:rsidRDefault="00490EFA" w:rsidP="00490EFA">
      <w:pPr>
        <w:pStyle w:val="NoSpacing"/>
        <w:ind w:left="48"/>
        <w:jc w:val="both"/>
        <w:rPr>
          <w:rFonts w:ascii="Simplified Arabic" w:hAnsi="Simplified Arabic" w:cs="Simplified Arabic"/>
          <w:color w:val="000000"/>
          <w:sz w:val="26"/>
          <w:szCs w:val="26"/>
          <w:rtl/>
        </w:rPr>
      </w:pPr>
    </w:p>
    <w:p w:rsidR="00490EFA" w:rsidRPr="001C5CC9" w:rsidRDefault="00490EFA" w:rsidP="007E3ABB">
      <w:pPr>
        <w:pStyle w:val="NoSpacing"/>
        <w:ind w:left="48"/>
        <w:jc w:val="both"/>
        <w:rPr>
          <w:rFonts w:ascii="Simplified Arabic" w:hAnsi="Simplified Arabic" w:cs="Simplified Arabic"/>
          <w:color w:val="000000"/>
          <w:sz w:val="26"/>
          <w:szCs w:val="26"/>
        </w:rPr>
      </w:pPr>
      <w:r w:rsidRPr="001C5CC9">
        <w:rPr>
          <w:rFonts w:ascii="Simplified Arabic" w:hAnsi="Simplified Arabic" w:cs="Simplified Arabic" w:hint="cs"/>
          <w:color w:val="000000"/>
          <w:sz w:val="26"/>
          <w:szCs w:val="26"/>
          <w:rtl/>
        </w:rPr>
        <w:t>و</w:t>
      </w:r>
      <w:r w:rsidRPr="001C5CC9">
        <w:rPr>
          <w:rFonts w:ascii="Simplified Arabic" w:hAnsi="Simplified Arabic" w:cs="Simplified Arabic"/>
          <w:color w:val="000000"/>
          <w:sz w:val="26"/>
          <w:szCs w:val="26"/>
          <w:rtl/>
        </w:rPr>
        <w:t>بلغ عدد المستخدمين بأجر في القطاع الخاص</w:t>
      </w:r>
      <w:r w:rsidR="008760C4" w:rsidRPr="001C5CC9">
        <w:rPr>
          <w:rFonts w:ascii="Simplified Arabic" w:hAnsi="Simplified Arabic" w:cs="Simplified Arabic" w:hint="cs"/>
          <w:color w:val="000000"/>
          <w:sz w:val="26"/>
          <w:szCs w:val="26"/>
          <w:rtl/>
        </w:rPr>
        <w:t xml:space="preserve"> </w:t>
      </w:r>
      <w:r w:rsidRPr="001C5CC9">
        <w:rPr>
          <w:rFonts w:ascii="Simplified Arabic" w:hAnsi="Simplified Arabic" w:cs="Simplified Arabic" w:hint="cs"/>
          <w:color w:val="000000"/>
          <w:sz w:val="26"/>
          <w:szCs w:val="26"/>
          <w:rtl/>
        </w:rPr>
        <w:t>و</w:t>
      </w:r>
      <w:r w:rsidRPr="001C5CC9">
        <w:rPr>
          <w:rFonts w:ascii="Simplified Arabic" w:hAnsi="Simplified Arabic" w:cs="Simplified Arabic"/>
          <w:color w:val="000000"/>
          <w:sz w:val="26"/>
          <w:szCs w:val="26"/>
          <w:rtl/>
        </w:rPr>
        <w:t>الذي يتقاضون اقل من 2000 شيقل شهرياً حوالي</w:t>
      </w:r>
      <w:r w:rsidR="006170AA" w:rsidRPr="001C5CC9">
        <w:rPr>
          <w:rFonts w:ascii="Simplified Arabic" w:hAnsi="Simplified Arabic" w:cs="Simplified Arabic" w:hint="cs"/>
          <w:color w:val="000000"/>
          <w:sz w:val="26"/>
          <w:szCs w:val="26"/>
          <w:rtl/>
        </w:rPr>
        <w:t xml:space="preserve"> </w:t>
      </w:r>
      <w:r w:rsidR="006170AA" w:rsidRPr="001C5CC9">
        <w:rPr>
          <w:rFonts w:ascii="Simplified Arabic" w:hAnsi="Simplified Arabic" w:cs="Simplified Arabic"/>
          <w:color w:val="000000"/>
          <w:sz w:val="26"/>
          <w:szCs w:val="26"/>
        </w:rPr>
        <w:t>147</w:t>
      </w:r>
      <w:r w:rsidR="006170AA" w:rsidRPr="001C5CC9">
        <w:rPr>
          <w:rFonts w:ascii="Simplified Arabic" w:hAnsi="Simplified Arabic" w:cs="Simplified Arabic" w:hint="cs"/>
          <w:color w:val="000000"/>
          <w:sz w:val="26"/>
          <w:szCs w:val="26"/>
          <w:rtl/>
        </w:rPr>
        <w:t xml:space="preserve"> ألف مستخدم بأجر أي</w:t>
      </w:r>
      <w:r w:rsidRPr="001C5CC9">
        <w:rPr>
          <w:rFonts w:ascii="Simplified Arabic" w:hAnsi="Simplified Arabic" w:cs="Simplified Arabic"/>
          <w:color w:val="000000"/>
          <w:sz w:val="26"/>
          <w:szCs w:val="26"/>
          <w:rtl/>
        </w:rPr>
        <w:t xml:space="preserve"> </w:t>
      </w:r>
      <w:r w:rsidRPr="001C5CC9">
        <w:rPr>
          <w:rFonts w:ascii="Simplified Arabic" w:hAnsi="Simplified Arabic" w:cs="Simplified Arabic" w:hint="cs"/>
          <w:color w:val="000000"/>
          <w:sz w:val="26"/>
          <w:szCs w:val="26"/>
          <w:rtl/>
        </w:rPr>
        <w:t>41</w:t>
      </w:r>
      <w:r w:rsidRPr="001C5CC9">
        <w:rPr>
          <w:rFonts w:ascii="Simplified Arabic" w:hAnsi="Simplified Arabic" w:cs="Simplified Arabic"/>
          <w:color w:val="000000"/>
          <w:sz w:val="26"/>
          <w:szCs w:val="26"/>
          <w:rtl/>
        </w:rPr>
        <w:t xml:space="preserve">% من </w:t>
      </w:r>
      <w:r w:rsidRPr="001C5CC9">
        <w:rPr>
          <w:rFonts w:ascii="Simplified Arabic" w:hAnsi="Simplified Arabic" w:cs="Simplified Arabic" w:hint="cs"/>
          <w:color w:val="000000"/>
          <w:sz w:val="26"/>
          <w:szCs w:val="26"/>
          <w:rtl/>
        </w:rPr>
        <w:t xml:space="preserve">إجمالي </w:t>
      </w:r>
      <w:r w:rsidRPr="001C5CC9">
        <w:rPr>
          <w:rFonts w:ascii="Simplified Arabic" w:hAnsi="Simplified Arabic" w:cs="Simplified Arabic"/>
          <w:color w:val="000000"/>
          <w:sz w:val="26"/>
          <w:szCs w:val="26"/>
          <w:rtl/>
        </w:rPr>
        <w:t xml:space="preserve">المستخدمين بأجر في القطاع الخاص، بواقع 23% في الضفة الغربية </w:t>
      </w:r>
      <w:r w:rsidRPr="001C5CC9">
        <w:rPr>
          <w:rFonts w:ascii="Simplified Arabic" w:hAnsi="Simplified Arabic" w:cs="Simplified Arabic" w:hint="cs"/>
          <w:color w:val="000000"/>
          <w:sz w:val="26"/>
          <w:szCs w:val="26"/>
          <w:rtl/>
        </w:rPr>
        <w:t xml:space="preserve">يمثلون </w:t>
      </w:r>
      <w:r w:rsidRPr="001C5CC9">
        <w:rPr>
          <w:rFonts w:ascii="Simplified Arabic" w:hAnsi="Simplified Arabic" w:cs="Simplified Arabic"/>
          <w:color w:val="000000"/>
          <w:sz w:val="26"/>
          <w:szCs w:val="26"/>
          <w:rtl/>
        </w:rPr>
        <w:t xml:space="preserve">حوالي 59 </w:t>
      </w:r>
      <w:r w:rsidRPr="001C5CC9">
        <w:rPr>
          <w:rFonts w:ascii="Simplified Arabic" w:hAnsi="Simplified Arabic" w:cs="Simplified Arabic" w:hint="cs"/>
          <w:color w:val="000000"/>
          <w:sz w:val="26"/>
          <w:szCs w:val="26"/>
          <w:rtl/>
        </w:rPr>
        <w:t>ألف</w:t>
      </w:r>
      <w:r w:rsidRPr="001C5CC9">
        <w:rPr>
          <w:rFonts w:ascii="Simplified Arabic" w:hAnsi="Simplified Arabic" w:cs="Simplified Arabic"/>
          <w:color w:val="000000"/>
          <w:sz w:val="26"/>
          <w:szCs w:val="26"/>
          <w:rtl/>
        </w:rPr>
        <w:t xml:space="preserve"> مستخدم ب</w:t>
      </w:r>
      <w:r w:rsidR="00C26BD3" w:rsidRPr="001C5CC9">
        <w:rPr>
          <w:rFonts w:ascii="Simplified Arabic" w:hAnsi="Simplified Arabic" w:cs="Simplified Arabic" w:hint="cs"/>
          <w:color w:val="000000"/>
          <w:sz w:val="26"/>
          <w:szCs w:val="26"/>
          <w:rtl/>
        </w:rPr>
        <w:t>أ</w:t>
      </w:r>
      <w:r w:rsidRPr="001C5CC9">
        <w:rPr>
          <w:rFonts w:ascii="Simplified Arabic" w:hAnsi="Simplified Arabic" w:cs="Simplified Arabic"/>
          <w:color w:val="000000"/>
          <w:sz w:val="26"/>
          <w:szCs w:val="26"/>
          <w:rtl/>
        </w:rPr>
        <w:t>جر، و</w:t>
      </w:r>
      <w:r w:rsidRPr="001C5CC9">
        <w:rPr>
          <w:rFonts w:ascii="Simplified Arabic" w:hAnsi="Simplified Arabic" w:cs="Simplified Arabic" w:hint="cs"/>
          <w:color w:val="000000"/>
          <w:sz w:val="26"/>
          <w:szCs w:val="26"/>
          <w:rtl/>
        </w:rPr>
        <w:t>84</w:t>
      </w:r>
      <w:r w:rsidRPr="001C5CC9">
        <w:rPr>
          <w:rFonts w:ascii="Simplified Arabic" w:hAnsi="Simplified Arabic" w:cs="Simplified Arabic"/>
          <w:color w:val="000000"/>
          <w:sz w:val="26"/>
          <w:szCs w:val="26"/>
          <w:rtl/>
        </w:rPr>
        <w:t>% في قطاع غزة</w:t>
      </w:r>
      <w:r w:rsidRPr="001C5CC9">
        <w:rPr>
          <w:rFonts w:ascii="Simplified Arabic" w:hAnsi="Simplified Arabic" w:cs="Simplified Arabic" w:hint="cs"/>
          <w:color w:val="000000"/>
          <w:sz w:val="26"/>
          <w:szCs w:val="26"/>
          <w:rtl/>
        </w:rPr>
        <w:t xml:space="preserve"> يمثلون </w:t>
      </w:r>
      <w:r w:rsidRPr="001C5CC9">
        <w:rPr>
          <w:rFonts w:ascii="Simplified Arabic" w:hAnsi="Simplified Arabic" w:cs="Simplified Arabic"/>
          <w:color w:val="000000"/>
          <w:sz w:val="26"/>
          <w:szCs w:val="26"/>
          <w:rtl/>
        </w:rPr>
        <w:t xml:space="preserve">حوالي 88 </w:t>
      </w:r>
      <w:r w:rsidRPr="001C5CC9">
        <w:rPr>
          <w:rFonts w:ascii="Simplified Arabic" w:hAnsi="Simplified Arabic" w:cs="Simplified Arabic" w:hint="cs"/>
          <w:color w:val="000000"/>
          <w:sz w:val="26"/>
          <w:szCs w:val="26"/>
          <w:rtl/>
        </w:rPr>
        <w:t>ألف</w:t>
      </w:r>
      <w:r w:rsidR="00B71617" w:rsidRPr="001C5CC9">
        <w:rPr>
          <w:rFonts w:ascii="Simplified Arabic" w:hAnsi="Simplified Arabic" w:cs="Simplified Arabic"/>
          <w:color w:val="000000"/>
          <w:sz w:val="26"/>
          <w:szCs w:val="26"/>
          <w:rtl/>
        </w:rPr>
        <w:t xml:space="preserve"> مستخدم بأجر في القطاع الخاص</w:t>
      </w:r>
      <w:r w:rsidR="00B71617" w:rsidRPr="001C5CC9">
        <w:rPr>
          <w:rFonts w:ascii="Simplified Arabic" w:hAnsi="Simplified Arabic" w:cs="Simplified Arabic" w:hint="cs"/>
          <w:color w:val="000000"/>
          <w:sz w:val="26"/>
          <w:szCs w:val="26"/>
          <w:rtl/>
        </w:rPr>
        <w:t>، وبلغت النسبة بين الذكور حوالي 39%</w:t>
      </w:r>
      <w:r w:rsidR="008A378C" w:rsidRPr="001C5CC9">
        <w:rPr>
          <w:rFonts w:ascii="Simplified Arabic" w:hAnsi="Simplified Arabic" w:cs="Simplified Arabic" w:hint="cs"/>
          <w:color w:val="000000"/>
          <w:sz w:val="26"/>
          <w:szCs w:val="26"/>
          <w:rtl/>
        </w:rPr>
        <w:t xml:space="preserve"> تركزوا في </w:t>
      </w:r>
      <w:r w:rsidR="00467835" w:rsidRPr="001C5CC9">
        <w:rPr>
          <w:rFonts w:ascii="Simplified Arabic" w:hAnsi="Simplified Arabic" w:cs="Simplified Arabic" w:hint="cs"/>
          <w:color w:val="000000"/>
          <w:sz w:val="26"/>
          <w:szCs w:val="26"/>
          <w:rtl/>
        </w:rPr>
        <w:t>نشاط</w:t>
      </w:r>
      <w:r w:rsidR="008A378C" w:rsidRPr="001C5CC9">
        <w:rPr>
          <w:rFonts w:ascii="Simplified Arabic" w:hAnsi="Simplified Arabic" w:cs="Simplified Arabic" w:hint="cs"/>
          <w:color w:val="000000"/>
          <w:sz w:val="26"/>
          <w:szCs w:val="26"/>
          <w:rtl/>
        </w:rPr>
        <w:t xml:space="preserve"> التجارة والمطاعم والفنادق بنسبة 41%، مقابل 48% من الاناث في </w:t>
      </w:r>
      <w:r w:rsidR="00880128" w:rsidRPr="001C5CC9">
        <w:rPr>
          <w:rFonts w:ascii="Simplified Arabic" w:hAnsi="Simplified Arabic" w:cs="Simplified Arabic" w:hint="cs"/>
          <w:color w:val="000000"/>
          <w:sz w:val="26"/>
          <w:szCs w:val="26"/>
          <w:rtl/>
        </w:rPr>
        <w:t>القطاع</w:t>
      </w:r>
      <w:r w:rsidR="008A378C" w:rsidRPr="001C5CC9">
        <w:rPr>
          <w:rFonts w:ascii="Simplified Arabic" w:hAnsi="Simplified Arabic" w:cs="Simplified Arabic" w:hint="cs"/>
          <w:color w:val="000000"/>
          <w:sz w:val="26"/>
          <w:szCs w:val="26"/>
          <w:rtl/>
        </w:rPr>
        <w:t xml:space="preserve"> الخاص </w:t>
      </w:r>
      <w:r w:rsidR="008A378C" w:rsidRPr="001C5CC9">
        <w:rPr>
          <w:rFonts w:ascii="Simplified Arabic" w:hAnsi="Simplified Arabic" w:cs="Simplified Arabic" w:hint="cs"/>
          <w:color w:val="000000"/>
          <w:sz w:val="26"/>
          <w:szCs w:val="26"/>
          <w:rtl/>
        </w:rPr>
        <w:lastRenderedPageBreak/>
        <w:t xml:space="preserve">يتقاضين أقل من 2000 شيقل شهرياً </w:t>
      </w:r>
      <w:r w:rsidR="0025061E" w:rsidRPr="001C5CC9">
        <w:rPr>
          <w:rFonts w:ascii="Simplified Arabic" w:hAnsi="Simplified Arabic" w:cs="Simplified Arabic" w:hint="cs"/>
          <w:color w:val="000000"/>
          <w:sz w:val="26"/>
          <w:szCs w:val="26"/>
          <w:rtl/>
        </w:rPr>
        <w:t>و</w:t>
      </w:r>
      <w:r w:rsidR="008A378C" w:rsidRPr="001C5CC9">
        <w:rPr>
          <w:rFonts w:ascii="Simplified Arabic" w:hAnsi="Simplified Arabic" w:cs="Simplified Arabic" w:hint="cs"/>
          <w:color w:val="000000"/>
          <w:sz w:val="26"/>
          <w:szCs w:val="26"/>
          <w:rtl/>
        </w:rPr>
        <w:t xml:space="preserve">تركزن في </w:t>
      </w:r>
      <w:r w:rsidR="00467835" w:rsidRPr="001C5CC9">
        <w:rPr>
          <w:rFonts w:ascii="Simplified Arabic" w:hAnsi="Simplified Arabic" w:cs="Simplified Arabic" w:hint="cs"/>
          <w:color w:val="000000"/>
          <w:sz w:val="26"/>
          <w:szCs w:val="26"/>
          <w:rtl/>
        </w:rPr>
        <w:t>نشاط</w:t>
      </w:r>
      <w:r w:rsidR="008A378C" w:rsidRPr="001C5CC9">
        <w:rPr>
          <w:rFonts w:ascii="Simplified Arabic" w:hAnsi="Simplified Arabic" w:cs="Simplified Arabic" w:hint="cs"/>
          <w:color w:val="000000"/>
          <w:sz w:val="26"/>
          <w:szCs w:val="26"/>
          <w:rtl/>
        </w:rPr>
        <w:t xml:space="preserve"> التعليم (يشمل الحضانات ورياض الأطفال والمدارس الخاصة) بنسبة 34%.</w:t>
      </w:r>
    </w:p>
    <w:p w:rsidR="00EA364D" w:rsidRPr="001C5CC9" w:rsidRDefault="00EA364D">
      <w:pPr>
        <w:jc w:val="lowKashida"/>
        <w:rPr>
          <w:rFonts w:cs="Simplified Arabic"/>
          <w:sz w:val="26"/>
          <w:szCs w:val="26"/>
          <w:rtl/>
        </w:rPr>
      </w:pPr>
    </w:p>
    <w:p w:rsidR="00851B21" w:rsidRPr="001C5CC9" w:rsidRDefault="00851B21">
      <w:pPr>
        <w:ind w:right="-360"/>
        <w:jc w:val="lowKashida"/>
        <w:rPr>
          <w:sz w:val="26"/>
          <w:szCs w:val="26"/>
          <w:rtl/>
        </w:rPr>
      </w:pPr>
    </w:p>
    <w:p w:rsidR="00613BB6" w:rsidRDefault="00851B21" w:rsidP="007E3ABB">
      <w:pPr>
        <w:pStyle w:val="Heading3"/>
        <w:ind w:left="-16" w:right="-90"/>
        <w:jc w:val="center"/>
        <w:rPr>
          <w:rFonts w:ascii="Simplified Arabic" w:hAnsi="Simplified Arabic" w:hint="cs"/>
          <w:rtl/>
        </w:rPr>
      </w:pPr>
      <w:r w:rsidRPr="00613BB6">
        <w:rPr>
          <w:rFonts w:ascii="Simplified Arabic" w:hAnsi="Simplified Arabic"/>
          <w:rtl/>
        </w:rPr>
        <w:t>نسبة المستخدمين بأجر في القطاع الخاص</w:t>
      </w:r>
      <w:r w:rsidR="008760C4" w:rsidRPr="00613BB6">
        <w:rPr>
          <w:rFonts w:ascii="Simplified Arabic" w:hAnsi="Simplified Arabic"/>
          <w:rtl/>
        </w:rPr>
        <w:t xml:space="preserve"> </w:t>
      </w:r>
      <w:r w:rsidRPr="00613BB6">
        <w:rPr>
          <w:rFonts w:ascii="Simplified Arabic" w:hAnsi="Simplified Arabic"/>
          <w:rtl/>
        </w:rPr>
        <w:t>الذين يتقاضون أجرا</w:t>
      </w:r>
      <w:r w:rsidR="009A317D" w:rsidRPr="00613BB6">
        <w:rPr>
          <w:rFonts w:ascii="Simplified Arabic" w:hAnsi="Simplified Arabic"/>
          <w:rtl/>
        </w:rPr>
        <w:t>ً</w:t>
      </w:r>
      <w:r w:rsidRPr="00613BB6">
        <w:rPr>
          <w:rFonts w:ascii="Simplified Arabic" w:hAnsi="Simplified Arabic"/>
          <w:rtl/>
        </w:rPr>
        <w:t xml:space="preserve"> شهريا</w:t>
      </w:r>
      <w:r w:rsidR="009A317D" w:rsidRPr="00613BB6">
        <w:rPr>
          <w:rFonts w:ascii="Simplified Arabic" w:hAnsi="Simplified Arabic"/>
          <w:rtl/>
        </w:rPr>
        <w:t>ً</w:t>
      </w:r>
      <w:r w:rsidRPr="00613BB6">
        <w:rPr>
          <w:rFonts w:ascii="Simplified Arabic" w:hAnsi="Simplified Arabic"/>
          <w:rtl/>
        </w:rPr>
        <w:t xml:space="preserve"> أقل من الحد الأدنى للأجر</w:t>
      </w:r>
      <w:r w:rsidR="008A378C" w:rsidRPr="00613BB6">
        <w:rPr>
          <w:rFonts w:ascii="Simplified Arabic" w:hAnsi="Simplified Arabic"/>
          <w:rtl/>
        </w:rPr>
        <w:t xml:space="preserve"> (</w:t>
      </w:r>
      <w:r w:rsidR="008A378C" w:rsidRPr="00613BB6">
        <w:rPr>
          <w:rFonts w:ascii="Simplified Arabic" w:hAnsi="Simplified Arabic"/>
        </w:rPr>
        <w:t>1,450</w:t>
      </w:r>
      <w:r w:rsidR="008A378C" w:rsidRPr="00613BB6">
        <w:rPr>
          <w:rFonts w:ascii="Simplified Arabic" w:hAnsi="Simplified Arabic"/>
          <w:rtl/>
        </w:rPr>
        <w:t>) شيقل</w:t>
      </w:r>
      <w:r w:rsidRPr="00613BB6">
        <w:rPr>
          <w:rFonts w:ascii="Simplified Arabic" w:hAnsi="Simplified Arabic"/>
          <w:rtl/>
        </w:rPr>
        <w:t>،</w:t>
      </w:r>
    </w:p>
    <w:p w:rsidR="00315430" w:rsidRPr="00613BB6" w:rsidRDefault="00851B21" w:rsidP="007E3ABB">
      <w:pPr>
        <w:pStyle w:val="Heading3"/>
        <w:ind w:left="-16" w:right="-90"/>
        <w:jc w:val="center"/>
        <w:rPr>
          <w:rFonts w:ascii="Simplified Arabic" w:hAnsi="Simplified Arabic"/>
          <w:rtl/>
        </w:rPr>
      </w:pPr>
      <w:r w:rsidRPr="00613BB6">
        <w:rPr>
          <w:rFonts w:ascii="Simplified Arabic" w:hAnsi="Simplified Arabic"/>
          <w:rtl/>
        </w:rPr>
        <w:t xml:space="preserve"> </w:t>
      </w:r>
      <w:r w:rsidR="00AA2DF4" w:rsidRPr="00613BB6">
        <w:rPr>
          <w:rFonts w:ascii="Simplified Arabic" w:hAnsi="Simplified Arabic"/>
          <w:rtl/>
        </w:rPr>
        <w:t>2015</w:t>
      </w:r>
      <w:r w:rsidRPr="00613BB6">
        <w:rPr>
          <w:rFonts w:ascii="Simplified Arabic" w:hAnsi="Simplified Arabic"/>
          <w:rtl/>
        </w:rPr>
        <w:t xml:space="preserve">- </w:t>
      </w:r>
      <w:r w:rsidR="00AA2DF4" w:rsidRPr="00613BB6">
        <w:rPr>
          <w:rFonts w:ascii="Simplified Arabic" w:hAnsi="Simplified Arabic"/>
          <w:rtl/>
        </w:rPr>
        <w:t>2019</w:t>
      </w:r>
    </w:p>
    <w:tbl>
      <w:tblPr>
        <w:bidiVisual/>
        <w:tblW w:w="0" w:type="auto"/>
        <w:tblInd w:w="2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9"/>
      </w:tblGrid>
      <w:tr w:rsidR="00851B21" w:rsidTr="00613BB6">
        <w:trPr>
          <w:trHeight w:val="3393"/>
        </w:trPr>
        <w:tc>
          <w:tcPr>
            <w:tcW w:w="5719" w:type="dxa"/>
          </w:tcPr>
          <w:p w:rsidR="00851B21" w:rsidRDefault="00732F01" w:rsidP="00AF0BC1">
            <w:pPr>
              <w:jc w:val="lowKashida"/>
              <w:rPr>
                <w:rtl/>
              </w:rPr>
            </w:pPr>
            <w:r>
              <w:rPr>
                <w:noProof/>
                <w:lang w:eastAsia="en-US"/>
              </w:rPr>
              <w:drawing>
                <wp:inline distT="0" distB="0" distL="0" distR="0">
                  <wp:extent cx="3532505" cy="1963420"/>
                  <wp:effectExtent l="0" t="0" r="0" b="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851B21" w:rsidRDefault="00851B21" w:rsidP="00851B21">
      <w:pPr>
        <w:jc w:val="lowKashida"/>
        <w:rPr>
          <w:rtl/>
        </w:rPr>
      </w:pPr>
    </w:p>
    <w:p w:rsidR="00CE089B" w:rsidRPr="001C5CC9" w:rsidRDefault="00CE089B" w:rsidP="004A6F8A">
      <w:pPr>
        <w:jc w:val="lowKashida"/>
        <w:rPr>
          <w:rFonts w:ascii="Simplified Arabic" w:hAnsi="Simplified Arabic" w:cs="Simplified Arabic"/>
          <w:color w:val="000000"/>
          <w:sz w:val="26"/>
          <w:szCs w:val="26"/>
          <w:rtl/>
        </w:rPr>
      </w:pPr>
      <w:r w:rsidRPr="001C5CC9">
        <w:rPr>
          <w:rFonts w:ascii="Simplified Arabic" w:hAnsi="Simplified Arabic" w:cs="Simplified Arabic"/>
          <w:color w:val="000000"/>
          <w:sz w:val="26"/>
          <w:szCs w:val="26"/>
          <w:rtl/>
        </w:rPr>
        <w:t xml:space="preserve">في سياق متصل، بلغ معدل ساعات العمل الأسبوعية للمستخدمين بأجر حوالي 42 ساعة عمل؛ </w:t>
      </w:r>
      <w:r w:rsidRPr="001C5CC9">
        <w:rPr>
          <w:rFonts w:ascii="Simplified Arabic" w:hAnsi="Simplified Arabic" w:cs="Simplified Arabic"/>
          <w:color w:val="000000"/>
          <w:sz w:val="26"/>
          <w:szCs w:val="26"/>
        </w:rPr>
        <w:t>40</w:t>
      </w:r>
      <w:r w:rsidRPr="001C5CC9">
        <w:rPr>
          <w:rFonts w:ascii="Simplified Arabic" w:hAnsi="Simplified Arabic" w:cs="Simplified Arabic"/>
          <w:color w:val="000000"/>
          <w:sz w:val="26"/>
          <w:szCs w:val="26"/>
          <w:rtl/>
        </w:rPr>
        <w:t xml:space="preserve"> ساعة</w:t>
      </w:r>
      <w:r w:rsidR="009A317D" w:rsidRPr="001C5CC9">
        <w:rPr>
          <w:rFonts w:ascii="Simplified Arabic" w:hAnsi="Simplified Arabic" w:cs="Simplified Arabic"/>
          <w:color w:val="000000"/>
          <w:sz w:val="26"/>
          <w:szCs w:val="26"/>
          <w:rtl/>
        </w:rPr>
        <w:t xml:space="preserve"> عمل</w:t>
      </w:r>
      <w:r w:rsidRPr="001C5CC9">
        <w:rPr>
          <w:rFonts w:ascii="Simplified Arabic" w:hAnsi="Simplified Arabic" w:cs="Simplified Arabic"/>
          <w:color w:val="000000"/>
          <w:sz w:val="26"/>
          <w:szCs w:val="26"/>
          <w:rtl/>
        </w:rPr>
        <w:t xml:space="preserve"> للمستخدمين بأجر في القطاع العام و43 ساعة </w:t>
      </w:r>
      <w:r w:rsidR="009A317D" w:rsidRPr="001C5CC9">
        <w:rPr>
          <w:rFonts w:ascii="Simplified Arabic" w:hAnsi="Simplified Arabic" w:cs="Simplified Arabic"/>
          <w:color w:val="000000"/>
          <w:sz w:val="26"/>
          <w:szCs w:val="26"/>
          <w:rtl/>
        </w:rPr>
        <w:t xml:space="preserve">عمل </w:t>
      </w:r>
      <w:r w:rsidRPr="001C5CC9">
        <w:rPr>
          <w:rFonts w:ascii="Simplified Arabic" w:hAnsi="Simplified Arabic" w:cs="Simplified Arabic"/>
          <w:color w:val="000000"/>
          <w:sz w:val="26"/>
          <w:szCs w:val="26"/>
          <w:rtl/>
        </w:rPr>
        <w:t>في القطاع الخاص</w:t>
      </w:r>
      <w:r w:rsidR="004A6F8A" w:rsidRPr="001C5CC9">
        <w:rPr>
          <w:rFonts w:ascii="Simplified Arabic" w:hAnsi="Simplified Arabic" w:cs="Simplified Arabic"/>
          <w:color w:val="000000"/>
          <w:sz w:val="26"/>
          <w:szCs w:val="26"/>
          <w:rtl/>
        </w:rPr>
        <w:t>.</w:t>
      </w:r>
    </w:p>
    <w:p w:rsidR="00C56905" w:rsidRPr="001C5CC9" w:rsidRDefault="00C56905" w:rsidP="00E66F38">
      <w:pPr>
        <w:tabs>
          <w:tab w:val="num" w:pos="720"/>
        </w:tabs>
        <w:jc w:val="lowKashida"/>
        <w:rPr>
          <w:rFonts w:ascii="Simplified Arabic" w:hAnsi="Simplified Arabic" w:cs="Simplified Arabic"/>
          <w:b/>
          <w:bCs/>
          <w:sz w:val="26"/>
          <w:szCs w:val="26"/>
          <w:rtl/>
        </w:rPr>
      </w:pPr>
    </w:p>
    <w:p w:rsidR="003205B1" w:rsidRPr="001C5CC9" w:rsidRDefault="00E66F38" w:rsidP="007E3ABB">
      <w:pPr>
        <w:tabs>
          <w:tab w:val="num" w:pos="720"/>
        </w:tabs>
        <w:jc w:val="lowKashida"/>
        <w:rPr>
          <w:rFonts w:ascii="Simplified Arabic" w:hAnsi="Simplified Arabic" w:cs="Simplified Arabic"/>
          <w:b/>
          <w:bCs/>
          <w:sz w:val="28"/>
          <w:szCs w:val="28"/>
          <w:rtl/>
        </w:rPr>
      </w:pPr>
      <w:r w:rsidRPr="001C5CC9">
        <w:rPr>
          <w:rFonts w:ascii="Simplified Arabic" w:hAnsi="Simplified Arabic" w:cs="Simplified Arabic"/>
          <w:b/>
          <w:bCs/>
          <w:sz w:val="28"/>
          <w:szCs w:val="28"/>
          <w:rtl/>
        </w:rPr>
        <w:t>أقل من</w:t>
      </w:r>
      <w:r w:rsidR="003205B1" w:rsidRPr="001C5CC9">
        <w:rPr>
          <w:rFonts w:ascii="Simplified Arabic" w:hAnsi="Simplified Arabic" w:cs="Simplified Arabic"/>
          <w:b/>
          <w:bCs/>
          <w:sz w:val="28"/>
          <w:szCs w:val="28"/>
          <w:rtl/>
        </w:rPr>
        <w:t xml:space="preserve"> </w:t>
      </w:r>
      <w:r w:rsidRPr="001C5CC9">
        <w:rPr>
          <w:rFonts w:ascii="Simplified Arabic" w:hAnsi="Simplified Arabic" w:cs="Simplified Arabic"/>
          <w:b/>
          <w:bCs/>
          <w:sz w:val="28"/>
          <w:szCs w:val="28"/>
          <w:rtl/>
        </w:rPr>
        <w:t>ثلث</w:t>
      </w:r>
      <w:r w:rsidR="003205B1" w:rsidRPr="001C5CC9">
        <w:rPr>
          <w:rFonts w:ascii="Simplified Arabic" w:hAnsi="Simplified Arabic" w:cs="Simplified Arabic"/>
          <w:b/>
          <w:bCs/>
          <w:sz w:val="28"/>
          <w:szCs w:val="28"/>
          <w:rtl/>
        </w:rPr>
        <w:t xml:space="preserve"> المستخدمين بأجر في القطاع الخاص</w:t>
      </w:r>
      <w:r w:rsidR="004241EC" w:rsidRPr="001C5CC9">
        <w:rPr>
          <w:rFonts w:ascii="Simplified Arabic" w:hAnsi="Simplified Arabic" w:cs="Simplified Arabic"/>
          <w:b/>
          <w:bCs/>
          <w:sz w:val="28"/>
          <w:szCs w:val="28"/>
          <w:rtl/>
        </w:rPr>
        <w:t xml:space="preserve"> </w:t>
      </w:r>
      <w:r w:rsidR="003205B1" w:rsidRPr="001C5CC9">
        <w:rPr>
          <w:rFonts w:ascii="Simplified Arabic" w:hAnsi="Simplified Arabic" w:cs="Simplified Arabic"/>
          <w:b/>
          <w:bCs/>
          <w:sz w:val="28"/>
          <w:szCs w:val="28"/>
          <w:rtl/>
        </w:rPr>
        <w:t xml:space="preserve">يحصلون على </w:t>
      </w:r>
      <w:r w:rsidR="00AB271D" w:rsidRPr="001C5CC9">
        <w:rPr>
          <w:rFonts w:ascii="Simplified Arabic" w:hAnsi="Simplified Arabic" w:cs="Simplified Arabic"/>
          <w:b/>
          <w:bCs/>
          <w:sz w:val="28"/>
          <w:szCs w:val="28"/>
          <w:rtl/>
        </w:rPr>
        <w:t>حقوقهم</w:t>
      </w:r>
      <w:r w:rsidR="003205B1" w:rsidRPr="001C5CC9">
        <w:rPr>
          <w:rFonts w:ascii="Simplified Arabic" w:hAnsi="Simplified Arabic" w:cs="Simplified Arabic"/>
          <w:b/>
          <w:bCs/>
          <w:sz w:val="28"/>
          <w:szCs w:val="28"/>
          <w:rtl/>
        </w:rPr>
        <w:t xml:space="preserve"> </w:t>
      </w:r>
    </w:p>
    <w:p w:rsidR="00871A7D" w:rsidRPr="001C5CC9" w:rsidRDefault="003205B1" w:rsidP="00CE3F36">
      <w:pPr>
        <w:pStyle w:val="NoSpacing"/>
        <w:ind w:left="29"/>
        <w:jc w:val="both"/>
        <w:rPr>
          <w:rFonts w:ascii="Simplified Arabic" w:eastAsia="Calibri" w:hAnsi="Simplified Arabic" w:cs="Simplified Arabic"/>
          <w:color w:val="000000"/>
          <w:sz w:val="26"/>
          <w:szCs w:val="26"/>
          <w:rtl/>
          <w:lang w:eastAsia="en-US"/>
        </w:rPr>
      </w:pPr>
      <w:r w:rsidRPr="001C5CC9">
        <w:rPr>
          <w:rFonts w:ascii="Simplified Arabic" w:hAnsi="Simplified Arabic" w:cs="Simplified Arabic"/>
          <w:sz w:val="26"/>
          <w:szCs w:val="26"/>
          <w:rtl/>
        </w:rPr>
        <w:t xml:space="preserve">حوالي </w:t>
      </w:r>
      <w:r w:rsidR="00B23739" w:rsidRPr="001C5CC9">
        <w:rPr>
          <w:rFonts w:ascii="Simplified Arabic" w:hAnsi="Simplified Arabic" w:cs="Simplified Arabic"/>
          <w:sz w:val="26"/>
          <w:szCs w:val="26"/>
          <w:rtl/>
        </w:rPr>
        <w:t>30</w:t>
      </w:r>
      <w:r w:rsidRPr="001C5CC9">
        <w:rPr>
          <w:rFonts w:ascii="Simplified Arabic" w:hAnsi="Simplified Arabic" w:cs="Simplified Arabic"/>
          <w:sz w:val="26"/>
          <w:szCs w:val="26"/>
          <w:rtl/>
        </w:rPr>
        <w:t>% من المستخدمين بأجر في القطاع الخاص</w:t>
      </w:r>
      <w:r w:rsidR="004241EC" w:rsidRPr="001C5CC9">
        <w:rPr>
          <w:rFonts w:ascii="Simplified Arabic" w:hAnsi="Simplified Arabic" w:cs="Simplified Arabic"/>
          <w:sz w:val="26"/>
          <w:szCs w:val="26"/>
          <w:rtl/>
        </w:rPr>
        <w:t xml:space="preserve"> </w:t>
      </w:r>
      <w:r w:rsidRPr="001C5CC9">
        <w:rPr>
          <w:rFonts w:ascii="Simplified Arabic" w:hAnsi="Simplified Arabic" w:cs="Simplified Arabic"/>
          <w:sz w:val="26"/>
          <w:szCs w:val="26"/>
          <w:rtl/>
        </w:rPr>
        <w:t xml:space="preserve">يحصلون على </w:t>
      </w:r>
      <w:r w:rsidR="00C33046" w:rsidRPr="001C5CC9">
        <w:rPr>
          <w:rFonts w:ascii="Simplified Arabic" w:hAnsi="Simplified Arabic" w:cs="Simplified Arabic"/>
          <w:sz w:val="26"/>
          <w:szCs w:val="26"/>
          <w:rtl/>
        </w:rPr>
        <w:t>حقوقهم (</w:t>
      </w:r>
      <w:r w:rsidRPr="001C5CC9">
        <w:rPr>
          <w:rFonts w:ascii="Simplified Arabic" w:hAnsi="Simplified Arabic" w:cs="Simplified Arabic"/>
          <w:sz w:val="26"/>
          <w:szCs w:val="26"/>
          <w:rtl/>
        </w:rPr>
        <w:t>تمويل التقاعد</w:t>
      </w:r>
      <w:r w:rsidR="00C33046" w:rsidRPr="001C5CC9">
        <w:rPr>
          <w:rFonts w:ascii="Simplified Arabic" w:hAnsi="Simplified Arabic" w:cs="Simplified Arabic"/>
          <w:sz w:val="26"/>
          <w:szCs w:val="26"/>
          <w:rtl/>
        </w:rPr>
        <w:t>/</w:t>
      </w:r>
      <w:r w:rsidR="009C6711" w:rsidRPr="001C5CC9">
        <w:rPr>
          <w:rFonts w:ascii="Simplified Arabic" w:hAnsi="Simplified Arabic" w:cs="Simplified Arabic"/>
          <w:sz w:val="26"/>
          <w:szCs w:val="26"/>
          <w:rtl/>
        </w:rPr>
        <w:t xml:space="preserve"> </w:t>
      </w:r>
      <w:r w:rsidRPr="001C5CC9">
        <w:rPr>
          <w:rFonts w:ascii="Simplified Arabic" w:hAnsi="Simplified Arabic" w:cs="Simplified Arabic"/>
          <w:sz w:val="26"/>
          <w:szCs w:val="26"/>
          <w:rtl/>
        </w:rPr>
        <w:t xml:space="preserve">مكافأة نهاية الخدمة </w:t>
      </w:r>
      <w:r w:rsidR="00C33046" w:rsidRPr="001C5CC9">
        <w:rPr>
          <w:rFonts w:ascii="Simplified Arabic" w:hAnsi="Simplified Arabic" w:cs="Simplified Arabic"/>
          <w:sz w:val="26"/>
          <w:szCs w:val="26"/>
          <w:rtl/>
        </w:rPr>
        <w:t>بالإضافة</w:t>
      </w:r>
      <w:r w:rsidR="009C6711" w:rsidRPr="001C5CC9">
        <w:rPr>
          <w:rFonts w:ascii="Simplified Arabic" w:hAnsi="Simplified Arabic" w:cs="Simplified Arabic"/>
          <w:sz w:val="26"/>
          <w:szCs w:val="26"/>
          <w:rtl/>
        </w:rPr>
        <w:t xml:space="preserve"> الى </w:t>
      </w:r>
      <w:r w:rsidR="00C33046" w:rsidRPr="001C5CC9">
        <w:rPr>
          <w:rFonts w:ascii="Simplified Arabic" w:hAnsi="Simplified Arabic" w:cs="Simplified Arabic"/>
          <w:sz w:val="26"/>
          <w:szCs w:val="26"/>
          <w:rtl/>
        </w:rPr>
        <w:t xml:space="preserve"> </w:t>
      </w:r>
      <w:r w:rsidR="009C6711" w:rsidRPr="001C5CC9">
        <w:rPr>
          <w:rFonts w:ascii="Simplified Arabic" w:hAnsi="Simplified Arabic" w:cs="Simplified Arabic"/>
          <w:sz w:val="26"/>
          <w:szCs w:val="26"/>
          <w:rtl/>
        </w:rPr>
        <w:t>ال</w:t>
      </w:r>
      <w:r w:rsidRPr="001C5CC9">
        <w:rPr>
          <w:rFonts w:ascii="Simplified Arabic" w:hAnsi="Simplified Arabic" w:cs="Simplified Arabic"/>
          <w:sz w:val="26"/>
          <w:szCs w:val="26"/>
          <w:rtl/>
        </w:rPr>
        <w:t xml:space="preserve">إجازات </w:t>
      </w:r>
      <w:r w:rsidR="00AE313D" w:rsidRPr="001C5CC9">
        <w:rPr>
          <w:rFonts w:ascii="Simplified Arabic" w:hAnsi="Simplified Arabic" w:cs="Simplified Arabic"/>
          <w:sz w:val="26"/>
          <w:szCs w:val="26"/>
          <w:rtl/>
        </w:rPr>
        <w:t>ال</w:t>
      </w:r>
      <w:r w:rsidRPr="001C5CC9">
        <w:rPr>
          <w:rFonts w:ascii="Simplified Arabic" w:hAnsi="Simplified Arabic" w:cs="Simplified Arabic"/>
          <w:sz w:val="26"/>
          <w:szCs w:val="26"/>
          <w:rtl/>
        </w:rPr>
        <w:t>سنوية مدفوعة الأجر</w:t>
      </w:r>
      <w:r w:rsidR="00C33046" w:rsidRPr="001C5CC9">
        <w:rPr>
          <w:rFonts w:ascii="Simplified Arabic" w:hAnsi="Simplified Arabic" w:cs="Simplified Arabic"/>
          <w:sz w:val="26"/>
          <w:szCs w:val="26"/>
          <w:rtl/>
        </w:rPr>
        <w:t>،</w:t>
      </w:r>
      <w:r w:rsidR="00CB0FBD" w:rsidRPr="001C5CC9">
        <w:rPr>
          <w:rFonts w:ascii="Simplified Arabic" w:hAnsi="Simplified Arabic" w:cs="Simplified Arabic"/>
          <w:sz w:val="26"/>
          <w:szCs w:val="26"/>
          <w:rtl/>
        </w:rPr>
        <w:t xml:space="preserve"> و</w:t>
      </w:r>
      <w:r w:rsidR="009C6711" w:rsidRPr="001C5CC9">
        <w:rPr>
          <w:rFonts w:ascii="Simplified Arabic" w:hAnsi="Simplified Arabic" w:cs="Simplified Arabic"/>
          <w:sz w:val="26"/>
          <w:szCs w:val="26"/>
          <w:rtl/>
        </w:rPr>
        <w:t>ال</w:t>
      </w:r>
      <w:r w:rsidRPr="001C5CC9">
        <w:rPr>
          <w:rFonts w:ascii="Simplified Arabic" w:hAnsi="Simplified Arabic" w:cs="Simplified Arabic"/>
          <w:sz w:val="26"/>
          <w:szCs w:val="26"/>
          <w:rtl/>
        </w:rPr>
        <w:t xml:space="preserve">إجازات </w:t>
      </w:r>
      <w:r w:rsidR="009C6711" w:rsidRPr="001C5CC9">
        <w:rPr>
          <w:rFonts w:ascii="Simplified Arabic" w:hAnsi="Simplified Arabic" w:cs="Simplified Arabic"/>
          <w:sz w:val="26"/>
          <w:szCs w:val="26"/>
          <w:rtl/>
        </w:rPr>
        <w:t>ال</w:t>
      </w:r>
      <w:r w:rsidRPr="001C5CC9">
        <w:rPr>
          <w:rFonts w:ascii="Simplified Arabic" w:hAnsi="Simplified Arabic" w:cs="Simplified Arabic"/>
          <w:sz w:val="26"/>
          <w:szCs w:val="26"/>
          <w:rtl/>
        </w:rPr>
        <w:t>مرضية مدفوعة الأجر</w:t>
      </w:r>
      <w:r w:rsidR="00C33046" w:rsidRPr="001C5CC9">
        <w:rPr>
          <w:rFonts w:ascii="Simplified Arabic" w:hAnsi="Simplified Arabic" w:cs="Simplified Arabic"/>
          <w:sz w:val="26"/>
          <w:szCs w:val="26"/>
          <w:rtl/>
        </w:rPr>
        <w:t>)</w:t>
      </w:r>
      <w:r w:rsidRPr="001C5CC9">
        <w:rPr>
          <w:rFonts w:ascii="Simplified Arabic" w:hAnsi="Simplified Arabic" w:cs="Simplified Arabic"/>
          <w:sz w:val="26"/>
          <w:szCs w:val="26"/>
          <w:rtl/>
        </w:rPr>
        <w:t>،</w:t>
      </w:r>
      <w:r w:rsidR="00BE6241" w:rsidRPr="001C5CC9">
        <w:rPr>
          <w:rFonts w:ascii="Simplified Arabic" w:hAnsi="Simplified Arabic" w:cs="Simplified Arabic"/>
          <w:sz w:val="26"/>
          <w:szCs w:val="26"/>
          <w:rtl/>
        </w:rPr>
        <w:t xml:space="preserve"> </w:t>
      </w:r>
      <w:r w:rsidR="00871A7D" w:rsidRPr="001C5CC9">
        <w:rPr>
          <w:rFonts w:ascii="Simplified Arabic" w:hAnsi="Simplified Arabic" w:cs="Simplified Arabic"/>
          <w:sz w:val="26"/>
          <w:szCs w:val="26"/>
          <w:rtl/>
        </w:rPr>
        <w:t xml:space="preserve">هناك نحو 188 ألفاً من المستخدمين بأجر في </w:t>
      </w:r>
      <w:r w:rsidR="00871A7D" w:rsidRPr="001C5CC9">
        <w:rPr>
          <w:rFonts w:ascii="Simplified Arabic" w:hAnsi="Simplified Arabic" w:cs="Simplified Arabic"/>
          <w:color w:val="000000"/>
          <w:sz w:val="26"/>
          <w:szCs w:val="26"/>
          <w:rtl/>
        </w:rPr>
        <w:t>القطاع</w:t>
      </w:r>
      <w:r w:rsidR="00871A7D" w:rsidRPr="001C5CC9">
        <w:rPr>
          <w:rFonts w:ascii="Simplified Arabic" w:hAnsi="Simplified Arabic" w:cs="Simplified Arabic"/>
          <w:sz w:val="26"/>
          <w:szCs w:val="26"/>
          <w:rtl/>
        </w:rPr>
        <w:t xml:space="preserve"> </w:t>
      </w:r>
      <w:r w:rsidR="00871A7D" w:rsidRPr="001C5CC9">
        <w:rPr>
          <w:rFonts w:ascii="Simplified Arabic" w:hAnsi="Simplified Arabic" w:cs="Simplified Arabic"/>
          <w:color w:val="B13F9A"/>
          <w:sz w:val="26"/>
          <w:szCs w:val="26"/>
          <w:rtl/>
        </w:rPr>
        <w:t>ا</w:t>
      </w:r>
      <w:r w:rsidR="00871A7D" w:rsidRPr="001C5CC9">
        <w:rPr>
          <w:rFonts w:ascii="Simplified Arabic" w:hAnsi="Simplified Arabic" w:cs="Simplified Arabic"/>
          <w:color w:val="000000"/>
          <w:sz w:val="26"/>
          <w:szCs w:val="26"/>
          <w:rtl/>
        </w:rPr>
        <w:t>لخاص</w:t>
      </w:r>
      <w:r w:rsidR="004A6F8A" w:rsidRPr="001C5CC9">
        <w:rPr>
          <w:rFonts w:ascii="Simplified Arabic" w:hAnsi="Simplified Arabic" w:cs="Simplified Arabic"/>
          <w:color w:val="000000"/>
          <w:sz w:val="26"/>
          <w:szCs w:val="26"/>
        </w:rPr>
        <w:t xml:space="preserve"> </w:t>
      </w:r>
      <w:r w:rsidR="00871A7D" w:rsidRPr="001C5CC9">
        <w:rPr>
          <w:rFonts w:ascii="Simplified Arabic" w:hAnsi="Simplified Arabic" w:cs="Simplified Arabic"/>
          <w:color w:val="000000"/>
          <w:sz w:val="26"/>
          <w:szCs w:val="26"/>
          <w:rtl/>
        </w:rPr>
        <w:t xml:space="preserve">يعملون دون عقد عمل، </w:t>
      </w:r>
      <w:r w:rsidR="00893269" w:rsidRPr="001C5CC9">
        <w:rPr>
          <w:rFonts w:ascii="Simplified Arabic" w:hAnsi="Simplified Arabic" w:cs="Simplified Arabic"/>
          <w:color w:val="000000"/>
          <w:sz w:val="26"/>
          <w:szCs w:val="26"/>
          <w:rtl/>
        </w:rPr>
        <w:t>و</w:t>
      </w:r>
      <w:r w:rsidR="00871A7D" w:rsidRPr="001C5CC9">
        <w:rPr>
          <w:rFonts w:ascii="Simplified Arabic" w:hAnsi="Simplified Arabic" w:cs="Simplified Arabic"/>
          <w:color w:val="000000"/>
          <w:sz w:val="26"/>
          <w:szCs w:val="26"/>
          <w:rtl/>
        </w:rPr>
        <w:t xml:space="preserve">حوالي 67 ألف </w:t>
      </w:r>
      <w:r w:rsidR="00CE3F36" w:rsidRPr="001C5CC9">
        <w:rPr>
          <w:rFonts w:ascii="Simplified Arabic" w:hAnsi="Simplified Arabic" w:cs="Simplified Arabic"/>
          <w:color w:val="000000"/>
          <w:sz w:val="26"/>
          <w:szCs w:val="26"/>
          <w:rtl/>
        </w:rPr>
        <w:t>مستخدم بأجر</w:t>
      </w:r>
      <w:r w:rsidR="00871A7D" w:rsidRPr="001C5CC9">
        <w:rPr>
          <w:rFonts w:ascii="Simplified Arabic" w:hAnsi="Simplified Arabic" w:cs="Simplified Arabic"/>
          <w:color w:val="000000"/>
          <w:sz w:val="26"/>
          <w:szCs w:val="26"/>
          <w:rtl/>
        </w:rPr>
        <w:t xml:space="preserve"> فقط </w:t>
      </w:r>
      <w:r w:rsidR="00871A7D" w:rsidRPr="001C5CC9">
        <w:rPr>
          <w:rFonts w:ascii="Simplified Arabic" w:eastAsia="Calibri" w:hAnsi="Simplified Arabic" w:cs="Simplified Arabic"/>
          <w:color w:val="000000"/>
          <w:sz w:val="26"/>
          <w:szCs w:val="26"/>
          <w:rtl/>
          <w:lang w:eastAsia="en-US"/>
        </w:rPr>
        <w:t>في القطاع الخاص</w:t>
      </w:r>
      <w:r w:rsidR="004A6F8A" w:rsidRPr="001C5CC9">
        <w:rPr>
          <w:rFonts w:ascii="Simplified Arabic" w:hAnsi="Simplified Arabic" w:cs="Simplified Arabic"/>
          <w:sz w:val="26"/>
          <w:szCs w:val="26"/>
        </w:rPr>
        <w:t xml:space="preserve"> </w:t>
      </w:r>
      <w:r w:rsidR="00871A7D" w:rsidRPr="001C5CC9">
        <w:rPr>
          <w:rFonts w:ascii="Simplified Arabic" w:eastAsia="Calibri" w:hAnsi="Simplified Arabic" w:cs="Simplified Arabic"/>
          <w:color w:val="000000"/>
          <w:sz w:val="26"/>
          <w:szCs w:val="26"/>
          <w:rtl/>
          <w:lang w:eastAsia="en-US"/>
        </w:rPr>
        <w:t xml:space="preserve">لديهم عقد عمل دائم (مكتوب لفترة غير محددة).  </w:t>
      </w:r>
    </w:p>
    <w:p w:rsidR="00CB0FBD" w:rsidRDefault="00335FE5" w:rsidP="00CE3F36">
      <w:pPr>
        <w:jc w:val="both"/>
        <w:rPr>
          <w:rFonts w:ascii="Simplified Arabic" w:hAnsi="Simplified Arabic" w:cs="Simplified Arabic" w:hint="cs"/>
          <w:sz w:val="26"/>
          <w:szCs w:val="26"/>
          <w:rtl/>
        </w:rPr>
      </w:pPr>
      <w:r w:rsidRPr="001C5CC9">
        <w:rPr>
          <w:rFonts w:ascii="Simplified Arabic" w:hAnsi="Simplified Arabic" w:cs="Simplified Arabic"/>
          <w:sz w:val="26"/>
          <w:szCs w:val="26"/>
          <w:rtl/>
        </w:rPr>
        <w:t xml:space="preserve"> وحوالي </w:t>
      </w:r>
      <w:r w:rsidR="005D3BE1" w:rsidRPr="001C5CC9">
        <w:rPr>
          <w:rFonts w:ascii="Simplified Arabic" w:hAnsi="Simplified Arabic" w:cs="Simplified Arabic"/>
          <w:sz w:val="26"/>
          <w:szCs w:val="26"/>
          <w:rtl/>
        </w:rPr>
        <w:t>136</w:t>
      </w:r>
      <w:r w:rsidRPr="001C5CC9">
        <w:rPr>
          <w:rFonts w:ascii="Simplified Arabic" w:hAnsi="Simplified Arabic" w:cs="Simplified Arabic"/>
          <w:sz w:val="26"/>
          <w:szCs w:val="26"/>
          <w:rtl/>
        </w:rPr>
        <w:t xml:space="preserve"> ألف </w:t>
      </w:r>
      <w:r w:rsidR="00CE3F36" w:rsidRPr="001C5CC9">
        <w:rPr>
          <w:rFonts w:ascii="Simplified Arabic" w:hAnsi="Simplified Arabic" w:cs="Simplified Arabic"/>
          <w:sz w:val="26"/>
          <w:szCs w:val="26"/>
          <w:rtl/>
        </w:rPr>
        <w:t>مستخدم بأجر</w:t>
      </w:r>
      <w:r w:rsidRPr="001C5CC9">
        <w:rPr>
          <w:rFonts w:ascii="Simplified Arabic" w:hAnsi="Simplified Arabic" w:cs="Simplified Arabic"/>
          <w:sz w:val="26"/>
          <w:szCs w:val="26"/>
          <w:rtl/>
        </w:rPr>
        <w:t xml:space="preserve"> في القطاع الخاص</w:t>
      </w:r>
      <w:r w:rsidR="004A6F8A" w:rsidRPr="001C5CC9">
        <w:rPr>
          <w:rFonts w:ascii="Simplified Arabic" w:hAnsi="Simplified Arabic" w:cs="Simplified Arabic"/>
          <w:sz w:val="26"/>
          <w:szCs w:val="26"/>
        </w:rPr>
        <w:t xml:space="preserve"> </w:t>
      </w:r>
      <w:r w:rsidRPr="001C5CC9">
        <w:rPr>
          <w:rFonts w:ascii="Simplified Arabic" w:hAnsi="Simplified Arabic" w:cs="Simplified Arabic"/>
          <w:sz w:val="26"/>
          <w:szCs w:val="26"/>
          <w:rtl/>
        </w:rPr>
        <w:t>لديهم عقد عمل بشكل مؤقت (مكتوب لفترة محدو</w:t>
      </w:r>
      <w:r w:rsidR="00893269" w:rsidRPr="001C5CC9">
        <w:rPr>
          <w:rFonts w:ascii="Simplified Arabic" w:hAnsi="Simplified Arabic" w:cs="Simplified Arabic"/>
          <w:sz w:val="26"/>
          <w:szCs w:val="26"/>
          <w:rtl/>
        </w:rPr>
        <w:t>دة، اتفاق شتوي)</w:t>
      </w:r>
      <w:r w:rsidRPr="001C5CC9">
        <w:rPr>
          <w:rFonts w:ascii="Simplified Arabic" w:hAnsi="Simplified Arabic" w:cs="Simplified Arabic"/>
          <w:sz w:val="26"/>
          <w:szCs w:val="26"/>
          <w:rtl/>
        </w:rPr>
        <w:t>،</w:t>
      </w:r>
      <w:r w:rsidR="003205B1" w:rsidRPr="001C5CC9">
        <w:rPr>
          <w:rFonts w:ascii="Simplified Arabic" w:hAnsi="Simplified Arabic" w:cs="Simplified Arabic"/>
          <w:sz w:val="26"/>
          <w:szCs w:val="26"/>
          <w:rtl/>
        </w:rPr>
        <w:t xml:space="preserve"> </w:t>
      </w:r>
      <w:r w:rsidR="00CB0FBD" w:rsidRPr="001C5CC9">
        <w:rPr>
          <w:rFonts w:ascii="Simplified Arabic" w:hAnsi="Simplified Arabic" w:cs="Simplified Arabic"/>
          <w:sz w:val="26"/>
          <w:szCs w:val="26"/>
          <w:rtl/>
        </w:rPr>
        <w:t>بينما</w:t>
      </w:r>
      <w:r w:rsidR="00BE6241" w:rsidRPr="001C5CC9">
        <w:rPr>
          <w:rFonts w:ascii="Simplified Arabic" w:hAnsi="Simplified Arabic" w:cs="Simplified Arabic"/>
          <w:sz w:val="26"/>
          <w:szCs w:val="26"/>
          <w:rtl/>
        </w:rPr>
        <w:t xml:space="preserve"> حوالي</w:t>
      </w:r>
      <w:r w:rsidR="00CB0FBD" w:rsidRPr="001C5CC9">
        <w:rPr>
          <w:rFonts w:ascii="Simplified Arabic" w:hAnsi="Simplified Arabic" w:cs="Simplified Arabic"/>
          <w:sz w:val="26"/>
          <w:szCs w:val="26"/>
          <w:rtl/>
        </w:rPr>
        <w:t xml:space="preserve"> </w:t>
      </w:r>
      <w:r w:rsidR="00E66F38" w:rsidRPr="001C5CC9">
        <w:rPr>
          <w:rFonts w:ascii="Simplified Arabic" w:hAnsi="Simplified Arabic" w:cs="Simplified Arabic"/>
          <w:sz w:val="26"/>
          <w:szCs w:val="26"/>
          <w:rtl/>
        </w:rPr>
        <w:t>48</w:t>
      </w:r>
      <w:r w:rsidR="003205B1" w:rsidRPr="001C5CC9">
        <w:rPr>
          <w:rFonts w:ascii="Simplified Arabic" w:hAnsi="Simplified Arabic" w:cs="Simplified Arabic"/>
          <w:sz w:val="26"/>
          <w:szCs w:val="26"/>
          <w:rtl/>
        </w:rPr>
        <w:t xml:space="preserve">% من النساء </w:t>
      </w:r>
      <w:r w:rsidR="00CE3F36" w:rsidRPr="001C5CC9">
        <w:rPr>
          <w:rFonts w:ascii="Simplified Arabic" w:hAnsi="Simplified Arabic" w:cs="Simplified Arabic"/>
          <w:sz w:val="26"/>
          <w:szCs w:val="26"/>
          <w:rtl/>
        </w:rPr>
        <w:t>المستخدمات</w:t>
      </w:r>
      <w:r w:rsidR="003205B1" w:rsidRPr="001C5CC9">
        <w:rPr>
          <w:rFonts w:ascii="Simplified Arabic" w:hAnsi="Simplified Arabic" w:cs="Simplified Arabic"/>
          <w:sz w:val="26"/>
          <w:szCs w:val="26"/>
          <w:rtl/>
        </w:rPr>
        <w:t xml:space="preserve"> بأجر يحصلن على إجازة أمومة مدفوعة الأجر.</w:t>
      </w:r>
      <w:r w:rsidR="00AB271D" w:rsidRPr="001C5CC9">
        <w:rPr>
          <w:rFonts w:ascii="Simplified Arabic" w:hAnsi="Simplified Arabic" w:cs="Simplified Arabic"/>
          <w:sz w:val="26"/>
          <w:szCs w:val="26"/>
          <w:rtl/>
        </w:rPr>
        <w:t xml:space="preserve"> </w:t>
      </w:r>
    </w:p>
    <w:p w:rsidR="001C5CC9" w:rsidRPr="001C5CC9" w:rsidRDefault="001C5CC9" w:rsidP="00CE3F36">
      <w:pPr>
        <w:jc w:val="both"/>
        <w:rPr>
          <w:rFonts w:ascii="Simplified Arabic" w:hAnsi="Simplified Arabic" w:cs="Simplified Arabic"/>
          <w:sz w:val="26"/>
          <w:szCs w:val="26"/>
          <w:rtl/>
        </w:rPr>
      </w:pPr>
    </w:p>
    <w:p w:rsidR="00FB4734" w:rsidRPr="001C5CC9" w:rsidRDefault="00FB4734">
      <w:pPr>
        <w:pStyle w:val="BodyText"/>
        <w:jc w:val="both"/>
        <w:rPr>
          <w:rFonts w:ascii="Simplified Arabic" w:hAnsi="Simplified Arabic"/>
          <w:b/>
          <w:bCs/>
          <w:sz w:val="26"/>
          <w:szCs w:val="26"/>
          <w:rtl/>
        </w:rPr>
      </w:pPr>
    </w:p>
    <w:p w:rsidR="00613BB6" w:rsidRDefault="00613BB6" w:rsidP="004A6F8A">
      <w:pPr>
        <w:pStyle w:val="BodyText"/>
        <w:jc w:val="both"/>
        <w:rPr>
          <w:rFonts w:hint="cs"/>
          <w:b/>
          <w:bCs/>
          <w:rtl/>
        </w:rPr>
      </w:pPr>
    </w:p>
    <w:p w:rsidR="00613BB6" w:rsidRDefault="00613BB6" w:rsidP="004A6F8A">
      <w:pPr>
        <w:pStyle w:val="BodyText"/>
        <w:jc w:val="both"/>
        <w:rPr>
          <w:rFonts w:hint="cs"/>
          <w:b/>
          <w:bCs/>
          <w:rtl/>
        </w:rPr>
      </w:pPr>
    </w:p>
    <w:p w:rsidR="004A6F8A" w:rsidRPr="001C5CC9" w:rsidRDefault="004A6F8A" w:rsidP="004A6F8A">
      <w:pPr>
        <w:pStyle w:val="BodyText"/>
        <w:jc w:val="both"/>
        <w:rPr>
          <w:b/>
          <w:bCs/>
        </w:rPr>
      </w:pPr>
      <w:r w:rsidRPr="001C5CC9">
        <w:rPr>
          <w:rFonts w:hint="cs"/>
          <w:b/>
          <w:bCs/>
          <w:rtl/>
        </w:rPr>
        <w:t xml:space="preserve">ملاحظة: </w:t>
      </w:r>
      <w:r w:rsidRPr="001C5CC9">
        <w:rPr>
          <w:rFonts w:hint="cs"/>
          <w:rtl/>
        </w:rPr>
        <w:t>القطاع الخاص يشمل أيضا العاملين في المنظمات والمؤسسات الدولية والأونروا والقطاع الأهلي.</w:t>
      </w:r>
    </w:p>
    <w:sectPr w:rsidR="004A6F8A" w:rsidRPr="001C5CC9" w:rsidSect="00613BB6">
      <w:footerReference w:type="even" r:id="rId9"/>
      <w:footerReference w:type="default" r:id="rId10"/>
      <w:headerReference w:type="first" r:id="rId11"/>
      <w:pgSz w:w="12240" w:h="15840"/>
      <w:pgMar w:top="1259" w:right="1134" w:bottom="720" w:left="1134" w:header="680" w:footer="680" w:gutter="0"/>
      <w:pgNumType w:start="1"/>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0B7" w:rsidRDefault="00DB60B7">
      <w:r>
        <w:separator/>
      </w:r>
    </w:p>
  </w:endnote>
  <w:endnote w:type="continuationSeparator" w:id="0">
    <w:p w:rsidR="00DB60B7" w:rsidRDefault="00DB60B7">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2A0" w:rsidRDefault="009863DB">
    <w:pPr>
      <w:pStyle w:val="Footer"/>
      <w:framePr w:wrap="around" w:vAnchor="text" w:hAnchor="margin" w:xAlign="center" w:y="1"/>
      <w:rPr>
        <w:rStyle w:val="PageNumber"/>
        <w:rtl/>
      </w:rPr>
    </w:pPr>
    <w:r>
      <w:rPr>
        <w:rStyle w:val="PageNumber"/>
        <w:rtl/>
      </w:rPr>
      <w:fldChar w:fldCharType="begin"/>
    </w:r>
    <w:r w:rsidR="00D542A0">
      <w:rPr>
        <w:rStyle w:val="PageNumber"/>
      </w:rPr>
      <w:instrText xml:space="preserve">PAGE  </w:instrText>
    </w:r>
    <w:r>
      <w:rPr>
        <w:rStyle w:val="PageNumber"/>
        <w:rtl/>
      </w:rPr>
      <w:fldChar w:fldCharType="end"/>
    </w:r>
  </w:p>
  <w:p w:rsidR="00D542A0" w:rsidRDefault="00D542A0">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2A0" w:rsidRDefault="009863DB">
    <w:pPr>
      <w:pStyle w:val="Footer"/>
      <w:framePr w:wrap="around" w:vAnchor="text" w:hAnchor="margin" w:xAlign="center" w:y="1"/>
      <w:jc w:val="center"/>
      <w:rPr>
        <w:rStyle w:val="PageNumber"/>
        <w:sz w:val="20"/>
        <w:szCs w:val="20"/>
        <w:rtl/>
      </w:rPr>
    </w:pPr>
    <w:r>
      <w:rPr>
        <w:rStyle w:val="PageNumber"/>
        <w:sz w:val="20"/>
        <w:szCs w:val="20"/>
        <w:rtl/>
      </w:rPr>
      <w:fldChar w:fldCharType="begin"/>
    </w:r>
    <w:r w:rsidR="00D542A0">
      <w:rPr>
        <w:rStyle w:val="PageNumber"/>
        <w:sz w:val="20"/>
        <w:szCs w:val="20"/>
      </w:rPr>
      <w:instrText xml:space="preserve">PAGE  </w:instrText>
    </w:r>
    <w:r>
      <w:rPr>
        <w:rStyle w:val="PageNumber"/>
        <w:sz w:val="20"/>
        <w:szCs w:val="20"/>
        <w:rtl/>
      </w:rPr>
      <w:fldChar w:fldCharType="separate"/>
    </w:r>
    <w:r w:rsidR="00732F01">
      <w:rPr>
        <w:rStyle w:val="PageNumber"/>
        <w:noProof/>
        <w:sz w:val="20"/>
        <w:szCs w:val="20"/>
        <w:rtl/>
      </w:rPr>
      <w:t>4</w:t>
    </w:r>
    <w:r>
      <w:rPr>
        <w:rStyle w:val="PageNumber"/>
        <w:sz w:val="20"/>
        <w:szCs w:val="20"/>
        <w:rtl/>
      </w:rPr>
      <w:fldChar w:fldCharType="end"/>
    </w:r>
  </w:p>
  <w:p w:rsidR="00D542A0" w:rsidRPr="009313A8" w:rsidRDefault="00D542A0" w:rsidP="00EA0113">
    <w:pPr>
      <w:tabs>
        <w:tab w:val="num" w:pos="610"/>
      </w:tabs>
      <w:jc w:val="both"/>
      <w:rPr>
        <w:rFonts w:cs="Simplified Arabic"/>
        <w:b/>
        <w:bCs/>
        <w:color w:val="000000"/>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0B7" w:rsidRDefault="00DB60B7">
      <w:r>
        <w:separator/>
      </w:r>
    </w:p>
  </w:footnote>
  <w:footnote w:type="continuationSeparator" w:id="0">
    <w:p w:rsidR="00DB60B7" w:rsidRDefault="00DB60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2A0" w:rsidRPr="005546E1" w:rsidRDefault="00D542A0" w:rsidP="005546E1">
    <w:pPr>
      <w:pStyle w:val="Header"/>
      <w:rPr>
        <w:rtl/>
      </w:rPr>
    </w:pPr>
    <w:r w:rsidRPr="005546E1">
      <w:rPr>
        <w:rFonts w:hint="cs"/>
        <w:rt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26C88"/>
    <w:multiLevelType w:val="hybridMultilevel"/>
    <w:tmpl w:val="734CA088"/>
    <w:lvl w:ilvl="0" w:tplc="02246C0C">
      <w:numFmt w:val="bullet"/>
      <w:lvlText w:val="-"/>
      <w:lvlJc w:val="left"/>
      <w:pPr>
        <w:ind w:left="720" w:hanging="360"/>
      </w:pPr>
      <w:rPr>
        <w:rFonts w:ascii="Simplified Arabic" w:eastAsia="Times New Roman" w:hAnsi="Simplified Arabic" w:cs="Simplified Arab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9104BD"/>
    <w:multiLevelType w:val="hybridMultilevel"/>
    <w:tmpl w:val="F5684854"/>
    <w:lvl w:ilvl="0" w:tplc="CDB8B178">
      <w:start w:val="2006"/>
      <w:numFmt w:val="decimal"/>
      <w:lvlText w:val="%1-"/>
      <w:lvlJc w:val="left"/>
      <w:pPr>
        <w:tabs>
          <w:tab w:val="num" w:pos="1230"/>
        </w:tabs>
        <w:ind w:left="1230" w:right="1230" w:hanging="690"/>
      </w:pPr>
      <w:rPr>
        <w:rFonts w:hint="cs"/>
      </w:rPr>
    </w:lvl>
    <w:lvl w:ilvl="1" w:tplc="04010019" w:tentative="1">
      <w:start w:val="1"/>
      <w:numFmt w:val="lowerLetter"/>
      <w:lvlText w:val="%2."/>
      <w:lvlJc w:val="left"/>
      <w:pPr>
        <w:tabs>
          <w:tab w:val="num" w:pos="1620"/>
        </w:tabs>
        <w:ind w:left="1620" w:right="1620" w:hanging="360"/>
      </w:pPr>
    </w:lvl>
    <w:lvl w:ilvl="2" w:tplc="0401001B" w:tentative="1">
      <w:start w:val="1"/>
      <w:numFmt w:val="lowerRoman"/>
      <w:lvlText w:val="%3."/>
      <w:lvlJc w:val="right"/>
      <w:pPr>
        <w:tabs>
          <w:tab w:val="num" w:pos="2340"/>
        </w:tabs>
        <w:ind w:left="2340" w:right="2340" w:hanging="180"/>
      </w:pPr>
    </w:lvl>
    <w:lvl w:ilvl="3" w:tplc="0401000F" w:tentative="1">
      <w:start w:val="1"/>
      <w:numFmt w:val="decimal"/>
      <w:lvlText w:val="%4."/>
      <w:lvlJc w:val="left"/>
      <w:pPr>
        <w:tabs>
          <w:tab w:val="num" w:pos="3060"/>
        </w:tabs>
        <w:ind w:left="3060" w:right="3060" w:hanging="360"/>
      </w:pPr>
    </w:lvl>
    <w:lvl w:ilvl="4" w:tplc="04010019" w:tentative="1">
      <w:start w:val="1"/>
      <w:numFmt w:val="lowerLetter"/>
      <w:lvlText w:val="%5."/>
      <w:lvlJc w:val="left"/>
      <w:pPr>
        <w:tabs>
          <w:tab w:val="num" w:pos="3780"/>
        </w:tabs>
        <w:ind w:left="3780" w:right="3780" w:hanging="360"/>
      </w:pPr>
    </w:lvl>
    <w:lvl w:ilvl="5" w:tplc="0401001B" w:tentative="1">
      <w:start w:val="1"/>
      <w:numFmt w:val="lowerRoman"/>
      <w:lvlText w:val="%6."/>
      <w:lvlJc w:val="right"/>
      <w:pPr>
        <w:tabs>
          <w:tab w:val="num" w:pos="4500"/>
        </w:tabs>
        <w:ind w:left="4500" w:right="4500" w:hanging="180"/>
      </w:pPr>
    </w:lvl>
    <w:lvl w:ilvl="6" w:tplc="0401000F" w:tentative="1">
      <w:start w:val="1"/>
      <w:numFmt w:val="decimal"/>
      <w:lvlText w:val="%7."/>
      <w:lvlJc w:val="left"/>
      <w:pPr>
        <w:tabs>
          <w:tab w:val="num" w:pos="5220"/>
        </w:tabs>
        <w:ind w:left="5220" w:right="5220" w:hanging="360"/>
      </w:pPr>
    </w:lvl>
    <w:lvl w:ilvl="7" w:tplc="04010019" w:tentative="1">
      <w:start w:val="1"/>
      <w:numFmt w:val="lowerLetter"/>
      <w:lvlText w:val="%8."/>
      <w:lvlJc w:val="left"/>
      <w:pPr>
        <w:tabs>
          <w:tab w:val="num" w:pos="5940"/>
        </w:tabs>
        <w:ind w:left="5940" w:right="5940" w:hanging="360"/>
      </w:pPr>
    </w:lvl>
    <w:lvl w:ilvl="8" w:tplc="0401001B" w:tentative="1">
      <w:start w:val="1"/>
      <w:numFmt w:val="lowerRoman"/>
      <w:lvlText w:val="%9."/>
      <w:lvlJc w:val="right"/>
      <w:pPr>
        <w:tabs>
          <w:tab w:val="num" w:pos="6660"/>
        </w:tabs>
        <w:ind w:left="6660" w:right="6660" w:hanging="180"/>
      </w:pPr>
    </w:lvl>
  </w:abstractNum>
  <w:abstractNum w:abstractNumId="2">
    <w:nsid w:val="48B93602"/>
    <w:multiLevelType w:val="hybridMultilevel"/>
    <w:tmpl w:val="42BA5CEA"/>
    <w:lvl w:ilvl="0" w:tplc="14A20DEC">
      <w:start w:val="1"/>
      <w:numFmt w:val="bullet"/>
      <w:lvlText w:val="•"/>
      <w:lvlJc w:val="left"/>
      <w:pPr>
        <w:tabs>
          <w:tab w:val="num" w:pos="720"/>
        </w:tabs>
        <w:ind w:left="720" w:hanging="360"/>
      </w:pPr>
      <w:rPr>
        <w:rFonts w:ascii="Times New Roman" w:hAnsi="Times New Roman" w:hint="default"/>
      </w:rPr>
    </w:lvl>
    <w:lvl w:ilvl="1" w:tplc="6C0C70B2" w:tentative="1">
      <w:start w:val="1"/>
      <w:numFmt w:val="bullet"/>
      <w:lvlText w:val="•"/>
      <w:lvlJc w:val="left"/>
      <w:pPr>
        <w:tabs>
          <w:tab w:val="num" w:pos="1440"/>
        </w:tabs>
        <w:ind w:left="1440" w:hanging="360"/>
      </w:pPr>
      <w:rPr>
        <w:rFonts w:ascii="Times New Roman" w:hAnsi="Times New Roman" w:hint="default"/>
      </w:rPr>
    </w:lvl>
    <w:lvl w:ilvl="2" w:tplc="DFF8E79E" w:tentative="1">
      <w:start w:val="1"/>
      <w:numFmt w:val="bullet"/>
      <w:lvlText w:val="•"/>
      <w:lvlJc w:val="left"/>
      <w:pPr>
        <w:tabs>
          <w:tab w:val="num" w:pos="2160"/>
        </w:tabs>
        <w:ind w:left="2160" w:hanging="360"/>
      </w:pPr>
      <w:rPr>
        <w:rFonts w:ascii="Times New Roman" w:hAnsi="Times New Roman" w:hint="default"/>
      </w:rPr>
    </w:lvl>
    <w:lvl w:ilvl="3" w:tplc="19289B2E" w:tentative="1">
      <w:start w:val="1"/>
      <w:numFmt w:val="bullet"/>
      <w:lvlText w:val="•"/>
      <w:lvlJc w:val="left"/>
      <w:pPr>
        <w:tabs>
          <w:tab w:val="num" w:pos="2880"/>
        </w:tabs>
        <w:ind w:left="2880" w:hanging="360"/>
      </w:pPr>
      <w:rPr>
        <w:rFonts w:ascii="Times New Roman" w:hAnsi="Times New Roman" w:hint="default"/>
      </w:rPr>
    </w:lvl>
    <w:lvl w:ilvl="4" w:tplc="D68C39F6" w:tentative="1">
      <w:start w:val="1"/>
      <w:numFmt w:val="bullet"/>
      <w:lvlText w:val="•"/>
      <w:lvlJc w:val="left"/>
      <w:pPr>
        <w:tabs>
          <w:tab w:val="num" w:pos="3600"/>
        </w:tabs>
        <w:ind w:left="3600" w:hanging="360"/>
      </w:pPr>
      <w:rPr>
        <w:rFonts w:ascii="Times New Roman" w:hAnsi="Times New Roman" w:hint="default"/>
      </w:rPr>
    </w:lvl>
    <w:lvl w:ilvl="5" w:tplc="0D586C74" w:tentative="1">
      <w:start w:val="1"/>
      <w:numFmt w:val="bullet"/>
      <w:lvlText w:val="•"/>
      <w:lvlJc w:val="left"/>
      <w:pPr>
        <w:tabs>
          <w:tab w:val="num" w:pos="4320"/>
        </w:tabs>
        <w:ind w:left="4320" w:hanging="360"/>
      </w:pPr>
      <w:rPr>
        <w:rFonts w:ascii="Times New Roman" w:hAnsi="Times New Roman" w:hint="default"/>
      </w:rPr>
    </w:lvl>
    <w:lvl w:ilvl="6" w:tplc="FA646F86" w:tentative="1">
      <w:start w:val="1"/>
      <w:numFmt w:val="bullet"/>
      <w:lvlText w:val="•"/>
      <w:lvlJc w:val="left"/>
      <w:pPr>
        <w:tabs>
          <w:tab w:val="num" w:pos="5040"/>
        </w:tabs>
        <w:ind w:left="5040" w:hanging="360"/>
      </w:pPr>
      <w:rPr>
        <w:rFonts w:ascii="Times New Roman" w:hAnsi="Times New Roman" w:hint="default"/>
      </w:rPr>
    </w:lvl>
    <w:lvl w:ilvl="7" w:tplc="E43EC48C" w:tentative="1">
      <w:start w:val="1"/>
      <w:numFmt w:val="bullet"/>
      <w:lvlText w:val="•"/>
      <w:lvlJc w:val="left"/>
      <w:pPr>
        <w:tabs>
          <w:tab w:val="num" w:pos="5760"/>
        </w:tabs>
        <w:ind w:left="5760" w:hanging="360"/>
      </w:pPr>
      <w:rPr>
        <w:rFonts w:ascii="Times New Roman" w:hAnsi="Times New Roman" w:hint="default"/>
      </w:rPr>
    </w:lvl>
    <w:lvl w:ilvl="8" w:tplc="A5A887D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rQ0M7GwtLAwAlKmJko6SsGpxcWZ+XkgBYa1AKe340ssAAAA"/>
  </w:docVars>
  <w:rsids>
    <w:rsidRoot w:val="008C4CA1"/>
    <w:rsid w:val="00001E5D"/>
    <w:rsid w:val="000064F5"/>
    <w:rsid w:val="00006AA5"/>
    <w:rsid w:val="00010F63"/>
    <w:rsid w:val="00012CF5"/>
    <w:rsid w:val="0003163B"/>
    <w:rsid w:val="00031F16"/>
    <w:rsid w:val="000349C7"/>
    <w:rsid w:val="00036D5A"/>
    <w:rsid w:val="0003733B"/>
    <w:rsid w:val="00037A10"/>
    <w:rsid w:val="0004072E"/>
    <w:rsid w:val="00042440"/>
    <w:rsid w:val="00043FFD"/>
    <w:rsid w:val="00050615"/>
    <w:rsid w:val="00053A0D"/>
    <w:rsid w:val="000549AC"/>
    <w:rsid w:val="000573AB"/>
    <w:rsid w:val="000649B0"/>
    <w:rsid w:val="000700F8"/>
    <w:rsid w:val="00070EE5"/>
    <w:rsid w:val="000717C1"/>
    <w:rsid w:val="00073B8E"/>
    <w:rsid w:val="000740CA"/>
    <w:rsid w:val="0008735E"/>
    <w:rsid w:val="000928A9"/>
    <w:rsid w:val="000A7FA2"/>
    <w:rsid w:val="000C0C52"/>
    <w:rsid w:val="000C472B"/>
    <w:rsid w:val="000C4A50"/>
    <w:rsid w:val="000C5691"/>
    <w:rsid w:val="000C5FAA"/>
    <w:rsid w:val="000D5686"/>
    <w:rsid w:val="000E0644"/>
    <w:rsid w:val="000E2AE6"/>
    <w:rsid w:val="000E5A3B"/>
    <w:rsid w:val="000E6948"/>
    <w:rsid w:val="000E6959"/>
    <w:rsid w:val="000F1CAD"/>
    <w:rsid w:val="000F28C3"/>
    <w:rsid w:val="000F5553"/>
    <w:rsid w:val="000F5BC8"/>
    <w:rsid w:val="000F6062"/>
    <w:rsid w:val="000F7F93"/>
    <w:rsid w:val="001062C5"/>
    <w:rsid w:val="00111A62"/>
    <w:rsid w:val="00112BAE"/>
    <w:rsid w:val="0012126D"/>
    <w:rsid w:val="00121897"/>
    <w:rsid w:val="0012343A"/>
    <w:rsid w:val="00131146"/>
    <w:rsid w:val="0013176B"/>
    <w:rsid w:val="001329D0"/>
    <w:rsid w:val="0013364A"/>
    <w:rsid w:val="0013454C"/>
    <w:rsid w:val="00136908"/>
    <w:rsid w:val="00136DAD"/>
    <w:rsid w:val="00140171"/>
    <w:rsid w:val="00140599"/>
    <w:rsid w:val="00144747"/>
    <w:rsid w:val="00156BF7"/>
    <w:rsid w:val="00164053"/>
    <w:rsid w:val="00164AEF"/>
    <w:rsid w:val="00171AB6"/>
    <w:rsid w:val="00177E03"/>
    <w:rsid w:val="00184C7C"/>
    <w:rsid w:val="00190F3D"/>
    <w:rsid w:val="00191C76"/>
    <w:rsid w:val="00196AD1"/>
    <w:rsid w:val="0019724C"/>
    <w:rsid w:val="001A5D6D"/>
    <w:rsid w:val="001B3898"/>
    <w:rsid w:val="001B3C92"/>
    <w:rsid w:val="001B4906"/>
    <w:rsid w:val="001C0904"/>
    <w:rsid w:val="001C0C53"/>
    <w:rsid w:val="001C2847"/>
    <w:rsid w:val="001C4349"/>
    <w:rsid w:val="001C5CC9"/>
    <w:rsid w:val="001D06DA"/>
    <w:rsid w:val="001D11B7"/>
    <w:rsid w:val="001D2B21"/>
    <w:rsid w:val="001D6074"/>
    <w:rsid w:val="001D7C41"/>
    <w:rsid w:val="001E4EAC"/>
    <w:rsid w:val="001F52C8"/>
    <w:rsid w:val="001F7EC6"/>
    <w:rsid w:val="001F7F6C"/>
    <w:rsid w:val="00204C01"/>
    <w:rsid w:val="0020765A"/>
    <w:rsid w:val="00214D6A"/>
    <w:rsid w:val="002162AA"/>
    <w:rsid w:val="00220A2F"/>
    <w:rsid w:val="00220B27"/>
    <w:rsid w:val="002211BE"/>
    <w:rsid w:val="002227DE"/>
    <w:rsid w:val="00233037"/>
    <w:rsid w:val="002349DB"/>
    <w:rsid w:val="00242D99"/>
    <w:rsid w:val="00243F31"/>
    <w:rsid w:val="002461D9"/>
    <w:rsid w:val="00246CB2"/>
    <w:rsid w:val="0025061E"/>
    <w:rsid w:val="00253DAA"/>
    <w:rsid w:val="00254462"/>
    <w:rsid w:val="00255E71"/>
    <w:rsid w:val="00257A70"/>
    <w:rsid w:val="00266F36"/>
    <w:rsid w:val="002674AE"/>
    <w:rsid w:val="002679F4"/>
    <w:rsid w:val="00271A7F"/>
    <w:rsid w:val="002725D8"/>
    <w:rsid w:val="00274425"/>
    <w:rsid w:val="00275357"/>
    <w:rsid w:val="0027585C"/>
    <w:rsid w:val="0027770C"/>
    <w:rsid w:val="00280194"/>
    <w:rsid w:val="0028160B"/>
    <w:rsid w:val="00285D0F"/>
    <w:rsid w:val="00285F43"/>
    <w:rsid w:val="00286715"/>
    <w:rsid w:val="00286B31"/>
    <w:rsid w:val="0028773D"/>
    <w:rsid w:val="0029146A"/>
    <w:rsid w:val="002939C9"/>
    <w:rsid w:val="002B0422"/>
    <w:rsid w:val="002B0CD7"/>
    <w:rsid w:val="002B4B4C"/>
    <w:rsid w:val="002C39DC"/>
    <w:rsid w:val="002C47DB"/>
    <w:rsid w:val="002C7296"/>
    <w:rsid w:val="002D322C"/>
    <w:rsid w:val="002D5518"/>
    <w:rsid w:val="002D5F56"/>
    <w:rsid w:val="002D6CDB"/>
    <w:rsid w:val="002D7D24"/>
    <w:rsid w:val="002E268D"/>
    <w:rsid w:val="002E2E00"/>
    <w:rsid w:val="002E51C5"/>
    <w:rsid w:val="002E7D34"/>
    <w:rsid w:val="002F2D56"/>
    <w:rsid w:val="002F4FAB"/>
    <w:rsid w:val="002F6576"/>
    <w:rsid w:val="002F6B28"/>
    <w:rsid w:val="00300BED"/>
    <w:rsid w:val="00307FE7"/>
    <w:rsid w:val="0031106F"/>
    <w:rsid w:val="003141D3"/>
    <w:rsid w:val="00315430"/>
    <w:rsid w:val="003157B7"/>
    <w:rsid w:val="003176D9"/>
    <w:rsid w:val="00317A94"/>
    <w:rsid w:val="003205B1"/>
    <w:rsid w:val="00322CA8"/>
    <w:rsid w:val="003244A5"/>
    <w:rsid w:val="003335A3"/>
    <w:rsid w:val="00335FE5"/>
    <w:rsid w:val="003415BA"/>
    <w:rsid w:val="0034190E"/>
    <w:rsid w:val="0034299F"/>
    <w:rsid w:val="00346622"/>
    <w:rsid w:val="003515E4"/>
    <w:rsid w:val="0035568A"/>
    <w:rsid w:val="003618D0"/>
    <w:rsid w:val="00363D4D"/>
    <w:rsid w:val="00374959"/>
    <w:rsid w:val="00376A71"/>
    <w:rsid w:val="003928E3"/>
    <w:rsid w:val="00393953"/>
    <w:rsid w:val="00393DD5"/>
    <w:rsid w:val="00395416"/>
    <w:rsid w:val="003977C2"/>
    <w:rsid w:val="003A50C5"/>
    <w:rsid w:val="003A6D97"/>
    <w:rsid w:val="003B0236"/>
    <w:rsid w:val="003B6763"/>
    <w:rsid w:val="003C0E59"/>
    <w:rsid w:val="003D5001"/>
    <w:rsid w:val="003D753E"/>
    <w:rsid w:val="003E0B6C"/>
    <w:rsid w:val="003E14F5"/>
    <w:rsid w:val="003E461B"/>
    <w:rsid w:val="003E55F0"/>
    <w:rsid w:val="003F11F3"/>
    <w:rsid w:val="003F36B1"/>
    <w:rsid w:val="003F48A4"/>
    <w:rsid w:val="003F48C2"/>
    <w:rsid w:val="003F4C77"/>
    <w:rsid w:val="00415554"/>
    <w:rsid w:val="004237EF"/>
    <w:rsid w:val="004241EC"/>
    <w:rsid w:val="004267B1"/>
    <w:rsid w:val="004277F5"/>
    <w:rsid w:val="004279D5"/>
    <w:rsid w:val="00431A11"/>
    <w:rsid w:val="00441A95"/>
    <w:rsid w:val="004510C9"/>
    <w:rsid w:val="00451143"/>
    <w:rsid w:val="00456C10"/>
    <w:rsid w:val="00457830"/>
    <w:rsid w:val="00461830"/>
    <w:rsid w:val="0046185D"/>
    <w:rsid w:val="00467835"/>
    <w:rsid w:val="00471948"/>
    <w:rsid w:val="00472551"/>
    <w:rsid w:val="00474558"/>
    <w:rsid w:val="0047509F"/>
    <w:rsid w:val="004759B4"/>
    <w:rsid w:val="00476428"/>
    <w:rsid w:val="00476698"/>
    <w:rsid w:val="004833BC"/>
    <w:rsid w:val="004857FA"/>
    <w:rsid w:val="00490318"/>
    <w:rsid w:val="00490EFA"/>
    <w:rsid w:val="0049570F"/>
    <w:rsid w:val="004967CD"/>
    <w:rsid w:val="004A6F8A"/>
    <w:rsid w:val="004A75C3"/>
    <w:rsid w:val="004B2D9A"/>
    <w:rsid w:val="004B5E90"/>
    <w:rsid w:val="004B618D"/>
    <w:rsid w:val="004C0510"/>
    <w:rsid w:val="004C50B2"/>
    <w:rsid w:val="004C692A"/>
    <w:rsid w:val="004C70EF"/>
    <w:rsid w:val="004C78C8"/>
    <w:rsid w:val="004D04E8"/>
    <w:rsid w:val="004E0468"/>
    <w:rsid w:val="004E2EBD"/>
    <w:rsid w:val="004E37F2"/>
    <w:rsid w:val="004E40D2"/>
    <w:rsid w:val="004E61CD"/>
    <w:rsid w:val="004F3CAD"/>
    <w:rsid w:val="004F7988"/>
    <w:rsid w:val="00502265"/>
    <w:rsid w:val="005035FD"/>
    <w:rsid w:val="005125F7"/>
    <w:rsid w:val="00512ABF"/>
    <w:rsid w:val="005138BE"/>
    <w:rsid w:val="00517E37"/>
    <w:rsid w:val="00522BA7"/>
    <w:rsid w:val="00524D61"/>
    <w:rsid w:val="00527F62"/>
    <w:rsid w:val="00543989"/>
    <w:rsid w:val="00544560"/>
    <w:rsid w:val="005475BE"/>
    <w:rsid w:val="00550014"/>
    <w:rsid w:val="005546E1"/>
    <w:rsid w:val="00554B1D"/>
    <w:rsid w:val="00554DEA"/>
    <w:rsid w:val="0055707E"/>
    <w:rsid w:val="005577E5"/>
    <w:rsid w:val="00560DD5"/>
    <w:rsid w:val="00564956"/>
    <w:rsid w:val="00567FE7"/>
    <w:rsid w:val="00570F14"/>
    <w:rsid w:val="00574729"/>
    <w:rsid w:val="005747BB"/>
    <w:rsid w:val="00575C1D"/>
    <w:rsid w:val="00576225"/>
    <w:rsid w:val="00576842"/>
    <w:rsid w:val="00580015"/>
    <w:rsid w:val="00580983"/>
    <w:rsid w:val="00580EB4"/>
    <w:rsid w:val="00590F06"/>
    <w:rsid w:val="00596D77"/>
    <w:rsid w:val="00596F8E"/>
    <w:rsid w:val="00597225"/>
    <w:rsid w:val="005A0172"/>
    <w:rsid w:val="005A27EA"/>
    <w:rsid w:val="005A4246"/>
    <w:rsid w:val="005A429D"/>
    <w:rsid w:val="005A46D3"/>
    <w:rsid w:val="005A60D7"/>
    <w:rsid w:val="005A7E76"/>
    <w:rsid w:val="005B2E8C"/>
    <w:rsid w:val="005B5B11"/>
    <w:rsid w:val="005D3BE1"/>
    <w:rsid w:val="005D41FE"/>
    <w:rsid w:val="005D4B0F"/>
    <w:rsid w:val="005D5487"/>
    <w:rsid w:val="005D7DBD"/>
    <w:rsid w:val="005E545E"/>
    <w:rsid w:val="005F205A"/>
    <w:rsid w:val="005F64FC"/>
    <w:rsid w:val="005F68FF"/>
    <w:rsid w:val="005F6A78"/>
    <w:rsid w:val="00600A2D"/>
    <w:rsid w:val="0061207C"/>
    <w:rsid w:val="0061287E"/>
    <w:rsid w:val="00613BB6"/>
    <w:rsid w:val="006170AA"/>
    <w:rsid w:val="00617A8E"/>
    <w:rsid w:val="00617B9E"/>
    <w:rsid w:val="0062468F"/>
    <w:rsid w:val="00624A0F"/>
    <w:rsid w:val="00630986"/>
    <w:rsid w:val="006310D5"/>
    <w:rsid w:val="006376D9"/>
    <w:rsid w:val="006424EB"/>
    <w:rsid w:val="0064365B"/>
    <w:rsid w:val="00643B75"/>
    <w:rsid w:val="00650304"/>
    <w:rsid w:val="006514E2"/>
    <w:rsid w:val="006524B0"/>
    <w:rsid w:val="00660B5C"/>
    <w:rsid w:val="00664224"/>
    <w:rsid w:val="00683A14"/>
    <w:rsid w:val="0068434C"/>
    <w:rsid w:val="0068570D"/>
    <w:rsid w:val="00694C8C"/>
    <w:rsid w:val="00695461"/>
    <w:rsid w:val="006A002C"/>
    <w:rsid w:val="006A6D7C"/>
    <w:rsid w:val="006C0518"/>
    <w:rsid w:val="006C1415"/>
    <w:rsid w:val="006C2824"/>
    <w:rsid w:val="006C4D12"/>
    <w:rsid w:val="006C5EA6"/>
    <w:rsid w:val="006D3164"/>
    <w:rsid w:val="006E3D59"/>
    <w:rsid w:val="006E4100"/>
    <w:rsid w:val="006E575C"/>
    <w:rsid w:val="006E72B8"/>
    <w:rsid w:val="006E7830"/>
    <w:rsid w:val="006F0CA4"/>
    <w:rsid w:val="006F1419"/>
    <w:rsid w:val="006F14E6"/>
    <w:rsid w:val="006F45CE"/>
    <w:rsid w:val="006F55A8"/>
    <w:rsid w:val="0070232D"/>
    <w:rsid w:val="007039F8"/>
    <w:rsid w:val="007070CC"/>
    <w:rsid w:val="00711B89"/>
    <w:rsid w:val="00722C00"/>
    <w:rsid w:val="0072431F"/>
    <w:rsid w:val="00726381"/>
    <w:rsid w:val="00726C5C"/>
    <w:rsid w:val="0072798A"/>
    <w:rsid w:val="00731A6E"/>
    <w:rsid w:val="00732109"/>
    <w:rsid w:val="00732F01"/>
    <w:rsid w:val="00734D30"/>
    <w:rsid w:val="007350E7"/>
    <w:rsid w:val="00735F78"/>
    <w:rsid w:val="00741541"/>
    <w:rsid w:val="00742E92"/>
    <w:rsid w:val="00743CEC"/>
    <w:rsid w:val="00747DBE"/>
    <w:rsid w:val="007500A9"/>
    <w:rsid w:val="00752C46"/>
    <w:rsid w:val="00757462"/>
    <w:rsid w:val="00757B92"/>
    <w:rsid w:val="007610A7"/>
    <w:rsid w:val="0076399D"/>
    <w:rsid w:val="007651E1"/>
    <w:rsid w:val="0076687C"/>
    <w:rsid w:val="00766EF8"/>
    <w:rsid w:val="00772923"/>
    <w:rsid w:val="00774578"/>
    <w:rsid w:val="007756F6"/>
    <w:rsid w:val="00775748"/>
    <w:rsid w:val="00777874"/>
    <w:rsid w:val="007815EE"/>
    <w:rsid w:val="00790164"/>
    <w:rsid w:val="0079137E"/>
    <w:rsid w:val="007A103F"/>
    <w:rsid w:val="007B5FF5"/>
    <w:rsid w:val="007B61EA"/>
    <w:rsid w:val="007B6883"/>
    <w:rsid w:val="007B794A"/>
    <w:rsid w:val="007C0917"/>
    <w:rsid w:val="007C42FB"/>
    <w:rsid w:val="007C47CC"/>
    <w:rsid w:val="007C7351"/>
    <w:rsid w:val="007D01BF"/>
    <w:rsid w:val="007D117D"/>
    <w:rsid w:val="007D4701"/>
    <w:rsid w:val="007D7CA7"/>
    <w:rsid w:val="007E3ABB"/>
    <w:rsid w:val="007E6A9C"/>
    <w:rsid w:val="007F1611"/>
    <w:rsid w:val="007F2CCC"/>
    <w:rsid w:val="007F3F51"/>
    <w:rsid w:val="00800ED5"/>
    <w:rsid w:val="00810872"/>
    <w:rsid w:val="008109C0"/>
    <w:rsid w:val="00811FAD"/>
    <w:rsid w:val="00815CC8"/>
    <w:rsid w:val="0082033F"/>
    <w:rsid w:val="0082058E"/>
    <w:rsid w:val="00823867"/>
    <w:rsid w:val="0082414C"/>
    <w:rsid w:val="008308C2"/>
    <w:rsid w:val="00830A96"/>
    <w:rsid w:val="00831A8F"/>
    <w:rsid w:val="00832FD9"/>
    <w:rsid w:val="00834387"/>
    <w:rsid w:val="00836A24"/>
    <w:rsid w:val="00840702"/>
    <w:rsid w:val="008466AE"/>
    <w:rsid w:val="00851B21"/>
    <w:rsid w:val="00855102"/>
    <w:rsid w:val="008613CD"/>
    <w:rsid w:val="008614A3"/>
    <w:rsid w:val="008620C6"/>
    <w:rsid w:val="008644CA"/>
    <w:rsid w:val="00865E35"/>
    <w:rsid w:val="00871A7D"/>
    <w:rsid w:val="008760C4"/>
    <w:rsid w:val="0087639C"/>
    <w:rsid w:val="00877267"/>
    <w:rsid w:val="00880128"/>
    <w:rsid w:val="00880CD2"/>
    <w:rsid w:val="00881EE5"/>
    <w:rsid w:val="00884286"/>
    <w:rsid w:val="00887BEA"/>
    <w:rsid w:val="0089075B"/>
    <w:rsid w:val="0089239F"/>
    <w:rsid w:val="00893269"/>
    <w:rsid w:val="008A2145"/>
    <w:rsid w:val="008A378C"/>
    <w:rsid w:val="008A6D3A"/>
    <w:rsid w:val="008B751F"/>
    <w:rsid w:val="008B7F3D"/>
    <w:rsid w:val="008C08CA"/>
    <w:rsid w:val="008C0D1E"/>
    <w:rsid w:val="008C2E60"/>
    <w:rsid w:val="008C4CA1"/>
    <w:rsid w:val="008C5C02"/>
    <w:rsid w:val="008C6CDD"/>
    <w:rsid w:val="008D1673"/>
    <w:rsid w:val="008D55BF"/>
    <w:rsid w:val="008E0E36"/>
    <w:rsid w:val="008E27CA"/>
    <w:rsid w:val="008E5AFE"/>
    <w:rsid w:val="008E6842"/>
    <w:rsid w:val="008E6D68"/>
    <w:rsid w:val="008F0C11"/>
    <w:rsid w:val="008F4E55"/>
    <w:rsid w:val="008F7EF0"/>
    <w:rsid w:val="0090230F"/>
    <w:rsid w:val="00907EFE"/>
    <w:rsid w:val="00914498"/>
    <w:rsid w:val="00915496"/>
    <w:rsid w:val="009157EE"/>
    <w:rsid w:val="00916264"/>
    <w:rsid w:val="00916FD2"/>
    <w:rsid w:val="00920D73"/>
    <w:rsid w:val="0093157B"/>
    <w:rsid w:val="00947188"/>
    <w:rsid w:val="00951F2E"/>
    <w:rsid w:val="009565CC"/>
    <w:rsid w:val="009645B8"/>
    <w:rsid w:val="009669CA"/>
    <w:rsid w:val="00973AC5"/>
    <w:rsid w:val="00976178"/>
    <w:rsid w:val="009769FF"/>
    <w:rsid w:val="009800B9"/>
    <w:rsid w:val="0098185D"/>
    <w:rsid w:val="009863DB"/>
    <w:rsid w:val="0099268A"/>
    <w:rsid w:val="00992A1F"/>
    <w:rsid w:val="00993C06"/>
    <w:rsid w:val="009A1B34"/>
    <w:rsid w:val="009A317D"/>
    <w:rsid w:val="009A633F"/>
    <w:rsid w:val="009B4503"/>
    <w:rsid w:val="009B63B3"/>
    <w:rsid w:val="009C4956"/>
    <w:rsid w:val="009C6711"/>
    <w:rsid w:val="009D5A6B"/>
    <w:rsid w:val="009E033F"/>
    <w:rsid w:val="009E0D20"/>
    <w:rsid w:val="009E3F3F"/>
    <w:rsid w:val="009E68DA"/>
    <w:rsid w:val="009F10A0"/>
    <w:rsid w:val="009F2C18"/>
    <w:rsid w:val="009F2E9B"/>
    <w:rsid w:val="009F68F8"/>
    <w:rsid w:val="00A0243A"/>
    <w:rsid w:val="00A12554"/>
    <w:rsid w:val="00A17F53"/>
    <w:rsid w:val="00A20D2F"/>
    <w:rsid w:val="00A22E36"/>
    <w:rsid w:val="00A24885"/>
    <w:rsid w:val="00A4213B"/>
    <w:rsid w:val="00A43113"/>
    <w:rsid w:val="00A46199"/>
    <w:rsid w:val="00A54AE5"/>
    <w:rsid w:val="00A643B8"/>
    <w:rsid w:val="00A644D6"/>
    <w:rsid w:val="00A64924"/>
    <w:rsid w:val="00A6630E"/>
    <w:rsid w:val="00A679A6"/>
    <w:rsid w:val="00A71A7F"/>
    <w:rsid w:val="00A71E54"/>
    <w:rsid w:val="00A7300A"/>
    <w:rsid w:val="00A73192"/>
    <w:rsid w:val="00A74098"/>
    <w:rsid w:val="00A75558"/>
    <w:rsid w:val="00A76A78"/>
    <w:rsid w:val="00A76C36"/>
    <w:rsid w:val="00A77D29"/>
    <w:rsid w:val="00AA120F"/>
    <w:rsid w:val="00AA2DF4"/>
    <w:rsid w:val="00AB271D"/>
    <w:rsid w:val="00AB4662"/>
    <w:rsid w:val="00AB7700"/>
    <w:rsid w:val="00AD5CEE"/>
    <w:rsid w:val="00AD6DAC"/>
    <w:rsid w:val="00AD721B"/>
    <w:rsid w:val="00AE072F"/>
    <w:rsid w:val="00AE2DAC"/>
    <w:rsid w:val="00AE313D"/>
    <w:rsid w:val="00AF0BC1"/>
    <w:rsid w:val="00AF15FC"/>
    <w:rsid w:val="00AF6405"/>
    <w:rsid w:val="00AF6B4F"/>
    <w:rsid w:val="00B032D0"/>
    <w:rsid w:val="00B0461D"/>
    <w:rsid w:val="00B049DE"/>
    <w:rsid w:val="00B04AE3"/>
    <w:rsid w:val="00B10582"/>
    <w:rsid w:val="00B124BD"/>
    <w:rsid w:val="00B23739"/>
    <w:rsid w:val="00B31A36"/>
    <w:rsid w:val="00B32F90"/>
    <w:rsid w:val="00B45182"/>
    <w:rsid w:val="00B45B82"/>
    <w:rsid w:val="00B5493D"/>
    <w:rsid w:val="00B603A4"/>
    <w:rsid w:val="00B60C14"/>
    <w:rsid w:val="00B627DD"/>
    <w:rsid w:val="00B6470F"/>
    <w:rsid w:val="00B65A2F"/>
    <w:rsid w:val="00B71617"/>
    <w:rsid w:val="00B7260D"/>
    <w:rsid w:val="00B7397D"/>
    <w:rsid w:val="00B77EE4"/>
    <w:rsid w:val="00B80DA4"/>
    <w:rsid w:val="00B83F17"/>
    <w:rsid w:val="00B85892"/>
    <w:rsid w:val="00B85B0A"/>
    <w:rsid w:val="00B86E56"/>
    <w:rsid w:val="00B878DE"/>
    <w:rsid w:val="00B927BA"/>
    <w:rsid w:val="00B93303"/>
    <w:rsid w:val="00BA501C"/>
    <w:rsid w:val="00BA6591"/>
    <w:rsid w:val="00BA7F72"/>
    <w:rsid w:val="00BB32E0"/>
    <w:rsid w:val="00BC1BE3"/>
    <w:rsid w:val="00BC5289"/>
    <w:rsid w:val="00BD4B30"/>
    <w:rsid w:val="00BD4F9C"/>
    <w:rsid w:val="00BD6262"/>
    <w:rsid w:val="00BE4E5A"/>
    <w:rsid w:val="00BE6241"/>
    <w:rsid w:val="00BE68CC"/>
    <w:rsid w:val="00BE7C1A"/>
    <w:rsid w:val="00BF3817"/>
    <w:rsid w:val="00BF5DEC"/>
    <w:rsid w:val="00BF6E23"/>
    <w:rsid w:val="00BF760A"/>
    <w:rsid w:val="00BF7F95"/>
    <w:rsid w:val="00C06F71"/>
    <w:rsid w:val="00C07763"/>
    <w:rsid w:val="00C11E36"/>
    <w:rsid w:val="00C1351F"/>
    <w:rsid w:val="00C16668"/>
    <w:rsid w:val="00C26BD3"/>
    <w:rsid w:val="00C31D45"/>
    <w:rsid w:val="00C31E7D"/>
    <w:rsid w:val="00C33046"/>
    <w:rsid w:val="00C36192"/>
    <w:rsid w:val="00C367EE"/>
    <w:rsid w:val="00C4497D"/>
    <w:rsid w:val="00C52C52"/>
    <w:rsid w:val="00C52DE3"/>
    <w:rsid w:val="00C52F1E"/>
    <w:rsid w:val="00C56905"/>
    <w:rsid w:val="00C5794F"/>
    <w:rsid w:val="00C63C18"/>
    <w:rsid w:val="00C65DC7"/>
    <w:rsid w:val="00C67A58"/>
    <w:rsid w:val="00C72BC3"/>
    <w:rsid w:val="00C74415"/>
    <w:rsid w:val="00C85A29"/>
    <w:rsid w:val="00C87A01"/>
    <w:rsid w:val="00C91878"/>
    <w:rsid w:val="00CA4D30"/>
    <w:rsid w:val="00CA7288"/>
    <w:rsid w:val="00CB091C"/>
    <w:rsid w:val="00CB0FBD"/>
    <w:rsid w:val="00CB460B"/>
    <w:rsid w:val="00CC2753"/>
    <w:rsid w:val="00CC3EFE"/>
    <w:rsid w:val="00CC63D6"/>
    <w:rsid w:val="00CD2C23"/>
    <w:rsid w:val="00CD440A"/>
    <w:rsid w:val="00CE089B"/>
    <w:rsid w:val="00CE21E2"/>
    <w:rsid w:val="00CE29C8"/>
    <w:rsid w:val="00CE3F36"/>
    <w:rsid w:val="00D0064B"/>
    <w:rsid w:val="00D01EF3"/>
    <w:rsid w:val="00D05F58"/>
    <w:rsid w:val="00D07DD0"/>
    <w:rsid w:val="00D17496"/>
    <w:rsid w:val="00D218E2"/>
    <w:rsid w:val="00D23002"/>
    <w:rsid w:val="00D26518"/>
    <w:rsid w:val="00D27690"/>
    <w:rsid w:val="00D30D7E"/>
    <w:rsid w:val="00D31697"/>
    <w:rsid w:val="00D3213A"/>
    <w:rsid w:val="00D37C0B"/>
    <w:rsid w:val="00D44C9B"/>
    <w:rsid w:val="00D46AFE"/>
    <w:rsid w:val="00D50D3C"/>
    <w:rsid w:val="00D531EC"/>
    <w:rsid w:val="00D542A0"/>
    <w:rsid w:val="00D544EA"/>
    <w:rsid w:val="00D63AFF"/>
    <w:rsid w:val="00D75FA2"/>
    <w:rsid w:val="00D85BB8"/>
    <w:rsid w:val="00DA05A5"/>
    <w:rsid w:val="00DA77AB"/>
    <w:rsid w:val="00DB5AA3"/>
    <w:rsid w:val="00DB60B7"/>
    <w:rsid w:val="00DB6C52"/>
    <w:rsid w:val="00DC78A1"/>
    <w:rsid w:val="00DE040A"/>
    <w:rsid w:val="00DE23E5"/>
    <w:rsid w:val="00E02224"/>
    <w:rsid w:val="00E02910"/>
    <w:rsid w:val="00E02CEF"/>
    <w:rsid w:val="00E061E5"/>
    <w:rsid w:val="00E102B9"/>
    <w:rsid w:val="00E13C0E"/>
    <w:rsid w:val="00E1637E"/>
    <w:rsid w:val="00E16F05"/>
    <w:rsid w:val="00E16FD4"/>
    <w:rsid w:val="00E1797B"/>
    <w:rsid w:val="00E20B5B"/>
    <w:rsid w:val="00E23C64"/>
    <w:rsid w:val="00E243AE"/>
    <w:rsid w:val="00E253DC"/>
    <w:rsid w:val="00E372E5"/>
    <w:rsid w:val="00E37877"/>
    <w:rsid w:val="00E3794D"/>
    <w:rsid w:val="00E411FF"/>
    <w:rsid w:val="00E42A0C"/>
    <w:rsid w:val="00E46A5E"/>
    <w:rsid w:val="00E46D52"/>
    <w:rsid w:val="00E52544"/>
    <w:rsid w:val="00E53399"/>
    <w:rsid w:val="00E620F1"/>
    <w:rsid w:val="00E6266B"/>
    <w:rsid w:val="00E62CB5"/>
    <w:rsid w:val="00E6478E"/>
    <w:rsid w:val="00E66AA8"/>
    <w:rsid w:val="00E66F38"/>
    <w:rsid w:val="00E70F41"/>
    <w:rsid w:val="00E81504"/>
    <w:rsid w:val="00E86A98"/>
    <w:rsid w:val="00E90E00"/>
    <w:rsid w:val="00E94516"/>
    <w:rsid w:val="00E95AA0"/>
    <w:rsid w:val="00E972C5"/>
    <w:rsid w:val="00E97914"/>
    <w:rsid w:val="00E979EE"/>
    <w:rsid w:val="00EA0113"/>
    <w:rsid w:val="00EA364D"/>
    <w:rsid w:val="00EA3981"/>
    <w:rsid w:val="00EA614C"/>
    <w:rsid w:val="00EA6844"/>
    <w:rsid w:val="00EA69BB"/>
    <w:rsid w:val="00EA7BC7"/>
    <w:rsid w:val="00EB298C"/>
    <w:rsid w:val="00EB614C"/>
    <w:rsid w:val="00EB68D2"/>
    <w:rsid w:val="00EC13C4"/>
    <w:rsid w:val="00ED3F19"/>
    <w:rsid w:val="00ED5CE8"/>
    <w:rsid w:val="00ED69EF"/>
    <w:rsid w:val="00EE14FF"/>
    <w:rsid w:val="00EE28AB"/>
    <w:rsid w:val="00EE4194"/>
    <w:rsid w:val="00EE492C"/>
    <w:rsid w:val="00F004C9"/>
    <w:rsid w:val="00F02A33"/>
    <w:rsid w:val="00F164D9"/>
    <w:rsid w:val="00F214C5"/>
    <w:rsid w:val="00F21C9E"/>
    <w:rsid w:val="00F22470"/>
    <w:rsid w:val="00F22FDA"/>
    <w:rsid w:val="00F25186"/>
    <w:rsid w:val="00F27C27"/>
    <w:rsid w:val="00F32800"/>
    <w:rsid w:val="00F33F4F"/>
    <w:rsid w:val="00F36527"/>
    <w:rsid w:val="00F4326B"/>
    <w:rsid w:val="00F44BF5"/>
    <w:rsid w:val="00F46821"/>
    <w:rsid w:val="00F576E1"/>
    <w:rsid w:val="00F6267F"/>
    <w:rsid w:val="00F63DF4"/>
    <w:rsid w:val="00F65073"/>
    <w:rsid w:val="00F66381"/>
    <w:rsid w:val="00F7233E"/>
    <w:rsid w:val="00F819F1"/>
    <w:rsid w:val="00F839CA"/>
    <w:rsid w:val="00F9094B"/>
    <w:rsid w:val="00F93297"/>
    <w:rsid w:val="00F9642C"/>
    <w:rsid w:val="00F9740A"/>
    <w:rsid w:val="00FA1550"/>
    <w:rsid w:val="00FA2B58"/>
    <w:rsid w:val="00FB0D5C"/>
    <w:rsid w:val="00FB2091"/>
    <w:rsid w:val="00FB2DFC"/>
    <w:rsid w:val="00FB4479"/>
    <w:rsid w:val="00FB4734"/>
    <w:rsid w:val="00FB74AC"/>
    <w:rsid w:val="00FB7E16"/>
    <w:rsid w:val="00FC2F5D"/>
    <w:rsid w:val="00FD00F3"/>
    <w:rsid w:val="00FD5B38"/>
    <w:rsid w:val="00FE0FA9"/>
    <w:rsid w:val="00FE33EB"/>
    <w:rsid w:val="00FE3F6F"/>
    <w:rsid w:val="00FE60FB"/>
    <w:rsid w:val="00FF2069"/>
    <w:rsid w:val="00FF304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422"/>
    <w:pPr>
      <w:bidi/>
    </w:pPr>
    <w:rPr>
      <w:sz w:val="24"/>
      <w:szCs w:val="24"/>
      <w:lang w:eastAsia="ar-SA"/>
    </w:rPr>
  </w:style>
  <w:style w:type="paragraph" w:styleId="Heading1">
    <w:name w:val="heading 1"/>
    <w:basedOn w:val="Normal"/>
    <w:next w:val="Normal"/>
    <w:link w:val="Heading1Char"/>
    <w:qFormat/>
    <w:rsid w:val="002B0422"/>
    <w:pPr>
      <w:keepNext/>
      <w:jc w:val="center"/>
      <w:outlineLvl w:val="0"/>
    </w:pPr>
    <w:rPr>
      <w:rFonts w:cs="Simplified Arabic"/>
      <w:b/>
      <w:bCs/>
      <w:sz w:val="40"/>
      <w:szCs w:val="40"/>
    </w:rPr>
  </w:style>
  <w:style w:type="paragraph" w:styleId="Heading2">
    <w:name w:val="heading 2"/>
    <w:basedOn w:val="Normal"/>
    <w:next w:val="Normal"/>
    <w:qFormat/>
    <w:rsid w:val="002B0422"/>
    <w:pPr>
      <w:keepNext/>
      <w:ind w:firstLine="30"/>
      <w:outlineLvl w:val="1"/>
    </w:pPr>
    <w:rPr>
      <w:rFonts w:cs="Simplified Arabic"/>
      <w:b/>
      <w:bCs/>
    </w:rPr>
  </w:style>
  <w:style w:type="paragraph" w:styleId="Heading3">
    <w:name w:val="heading 3"/>
    <w:basedOn w:val="Normal"/>
    <w:next w:val="Normal"/>
    <w:link w:val="Heading3Char"/>
    <w:qFormat/>
    <w:rsid w:val="002B0422"/>
    <w:pPr>
      <w:keepNext/>
      <w:outlineLvl w:val="2"/>
    </w:pPr>
    <w:rPr>
      <w:rFonts w:cs="Simplified Arabic"/>
      <w:b/>
      <w:bCs/>
    </w:rPr>
  </w:style>
  <w:style w:type="paragraph" w:styleId="Heading4">
    <w:name w:val="heading 4"/>
    <w:basedOn w:val="Normal"/>
    <w:next w:val="Normal"/>
    <w:link w:val="Heading4Char"/>
    <w:qFormat/>
    <w:rsid w:val="002B0422"/>
    <w:pPr>
      <w:keepNext/>
      <w:jc w:val="lowKashida"/>
      <w:outlineLvl w:val="3"/>
    </w:pPr>
    <w:rPr>
      <w:rFonts w:cs="Simplified Arabic"/>
      <w:b/>
      <w:bCs/>
    </w:rPr>
  </w:style>
  <w:style w:type="paragraph" w:styleId="Heading5">
    <w:name w:val="heading 5"/>
    <w:basedOn w:val="Normal"/>
    <w:next w:val="Normal"/>
    <w:qFormat/>
    <w:rsid w:val="002B0422"/>
    <w:pPr>
      <w:keepNext/>
      <w:outlineLvl w:val="4"/>
    </w:pPr>
    <w:rPr>
      <w:rFonts w:cs="Simplified Arabic"/>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B0422"/>
    <w:pPr>
      <w:jc w:val="lowKashida"/>
    </w:pPr>
    <w:rPr>
      <w:rFonts w:cs="Simplified Arabic"/>
    </w:rPr>
  </w:style>
  <w:style w:type="paragraph" w:styleId="Footer">
    <w:name w:val="footer"/>
    <w:basedOn w:val="Normal"/>
    <w:semiHidden/>
    <w:rsid w:val="002B0422"/>
    <w:pPr>
      <w:tabs>
        <w:tab w:val="center" w:pos="4320"/>
        <w:tab w:val="right" w:pos="8640"/>
      </w:tabs>
    </w:pPr>
  </w:style>
  <w:style w:type="character" w:styleId="PageNumber">
    <w:name w:val="page number"/>
    <w:basedOn w:val="DefaultParagraphFont"/>
    <w:semiHidden/>
    <w:rsid w:val="002B0422"/>
  </w:style>
  <w:style w:type="paragraph" w:styleId="Title">
    <w:name w:val="Title"/>
    <w:basedOn w:val="Normal"/>
    <w:qFormat/>
    <w:rsid w:val="002B0422"/>
    <w:pPr>
      <w:jc w:val="center"/>
    </w:pPr>
    <w:rPr>
      <w:b/>
      <w:bCs/>
      <w:sz w:val="28"/>
      <w:szCs w:val="28"/>
    </w:rPr>
  </w:style>
  <w:style w:type="paragraph" w:styleId="Header">
    <w:name w:val="header"/>
    <w:basedOn w:val="Normal"/>
    <w:link w:val="HeaderChar"/>
    <w:uiPriority w:val="99"/>
    <w:rsid w:val="002B0422"/>
    <w:pPr>
      <w:tabs>
        <w:tab w:val="center" w:pos="4153"/>
        <w:tab w:val="right" w:pos="8306"/>
      </w:tabs>
    </w:pPr>
  </w:style>
  <w:style w:type="paragraph" w:styleId="BodyText2">
    <w:name w:val="Body Text 2"/>
    <w:basedOn w:val="Normal"/>
    <w:semiHidden/>
    <w:rsid w:val="002B0422"/>
    <w:pPr>
      <w:tabs>
        <w:tab w:val="left" w:pos="9071"/>
      </w:tabs>
      <w:ind w:right="-180"/>
    </w:pPr>
    <w:rPr>
      <w:rFonts w:cs="Simplified Arabic"/>
      <w:b/>
      <w:bCs/>
    </w:rPr>
  </w:style>
  <w:style w:type="paragraph" w:styleId="BodyText3">
    <w:name w:val="Body Text 3"/>
    <w:basedOn w:val="Normal"/>
    <w:link w:val="BodyText3Char"/>
    <w:semiHidden/>
    <w:rsid w:val="002B0422"/>
    <w:pPr>
      <w:ind w:right="-360"/>
      <w:jc w:val="lowKashida"/>
    </w:pPr>
    <w:rPr>
      <w:rFonts w:cs="Simplified Arabic"/>
      <w:sz w:val="26"/>
      <w:szCs w:val="26"/>
    </w:rPr>
  </w:style>
  <w:style w:type="paragraph" w:styleId="BalloonText">
    <w:name w:val="Balloon Text"/>
    <w:basedOn w:val="Normal"/>
    <w:link w:val="BalloonTextChar"/>
    <w:uiPriority w:val="99"/>
    <w:semiHidden/>
    <w:unhideWhenUsed/>
    <w:rsid w:val="00BF7F95"/>
    <w:rPr>
      <w:rFonts w:ascii="Tahoma" w:hAnsi="Tahoma" w:cs="Tahoma"/>
      <w:sz w:val="16"/>
      <w:szCs w:val="16"/>
    </w:rPr>
  </w:style>
  <w:style w:type="character" w:customStyle="1" w:styleId="BalloonTextChar">
    <w:name w:val="Balloon Text Char"/>
    <w:basedOn w:val="DefaultParagraphFont"/>
    <w:link w:val="BalloonText"/>
    <w:uiPriority w:val="99"/>
    <w:semiHidden/>
    <w:rsid w:val="00BF7F95"/>
    <w:rPr>
      <w:rFonts w:ascii="Tahoma" w:hAnsi="Tahoma" w:cs="Tahoma"/>
      <w:sz w:val="16"/>
      <w:szCs w:val="16"/>
      <w:lang w:eastAsia="ar-SA"/>
    </w:rPr>
  </w:style>
  <w:style w:type="character" w:customStyle="1" w:styleId="Heading3Char">
    <w:name w:val="Heading 3 Char"/>
    <w:basedOn w:val="DefaultParagraphFont"/>
    <w:link w:val="Heading3"/>
    <w:rsid w:val="008E5AFE"/>
    <w:rPr>
      <w:rFonts w:cs="Simplified Arabic"/>
      <w:b/>
      <w:bCs/>
      <w:sz w:val="24"/>
      <w:szCs w:val="24"/>
      <w:lang w:eastAsia="ar-SA"/>
    </w:rPr>
  </w:style>
  <w:style w:type="character" w:styleId="Hyperlink">
    <w:name w:val="Hyperlink"/>
    <w:basedOn w:val="DefaultParagraphFont"/>
    <w:semiHidden/>
    <w:rsid w:val="00EB298C"/>
    <w:rPr>
      <w:rFonts w:ascii="Times New Roman" w:hAnsi="Times New Roman" w:cs="Times New Roman"/>
      <w:color w:val="0000FF"/>
      <w:u w:val="single"/>
    </w:rPr>
  </w:style>
  <w:style w:type="table" w:styleId="TableGrid">
    <w:name w:val="Table Grid"/>
    <w:basedOn w:val="TableNormal"/>
    <w:uiPriority w:val="59"/>
    <w:rsid w:val="001212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E23C6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Char">
    <w:name w:val="Body Text Char"/>
    <w:basedOn w:val="DefaultParagraphFont"/>
    <w:link w:val="BodyText"/>
    <w:rsid w:val="00E90E00"/>
    <w:rPr>
      <w:rFonts w:cs="Simplified Arabic"/>
      <w:sz w:val="24"/>
      <w:szCs w:val="24"/>
      <w:lang w:eastAsia="ar-SA"/>
    </w:rPr>
  </w:style>
  <w:style w:type="character" w:customStyle="1" w:styleId="Heading1Char">
    <w:name w:val="Heading 1 Char"/>
    <w:basedOn w:val="DefaultParagraphFont"/>
    <w:link w:val="Heading1"/>
    <w:rsid w:val="003205B1"/>
    <w:rPr>
      <w:rFonts w:cs="Simplified Arabic"/>
      <w:b/>
      <w:bCs/>
      <w:sz w:val="40"/>
      <w:szCs w:val="40"/>
      <w:lang w:eastAsia="ar-SA"/>
    </w:rPr>
  </w:style>
  <w:style w:type="character" w:customStyle="1" w:styleId="Heading4Char">
    <w:name w:val="Heading 4 Char"/>
    <w:basedOn w:val="DefaultParagraphFont"/>
    <w:link w:val="Heading4"/>
    <w:rsid w:val="003205B1"/>
    <w:rPr>
      <w:rFonts w:cs="Simplified Arabic"/>
      <w:b/>
      <w:bCs/>
      <w:sz w:val="24"/>
      <w:szCs w:val="24"/>
      <w:lang w:eastAsia="ar-SA"/>
    </w:rPr>
  </w:style>
  <w:style w:type="character" w:customStyle="1" w:styleId="BodyText3Char">
    <w:name w:val="Body Text 3 Char"/>
    <w:basedOn w:val="DefaultParagraphFont"/>
    <w:link w:val="BodyText3"/>
    <w:semiHidden/>
    <w:rsid w:val="003205B1"/>
    <w:rPr>
      <w:rFonts w:cs="Simplified Arabic"/>
      <w:sz w:val="26"/>
      <w:szCs w:val="26"/>
      <w:lang w:eastAsia="ar-SA"/>
    </w:rPr>
  </w:style>
  <w:style w:type="paragraph" w:styleId="NoSpacing">
    <w:name w:val="No Spacing"/>
    <w:uiPriority w:val="1"/>
    <w:qFormat/>
    <w:rsid w:val="00490EFA"/>
    <w:pPr>
      <w:bidi/>
    </w:pPr>
    <w:rPr>
      <w:sz w:val="24"/>
      <w:szCs w:val="24"/>
      <w:lang w:eastAsia="ar-SA"/>
    </w:rPr>
  </w:style>
  <w:style w:type="character" w:styleId="CommentReference">
    <w:name w:val="annotation reference"/>
    <w:basedOn w:val="DefaultParagraphFont"/>
    <w:uiPriority w:val="99"/>
    <w:semiHidden/>
    <w:unhideWhenUsed/>
    <w:rsid w:val="00832FD9"/>
    <w:rPr>
      <w:sz w:val="16"/>
      <w:szCs w:val="16"/>
    </w:rPr>
  </w:style>
  <w:style w:type="paragraph" w:styleId="CommentText">
    <w:name w:val="annotation text"/>
    <w:basedOn w:val="Normal"/>
    <w:link w:val="CommentTextChar"/>
    <w:uiPriority w:val="99"/>
    <w:semiHidden/>
    <w:unhideWhenUsed/>
    <w:rsid w:val="00832FD9"/>
    <w:rPr>
      <w:sz w:val="20"/>
      <w:szCs w:val="20"/>
    </w:rPr>
  </w:style>
  <w:style w:type="character" w:customStyle="1" w:styleId="CommentTextChar">
    <w:name w:val="Comment Text Char"/>
    <w:basedOn w:val="DefaultParagraphFont"/>
    <w:link w:val="CommentText"/>
    <w:uiPriority w:val="99"/>
    <w:semiHidden/>
    <w:rsid w:val="00832FD9"/>
    <w:rPr>
      <w:lang w:eastAsia="ar-SA"/>
    </w:rPr>
  </w:style>
  <w:style w:type="paragraph" w:styleId="CommentSubject">
    <w:name w:val="annotation subject"/>
    <w:basedOn w:val="CommentText"/>
    <w:next w:val="CommentText"/>
    <w:link w:val="CommentSubjectChar"/>
    <w:uiPriority w:val="99"/>
    <w:semiHidden/>
    <w:unhideWhenUsed/>
    <w:rsid w:val="00832FD9"/>
    <w:rPr>
      <w:b/>
      <w:bCs/>
    </w:rPr>
  </w:style>
  <w:style w:type="character" w:customStyle="1" w:styleId="CommentSubjectChar">
    <w:name w:val="Comment Subject Char"/>
    <w:basedOn w:val="CommentTextChar"/>
    <w:link w:val="CommentSubject"/>
    <w:uiPriority w:val="99"/>
    <w:semiHidden/>
    <w:rsid w:val="00832FD9"/>
    <w:rPr>
      <w:b/>
      <w:bCs/>
    </w:rPr>
  </w:style>
  <w:style w:type="paragraph" w:styleId="NormalWeb">
    <w:name w:val="Normal (Web)"/>
    <w:basedOn w:val="Normal"/>
    <w:uiPriority w:val="99"/>
    <w:unhideWhenUsed/>
    <w:rsid w:val="00B878DE"/>
    <w:pPr>
      <w:bidi w:val="0"/>
      <w:spacing w:before="100" w:beforeAutospacing="1" w:after="100" w:afterAutospacing="1"/>
    </w:pPr>
    <w:rPr>
      <w:lang w:eastAsia="en-US"/>
    </w:rPr>
  </w:style>
  <w:style w:type="character" w:customStyle="1" w:styleId="HeaderChar">
    <w:name w:val="Header Char"/>
    <w:basedOn w:val="DefaultParagraphFont"/>
    <w:link w:val="Header"/>
    <w:uiPriority w:val="99"/>
    <w:rsid w:val="007F1611"/>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233053077">
      <w:bodyDiv w:val="1"/>
      <w:marLeft w:val="0"/>
      <w:marRight w:val="0"/>
      <w:marTop w:val="0"/>
      <w:marBottom w:val="0"/>
      <w:divBdr>
        <w:top w:val="none" w:sz="0" w:space="0" w:color="auto"/>
        <w:left w:val="none" w:sz="0" w:space="0" w:color="auto"/>
        <w:bottom w:val="none" w:sz="0" w:space="0" w:color="auto"/>
        <w:right w:val="none" w:sz="0" w:space="0" w:color="auto"/>
      </w:divBdr>
      <w:divsChild>
        <w:div w:id="145049892">
          <w:marLeft w:val="0"/>
          <w:marRight w:val="0"/>
          <w:marTop w:val="101"/>
          <w:marBottom w:val="0"/>
          <w:divBdr>
            <w:top w:val="none" w:sz="0" w:space="0" w:color="auto"/>
            <w:left w:val="none" w:sz="0" w:space="0" w:color="auto"/>
            <w:bottom w:val="none" w:sz="0" w:space="0" w:color="auto"/>
            <w:right w:val="none" w:sz="0" w:space="0" w:color="auto"/>
          </w:divBdr>
        </w:div>
      </w:divsChild>
    </w:div>
    <w:div w:id="1513449847">
      <w:bodyDiv w:val="1"/>
      <w:marLeft w:val="0"/>
      <w:marRight w:val="0"/>
      <w:marTop w:val="0"/>
      <w:marBottom w:val="0"/>
      <w:divBdr>
        <w:top w:val="none" w:sz="0" w:space="0" w:color="auto"/>
        <w:left w:val="none" w:sz="0" w:space="0" w:color="auto"/>
        <w:bottom w:val="none" w:sz="0" w:space="0" w:color="auto"/>
        <w:right w:val="none" w:sz="0" w:space="0" w:color="auto"/>
      </w:divBdr>
    </w:div>
    <w:div w:id="168967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plotArea>
      <c:layout>
        <c:manualLayout>
          <c:layoutTarget val="inner"/>
          <c:xMode val="edge"/>
          <c:yMode val="edge"/>
          <c:x val="6.9793927786054033E-2"/>
          <c:y val="9.1666666666667368E-2"/>
          <c:w val="0.90621550684542806"/>
          <c:h val="0.6527913385826839"/>
        </c:manualLayout>
      </c:layout>
      <c:barChart>
        <c:barDir val="col"/>
        <c:grouping val="clustered"/>
        <c:ser>
          <c:idx val="0"/>
          <c:order val="0"/>
          <c:tx>
            <c:strRef>
              <c:f>Sheet1!$B$1</c:f>
              <c:strCache>
                <c:ptCount val="1"/>
                <c:pt idx="0">
                  <c:v>الضفة الغربية</c:v>
                </c:pt>
              </c:strCache>
            </c:strRef>
          </c:tx>
          <c:dLbls>
            <c:dLbl>
              <c:idx val="2"/>
              <c:layout>
                <c:manualLayout>
                  <c:x val="4.0849673202614381E-3"/>
                  <c:y val="2.3923444976076555E-2"/>
                </c:manualLayout>
              </c:layout>
              <c:dLblPos val="outEnd"/>
              <c:showVal val="1"/>
            </c:dLbl>
            <c:dLbl>
              <c:idx val="3"/>
              <c:layout>
                <c:manualLayout>
                  <c:x val="0"/>
                  <c:y val="3.1897926634768772E-2"/>
                </c:manualLayout>
              </c:layout>
              <c:dLblPos val="outEnd"/>
              <c:showVal val="1"/>
            </c:dLbl>
            <c:txPr>
              <a:bodyPr/>
              <a:lstStyle/>
              <a:p>
                <a:pPr>
                  <a:defRPr sz="798" baseline="0"/>
                </a:pPr>
                <a:endParaRPr lang="ar-SA"/>
              </a:p>
            </c:txPr>
            <c:showVal val="1"/>
          </c:dLbls>
          <c:cat>
            <c:numRef>
              <c:f>Sheet1!$A$2:$A$6</c:f>
              <c:numCache>
                <c:formatCode>General</c:formatCode>
                <c:ptCount val="5"/>
                <c:pt idx="0">
                  <c:v>2015</c:v>
                </c:pt>
                <c:pt idx="1">
                  <c:v>2016</c:v>
                </c:pt>
                <c:pt idx="2">
                  <c:v>2017</c:v>
                </c:pt>
                <c:pt idx="3">
                  <c:v>2018</c:v>
                </c:pt>
                <c:pt idx="4">
                  <c:v>2019</c:v>
                </c:pt>
              </c:numCache>
            </c:numRef>
          </c:cat>
          <c:val>
            <c:numRef>
              <c:f>Sheet1!$B$2:$B$6</c:f>
              <c:numCache>
                <c:formatCode>0.0</c:formatCode>
                <c:ptCount val="5"/>
                <c:pt idx="0">
                  <c:v>77.794362981824563</c:v>
                </c:pt>
                <c:pt idx="1">
                  <c:v>81.898066783831283</c:v>
                </c:pt>
                <c:pt idx="2">
                  <c:v>84.323314878284506</c:v>
                </c:pt>
                <c:pt idx="3">
                  <c:v>92.945912830386803</c:v>
                </c:pt>
                <c:pt idx="4">
                  <c:v>101.69962315013879</c:v>
                </c:pt>
              </c:numCache>
            </c:numRef>
          </c:val>
        </c:ser>
        <c:ser>
          <c:idx val="1"/>
          <c:order val="1"/>
          <c:tx>
            <c:strRef>
              <c:f>Sheet1!$C$1</c:f>
              <c:strCache>
                <c:ptCount val="1"/>
                <c:pt idx="0">
                  <c:v>قطاع غزة</c:v>
                </c:pt>
              </c:strCache>
            </c:strRef>
          </c:tx>
          <c:dLbls>
            <c:txPr>
              <a:bodyPr/>
              <a:lstStyle/>
              <a:p>
                <a:pPr>
                  <a:defRPr sz="798" baseline="0"/>
                </a:pPr>
                <a:endParaRPr lang="ar-SA"/>
              </a:p>
            </c:txPr>
            <c:showVal val="1"/>
          </c:dLbls>
          <c:cat>
            <c:numRef>
              <c:f>Sheet1!$A$2:$A$6</c:f>
              <c:numCache>
                <c:formatCode>General</c:formatCode>
                <c:ptCount val="5"/>
                <c:pt idx="0">
                  <c:v>2015</c:v>
                </c:pt>
                <c:pt idx="1">
                  <c:v>2016</c:v>
                </c:pt>
                <c:pt idx="2">
                  <c:v>2017</c:v>
                </c:pt>
                <c:pt idx="3">
                  <c:v>2018</c:v>
                </c:pt>
                <c:pt idx="4">
                  <c:v>2019</c:v>
                </c:pt>
              </c:numCache>
            </c:numRef>
          </c:cat>
          <c:val>
            <c:numRef>
              <c:f>Sheet1!$C$2:$C$6</c:f>
              <c:numCache>
                <c:formatCode>0.0</c:formatCode>
                <c:ptCount val="5"/>
                <c:pt idx="0">
                  <c:v>48.585310088596756</c:v>
                </c:pt>
                <c:pt idx="1">
                  <c:v>46.402151983860115</c:v>
                </c:pt>
                <c:pt idx="2">
                  <c:v>43.651247600767725</c:v>
                </c:pt>
                <c:pt idx="3">
                  <c:v>44.645462503647472</c:v>
                </c:pt>
                <c:pt idx="4">
                  <c:v>42.690854958961211</c:v>
                </c:pt>
              </c:numCache>
            </c:numRef>
          </c:val>
        </c:ser>
        <c:dLbls>
          <c:showVal val="1"/>
        </c:dLbls>
        <c:overlap val="-25"/>
        <c:axId val="147491072"/>
        <c:axId val="151019520"/>
      </c:barChart>
      <c:catAx>
        <c:axId val="147491072"/>
        <c:scaling>
          <c:orientation val="minMax"/>
        </c:scaling>
        <c:axPos val="b"/>
        <c:numFmt formatCode="General" sourceLinked="1"/>
        <c:majorTickMark val="none"/>
        <c:tickLblPos val="nextTo"/>
        <c:txPr>
          <a:bodyPr/>
          <a:lstStyle/>
          <a:p>
            <a:pPr>
              <a:defRPr sz="798" baseline="0"/>
            </a:pPr>
            <a:endParaRPr lang="ar-SA"/>
          </a:p>
        </c:txPr>
        <c:crossAx val="151019520"/>
        <c:crosses val="autoZero"/>
        <c:auto val="1"/>
        <c:lblAlgn val="ctr"/>
        <c:lblOffset val="100"/>
      </c:catAx>
      <c:valAx>
        <c:axId val="151019520"/>
        <c:scaling>
          <c:orientation val="minMax"/>
        </c:scaling>
        <c:axPos val="l"/>
        <c:numFmt formatCode="0.0" sourceLinked="1"/>
        <c:tickLblPos val="nextTo"/>
        <c:txPr>
          <a:bodyPr/>
          <a:lstStyle/>
          <a:p>
            <a:pPr>
              <a:defRPr sz="798"/>
            </a:pPr>
            <a:endParaRPr lang="ar-SA"/>
          </a:p>
        </c:txPr>
        <c:crossAx val="147491072"/>
        <c:crosses val="autoZero"/>
        <c:crossBetween val="between"/>
      </c:valAx>
      <c:spPr>
        <a:noFill/>
        <a:ln w="25336">
          <a:noFill/>
        </a:ln>
      </c:spPr>
    </c:plotArea>
    <c:legend>
      <c:legendPos val="r"/>
      <c:layout>
        <c:manualLayout>
          <c:xMode val="edge"/>
          <c:yMode val="edge"/>
          <c:x val="0.26271186440677963"/>
          <c:y val="3.4482758620689655E-2"/>
          <c:w val="0.48305084745762722"/>
          <c:h val="0.15763546798029568"/>
        </c:manualLayout>
      </c:layout>
      <c:spPr>
        <a:ln w="12289"/>
      </c:spPr>
      <c:txPr>
        <a:bodyPr/>
        <a:lstStyle/>
        <a:p>
          <a:pPr>
            <a:defRPr sz="997" baseline="0"/>
          </a:pPr>
          <a:endParaRPr lang="ar-SA"/>
        </a:p>
      </c:txPr>
    </c:legend>
    <c:plotVisOnly val="1"/>
    <c:dispBlanksAs val="gap"/>
  </c:chart>
  <c:spPr>
    <a:ln w="12289" cap="flat">
      <a:solidFill>
        <a:srgbClr val="3B3B3B"/>
      </a:solidFill>
      <a:prstDash val="solid"/>
    </a:ln>
  </c:spPr>
  <c:txPr>
    <a:bodyPr/>
    <a:lstStyle/>
    <a:p>
      <a:pPr>
        <a:defRPr sz="1742"/>
      </a:pPr>
      <a:endParaRPr lang="ar-SA"/>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chart>
    <c:plotArea>
      <c:layout>
        <c:manualLayout>
          <c:layoutTarget val="inner"/>
          <c:xMode val="edge"/>
          <c:yMode val="edge"/>
          <c:x val="0.1288425041544364"/>
          <c:y val="6.3583815028901813E-2"/>
          <c:w val="0.85444439267578176"/>
          <c:h val="0.7240491659853997"/>
        </c:manualLayout>
      </c:layout>
      <c:lineChart>
        <c:grouping val="standard"/>
        <c:ser>
          <c:idx val="1"/>
          <c:order val="0"/>
          <c:tx>
            <c:strRef>
              <c:f>Sheet1!$A$2</c:f>
              <c:strCache>
                <c:ptCount val="1"/>
                <c:pt idx="0">
                  <c:v>الضفة الغربية</c:v>
                </c:pt>
              </c:strCache>
            </c:strRef>
          </c:tx>
          <c:spPr>
            <a:ln w="10116">
              <a:solidFill>
                <a:srgbClr val="0000FF"/>
              </a:solidFill>
              <a:prstDash val="solid"/>
            </a:ln>
          </c:spPr>
          <c:marker>
            <c:symbol val="square"/>
            <c:size val="2"/>
            <c:spPr>
              <a:solidFill>
                <a:srgbClr val="99CCFF"/>
              </a:solidFill>
              <a:ln>
                <a:solidFill>
                  <a:srgbClr val="00CCFF"/>
                </a:solidFill>
                <a:prstDash val="solid"/>
              </a:ln>
            </c:spPr>
          </c:marker>
          <c:dLbls>
            <c:dLbl>
              <c:idx val="0"/>
              <c:layout>
                <c:manualLayout>
                  <c:x val="-2.1872265966754175E-2"/>
                  <c:y val="-6.0331825037707405E-2"/>
                </c:manualLayout>
              </c:layout>
              <c:spPr/>
              <c:txPr>
                <a:bodyPr/>
                <a:lstStyle/>
                <a:p>
                  <a:pPr>
                    <a:defRPr/>
                  </a:pPr>
                  <a:endParaRPr lang="ar-SA"/>
                </a:p>
              </c:txPr>
              <c:dLblPos val="r"/>
              <c:showVal val="1"/>
            </c:dLbl>
            <c:dLbl>
              <c:idx val="1"/>
              <c:layout>
                <c:manualLayout>
                  <c:x val="-3.4995625546806651E-2"/>
                  <c:y val="-5.279034690799405E-2"/>
                </c:manualLayout>
              </c:layout>
              <c:spPr/>
              <c:txPr>
                <a:bodyPr/>
                <a:lstStyle/>
                <a:p>
                  <a:pPr>
                    <a:defRPr/>
                  </a:pPr>
                  <a:endParaRPr lang="ar-SA"/>
                </a:p>
              </c:txPr>
              <c:dLblPos val="r"/>
              <c:showVal val="1"/>
            </c:dLbl>
            <c:dLbl>
              <c:idx val="2"/>
              <c:layout>
                <c:manualLayout>
                  <c:x val="-3.0621172353455826E-2"/>
                  <c:y val="-6.0331825037707475E-2"/>
                </c:manualLayout>
              </c:layout>
              <c:spPr/>
              <c:txPr>
                <a:bodyPr/>
                <a:lstStyle/>
                <a:p>
                  <a:pPr>
                    <a:defRPr/>
                  </a:pPr>
                  <a:endParaRPr lang="ar-SA"/>
                </a:p>
              </c:txPr>
              <c:dLblPos val="r"/>
              <c:showVal val="1"/>
            </c:dLbl>
            <c:dLbl>
              <c:idx val="3"/>
              <c:layout>
                <c:manualLayout>
                  <c:x val="-2.6246719160105E-2"/>
                  <c:y val="-5.2790346907993918E-2"/>
                </c:manualLayout>
              </c:layout>
              <c:spPr/>
              <c:txPr>
                <a:bodyPr/>
                <a:lstStyle/>
                <a:p>
                  <a:pPr>
                    <a:defRPr/>
                  </a:pPr>
                  <a:endParaRPr lang="ar-SA"/>
                </a:p>
              </c:txPr>
              <c:dLblPos val="r"/>
              <c:showVal val="1"/>
            </c:dLbl>
            <c:showVal val="1"/>
          </c:dLbls>
          <c:cat>
            <c:numRef>
              <c:f>Sheet1!$B$1:$F$1</c:f>
              <c:numCache>
                <c:formatCode>General</c:formatCode>
                <c:ptCount val="5"/>
                <c:pt idx="0">
                  <c:v>2015</c:v>
                </c:pt>
                <c:pt idx="1">
                  <c:v>2016</c:v>
                </c:pt>
                <c:pt idx="2">
                  <c:v>2017</c:v>
                </c:pt>
                <c:pt idx="3">
                  <c:v>2018</c:v>
                </c:pt>
                <c:pt idx="4">
                  <c:v>2019</c:v>
                </c:pt>
              </c:numCache>
            </c:numRef>
          </c:cat>
          <c:val>
            <c:numRef>
              <c:f>Sheet1!$B$2:$F$2</c:f>
              <c:numCache>
                <c:formatCode>0.0</c:formatCode>
                <c:ptCount val="5"/>
                <c:pt idx="0">
                  <c:v>22.9</c:v>
                </c:pt>
                <c:pt idx="1">
                  <c:v>19.3</c:v>
                </c:pt>
                <c:pt idx="2">
                  <c:v>17.899999999999999</c:v>
                </c:pt>
                <c:pt idx="3">
                  <c:v>13.1</c:v>
                </c:pt>
                <c:pt idx="4">
                  <c:v>9.5</c:v>
                </c:pt>
              </c:numCache>
            </c:numRef>
          </c:val>
        </c:ser>
        <c:ser>
          <c:idx val="2"/>
          <c:order val="1"/>
          <c:tx>
            <c:strRef>
              <c:f>Sheet1!$A$3</c:f>
              <c:strCache>
                <c:ptCount val="1"/>
                <c:pt idx="0">
                  <c:v>قطاع غزة</c:v>
                </c:pt>
              </c:strCache>
            </c:strRef>
          </c:tx>
          <c:spPr>
            <a:ln w="10116">
              <a:solidFill>
                <a:srgbClr val="FF0000"/>
              </a:solidFill>
              <a:prstDash val="solid"/>
            </a:ln>
          </c:spPr>
          <c:marker>
            <c:symbol val="triangle"/>
            <c:size val="2"/>
            <c:spPr>
              <a:solidFill>
                <a:srgbClr val="FF99CC"/>
              </a:solidFill>
              <a:ln>
                <a:solidFill>
                  <a:srgbClr val="FF00FF"/>
                </a:solidFill>
                <a:prstDash val="solid"/>
              </a:ln>
            </c:spPr>
          </c:marker>
          <c:dLbls>
            <c:dLbl>
              <c:idx val="0"/>
              <c:layout>
                <c:manualLayout>
                  <c:x val="-3.937007874015748E-2"/>
                  <c:y val="6.7873303167420809E-2"/>
                </c:manualLayout>
              </c:layout>
              <c:spPr/>
              <c:txPr>
                <a:bodyPr/>
                <a:lstStyle/>
                <a:p>
                  <a:pPr>
                    <a:defRPr/>
                  </a:pPr>
                  <a:endParaRPr lang="ar-SA"/>
                </a:p>
              </c:txPr>
              <c:dLblPos val="r"/>
              <c:showVal val="1"/>
            </c:dLbl>
            <c:dLbl>
              <c:idx val="1"/>
              <c:layout>
                <c:manualLayout>
                  <c:x val="-3.4995625546806651E-2"/>
                  <c:y val="6.7873303167420809E-2"/>
                </c:manualLayout>
              </c:layout>
              <c:spPr/>
              <c:txPr>
                <a:bodyPr/>
                <a:lstStyle/>
                <a:p>
                  <a:pPr>
                    <a:defRPr/>
                  </a:pPr>
                  <a:endParaRPr lang="ar-SA"/>
                </a:p>
              </c:txPr>
              <c:dLblPos val="r"/>
              <c:showVal val="1"/>
            </c:dLbl>
            <c:dLbl>
              <c:idx val="2"/>
              <c:layout>
                <c:manualLayout>
                  <c:x val="-3.0621172353455826E-2"/>
                  <c:y val="7.5414781297134276E-2"/>
                </c:manualLayout>
              </c:layout>
              <c:spPr/>
              <c:txPr>
                <a:bodyPr/>
                <a:lstStyle/>
                <a:p>
                  <a:pPr>
                    <a:defRPr/>
                  </a:pPr>
                  <a:endParaRPr lang="ar-SA"/>
                </a:p>
              </c:txPr>
              <c:dLblPos val="r"/>
              <c:showVal val="1"/>
            </c:dLbl>
            <c:dLbl>
              <c:idx val="3"/>
              <c:layout>
                <c:manualLayout>
                  <c:x val="-1.7497812773403322E-2"/>
                  <c:y val="6.0331825037707405E-2"/>
                </c:manualLayout>
              </c:layout>
              <c:spPr/>
              <c:txPr>
                <a:bodyPr/>
                <a:lstStyle/>
                <a:p>
                  <a:pPr>
                    <a:defRPr/>
                  </a:pPr>
                  <a:endParaRPr lang="ar-SA"/>
                </a:p>
              </c:txPr>
              <c:dLblPos val="r"/>
              <c:showVal val="1"/>
            </c:dLbl>
            <c:showVal val="1"/>
          </c:dLbls>
          <c:cat>
            <c:numRef>
              <c:f>Sheet1!$B$1:$F$1</c:f>
              <c:numCache>
                <c:formatCode>General</c:formatCode>
                <c:ptCount val="5"/>
                <c:pt idx="0">
                  <c:v>2015</c:v>
                </c:pt>
                <c:pt idx="1">
                  <c:v>2016</c:v>
                </c:pt>
                <c:pt idx="2">
                  <c:v>2017</c:v>
                </c:pt>
                <c:pt idx="3">
                  <c:v>2018</c:v>
                </c:pt>
                <c:pt idx="4">
                  <c:v>2019</c:v>
                </c:pt>
              </c:numCache>
            </c:numRef>
          </c:cat>
          <c:val>
            <c:numRef>
              <c:f>Sheet1!$B$3:$F$3</c:f>
              <c:numCache>
                <c:formatCode>0.0</c:formatCode>
                <c:ptCount val="5"/>
                <c:pt idx="0">
                  <c:v>73.400000000000006</c:v>
                </c:pt>
                <c:pt idx="1">
                  <c:v>76.5</c:v>
                </c:pt>
                <c:pt idx="2">
                  <c:v>80.5</c:v>
                </c:pt>
                <c:pt idx="3">
                  <c:v>79.599999999999994</c:v>
                </c:pt>
                <c:pt idx="4">
                  <c:v>80.400000000000006</c:v>
                </c:pt>
              </c:numCache>
            </c:numRef>
          </c:val>
        </c:ser>
        <c:dLbls>
          <c:showVal val="1"/>
        </c:dLbls>
        <c:marker val="1"/>
        <c:axId val="126177280"/>
        <c:axId val="126179200"/>
      </c:lineChart>
      <c:catAx>
        <c:axId val="126177280"/>
        <c:scaling>
          <c:orientation val="minMax"/>
        </c:scaling>
        <c:axPos val="b"/>
        <c:title>
          <c:tx>
            <c:rich>
              <a:bodyPr/>
              <a:lstStyle/>
              <a:p>
                <a:pPr>
                  <a:defRPr sz="796" b="1" i="0" u="none" strike="noStrike" baseline="0">
                    <a:solidFill>
                      <a:srgbClr val="000000"/>
                    </a:solidFill>
                    <a:latin typeface="Arial"/>
                    <a:ea typeface="Arial"/>
                    <a:cs typeface="Arial"/>
                  </a:defRPr>
                </a:pPr>
                <a:r>
                  <a:t>         
 السنة</a:t>
                </a:r>
              </a:p>
            </c:rich>
          </c:tx>
          <c:layout>
            <c:manualLayout>
              <c:xMode val="edge"/>
              <c:yMode val="edge"/>
              <c:x val="0.51350888953249352"/>
              <c:y val="0.8048043903674994"/>
            </c:manualLayout>
          </c:layout>
          <c:spPr>
            <a:noFill/>
            <a:ln w="20230">
              <a:noFill/>
            </a:ln>
          </c:spPr>
        </c:title>
        <c:numFmt formatCode="General" sourceLinked="1"/>
        <c:tickLblPos val="nextTo"/>
        <c:spPr>
          <a:ln w="2529">
            <a:solidFill>
              <a:srgbClr val="000000"/>
            </a:solidFill>
            <a:prstDash val="solid"/>
          </a:ln>
        </c:spPr>
        <c:txPr>
          <a:bodyPr rot="0" vert="horz"/>
          <a:lstStyle/>
          <a:p>
            <a:pPr>
              <a:defRPr sz="635" b="0" i="0" u="none" strike="noStrike" baseline="0">
                <a:solidFill>
                  <a:srgbClr val="000000"/>
                </a:solidFill>
                <a:latin typeface="Arial"/>
                <a:ea typeface="Arial"/>
                <a:cs typeface="Arial"/>
              </a:defRPr>
            </a:pPr>
            <a:endParaRPr lang="ar-SA"/>
          </a:p>
        </c:txPr>
        <c:crossAx val="126179200"/>
        <c:crosses val="autoZero"/>
        <c:auto val="1"/>
        <c:lblAlgn val="ctr"/>
        <c:lblOffset val="100"/>
        <c:tickLblSkip val="1"/>
        <c:tickMarkSkip val="1"/>
      </c:catAx>
      <c:valAx>
        <c:axId val="126179200"/>
        <c:scaling>
          <c:orientation val="minMax"/>
          <c:max val="83"/>
          <c:min val="0"/>
        </c:scaling>
        <c:axPos val="l"/>
        <c:title>
          <c:tx>
            <c:rich>
              <a:bodyPr/>
              <a:lstStyle/>
              <a:p>
                <a:pPr>
                  <a:defRPr sz="796" b="1" i="0" u="none" strike="noStrike" baseline="0">
                    <a:solidFill>
                      <a:srgbClr val="000000"/>
                    </a:solidFill>
                    <a:latin typeface="Arial"/>
                    <a:ea typeface="Arial"/>
                    <a:cs typeface="Arial"/>
                  </a:defRPr>
                </a:pPr>
                <a:r>
                  <a:t>    النسبة</a:t>
                </a:r>
              </a:p>
            </c:rich>
          </c:tx>
          <c:layout>
            <c:manualLayout>
              <c:xMode val="edge"/>
              <c:yMode val="edge"/>
              <c:x val="1.8679462984416461E-3"/>
              <c:y val="0.3794600451759329"/>
            </c:manualLayout>
          </c:layout>
          <c:spPr>
            <a:noFill/>
            <a:ln w="20230">
              <a:noFill/>
            </a:ln>
          </c:spPr>
        </c:title>
        <c:numFmt formatCode="0" sourceLinked="0"/>
        <c:tickLblPos val="nextTo"/>
        <c:spPr>
          <a:ln w="2529">
            <a:solidFill>
              <a:srgbClr val="000000"/>
            </a:solidFill>
            <a:prstDash val="solid"/>
          </a:ln>
        </c:spPr>
        <c:txPr>
          <a:bodyPr rot="0" vert="horz"/>
          <a:lstStyle/>
          <a:p>
            <a:pPr>
              <a:defRPr sz="635" b="0" i="0" u="none" strike="noStrike" baseline="0">
                <a:solidFill>
                  <a:srgbClr val="000000"/>
                </a:solidFill>
                <a:latin typeface="Arial"/>
                <a:ea typeface="Arial"/>
                <a:cs typeface="Arial"/>
              </a:defRPr>
            </a:pPr>
            <a:endParaRPr lang="ar-SA"/>
          </a:p>
        </c:txPr>
        <c:crossAx val="126177280"/>
        <c:crosses val="autoZero"/>
        <c:crossBetween val="between"/>
      </c:valAx>
      <c:spPr>
        <a:noFill/>
        <a:ln w="22109">
          <a:noFill/>
        </a:ln>
      </c:spPr>
    </c:plotArea>
    <c:legend>
      <c:legendPos val="r"/>
      <c:layout>
        <c:manualLayout>
          <c:xMode val="edge"/>
          <c:yMode val="edge"/>
          <c:x val="0.26038781163434926"/>
          <c:y val="0.24489795918367346"/>
          <c:w val="0.55678670360110805"/>
          <c:h val="0.11224489795918367"/>
        </c:manualLayout>
      </c:layout>
      <c:spPr>
        <a:noFill/>
        <a:ln w="20230">
          <a:noFill/>
        </a:ln>
      </c:spPr>
      <c:txPr>
        <a:bodyPr/>
        <a:lstStyle/>
        <a:p>
          <a:pPr>
            <a:defRPr sz="796" b="0" i="0" u="none" strike="noStrike" baseline="0">
              <a:solidFill>
                <a:srgbClr val="000000"/>
              </a:solidFill>
              <a:latin typeface="Arial"/>
              <a:ea typeface="Arial"/>
              <a:cs typeface="Arial"/>
            </a:defRPr>
          </a:pPr>
          <a:endParaRPr lang="ar-SA"/>
        </a:p>
      </c:txPr>
    </c:legend>
    <c:plotVisOnly val="1"/>
    <c:dispBlanksAs val="gap"/>
  </c:chart>
  <c:spPr>
    <a:solidFill>
      <a:srgbClr val="FFFFFF"/>
    </a:solidFill>
    <a:ln>
      <a:noFill/>
    </a:ln>
  </c:spPr>
  <c:txPr>
    <a:bodyPr/>
    <a:lstStyle/>
    <a:p>
      <a:pPr>
        <a:defRPr sz="635" b="0" i="0" u="none" strike="noStrike" baseline="0">
          <a:solidFill>
            <a:srgbClr val="000000"/>
          </a:solidFill>
          <a:latin typeface="Arial"/>
          <a:ea typeface="Arial"/>
          <a:cs typeface="Arial"/>
        </a:defRPr>
      </a:pPr>
      <a:endParaRPr lang="ar-SA"/>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0.50675</cdr:x>
      <cdr:y>0.35825</cdr:y>
    </cdr:from>
    <cdr:to>
      <cdr:x>0.52325</cdr:x>
      <cdr:y>0.48075</cdr:y>
    </cdr:to>
    <cdr:sp macro="" textlink="">
      <cdr:nvSpPr>
        <cdr:cNvPr id="1025" name="Text Box 1"/>
        <cdr:cNvSpPr txBox="1">
          <a:spLocks xmlns:a="http://schemas.openxmlformats.org/drawingml/2006/main" noChangeArrowheads="1"/>
        </cdr:cNvSpPr>
      </cdr:nvSpPr>
      <cdr:spPr bwMode="auto">
        <a:xfrm xmlns:a="http://schemas.openxmlformats.org/drawingml/2006/main">
          <a:off x="1756755" y="732870"/>
          <a:ext cx="57276" cy="180849"/>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ar-SA"/>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يوم المرأة العالمي، 2010</vt:lpstr>
    </vt:vector>
  </TitlesOfParts>
  <Company>Hewlett-Packard Company</Company>
  <LinksUpToDate>false</LinksUpToDate>
  <CharactersWithSpaces>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يوم المرأة العالمي، 2010</dc:title>
  <dc:creator>saadi</dc:creator>
  <cp:lastModifiedBy>adwikat</cp:lastModifiedBy>
  <cp:revision>2</cp:revision>
  <cp:lastPrinted>2020-04-27T20:30:00Z</cp:lastPrinted>
  <dcterms:created xsi:type="dcterms:W3CDTF">2020-04-30T08:24:00Z</dcterms:created>
  <dcterms:modified xsi:type="dcterms:W3CDTF">2020-04-30T08:24:00Z</dcterms:modified>
</cp:coreProperties>
</file>