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C25" w:rsidRPr="00B83C25" w:rsidRDefault="00B83C25" w:rsidP="00B83C25">
      <w:pPr>
        <w:pStyle w:val="Heading3"/>
        <w:rPr>
          <w:sz w:val="32"/>
          <w:szCs w:val="32"/>
          <w:rtl/>
        </w:rPr>
      </w:pPr>
      <w:r w:rsidRPr="00B83C25">
        <w:rPr>
          <w:sz w:val="32"/>
          <w:szCs w:val="32"/>
          <w:rtl/>
        </w:rPr>
        <w:t xml:space="preserve">الإحصاء الفلسطيني يعلن </w:t>
      </w:r>
      <w:r w:rsidRPr="00B83C25">
        <w:rPr>
          <w:rFonts w:hint="cs"/>
          <w:sz w:val="32"/>
          <w:szCs w:val="32"/>
          <w:rtl/>
        </w:rPr>
        <w:t>النتائج الأساسية</w:t>
      </w:r>
      <w:r w:rsidRPr="00B83C25">
        <w:rPr>
          <w:rStyle w:val="FootnoteReference"/>
          <w:sz w:val="32"/>
          <w:szCs w:val="32"/>
          <w:rtl/>
        </w:rPr>
        <w:footnoteReference w:id="1"/>
      </w:r>
      <w:r w:rsidRPr="00B83C25">
        <w:rPr>
          <w:rFonts w:hint="cs"/>
          <w:sz w:val="32"/>
          <w:szCs w:val="32"/>
          <w:rtl/>
        </w:rPr>
        <w:t xml:space="preserve"> </w:t>
      </w:r>
      <w:r w:rsidRPr="00B83C25">
        <w:rPr>
          <w:sz w:val="32"/>
          <w:szCs w:val="32"/>
          <w:rtl/>
        </w:rPr>
        <w:t xml:space="preserve">للحسابات القومية الربعية للربع </w:t>
      </w:r>
      <w:r>
        <w:rPr>
          <w:rFonts w:hint="cs"/>
          <w:sz w:val="32"/>
          <w:szCs w:val="32"/>
          <w:rtl/>
        </w:rPr>
        <w:t>الثاني</w:t>
      </w:r>
      <w:r w:rsidRPr="00B83C25">
        <w:rPr>
          <w:sz w:val="32"/>
          <w:szCs w:val="32"/>
          <w:rtl/>
        </w:rPr>
        <w:t xml:space="preserve"> 2021    </w:t>
      </w:r>
    </w:p>
    <w:p w:rsidR="00A01117" w:rsidRPr="002254FA" w:rsidRDefault="00A01117" w:rsidP="00A01117">
      <w:pPr>
        <w:spacing w:line="120" w:lineRule="auto"/>
        <w:rPr>
          <w:rtl/>
          <w:lang w:eastAsia="en-US"/>
        </w:rPr>
      </w:pPr>
    </w:p>
    <w:p w:rsidR="00B83C25" w:rsidRDefault="00A01117" w:rsidP="00A01117">
      <w:pPr>
        <w:pStyle w:val="BodyText"/>
        <w:jc w:val="center"/>
        <w:rPr>
          <w:b/>
          <w:bCs/>
          <w:szCs w:val="28"/>
          <w:rtl/>
        </w:rPr>
      </w:pPr>
      <w:r w:rsidRPr="00B83C25">
        <w:rPr>
          <w:rFonts w:hint="cs"/>
          <w:b/>
          <w:bCs/>
          <w:szCs w:val="28"/>
          <w:rtl/>
        </w:rPr>
        <w:t xml:space="preserve">ارتفاع الناتج المحلي الإجمالي بالأسعار الثابتة بنسبة 4% في فلسطين خلال الربع الثاني 2021 </w:t>
      </w:r>
    </w:p>
    <w:p w:rsidR="00A01117" w:rsidRPr="00B83C25" w:rsidRDefault="00A01117" w:rsidP="00A01117">
      <w:pPr>
        <w:pStyle w:val="BodyText"/>
        <w:jc w:val="center"/>
        <w:rPr>
          <w:b/>
          <w:bCs/>
          <w:sz w:val="24"/>
          <w:szCs w:val="24"/>
          <w:rtl/>
        </w:rPr>
      </w:pPr>
      <w:r w:rsidRPr="00B83C25">
        <w:rPr>
          <w:rFonts w:hint="cs"/>
          <w:b/>
          <w:bCs/>
          <w:szCs w:val="28"/>
          <w:rtl/>
        </w:rPr>
        <w:t>مقارنة مع الربع الأول 2021</w:t>
      </w:r>
    </w:p>
    <w:p w:rsidR="00A01117" w:rsidRPr="002254FA" w:rsidRDefault="00A01117" w:rsidP="00A01117">
      <w:pPr>
        <w:jc w:val="both"/>
        <w:rPr>
          <w:rFonts w:ascii="Simplified Arabic" w:hAnsi="Simplified Arabic"/>
          <w:b/>
          <w:bCs/>
          <w:rtl/>
        </w:rPr>
      </w:pPr>
    </w:p>
    <w:p w:rsidR="00A01117" w:rsidRPr="00B83C25" w:rsidRDefault="00A01117" w:rsidP="00A01117">
      <w:pPr>
        <w:pStyle w:val="BodyText"/>
        <w:jc w:val="both"/>
        <w:rPr>
          <w:rFonts w:ascii="Simplified Arabic" w:hAnsi="Simplified Arabic"/>
          <w:sz w:val="26"/>
          <w:szCs w:val="26"/>
          <w:rtl/>
        </w:rPr>
      </w:pPr>
      <w:r w:rsidRPr="00B83C25">
        <w:rPr>
          <w:rFonts w:ascii="Simplified Arabic" w:hAnsi="Simplified Arabic"/>
          <w:sz w:val="26"/>
          <w:szCs w:val="26"/>
          <w:rtl/>
        </w:rPr>
        <w:t xml:space="preserve">تشير التقديرات الأولية بالأسعار الثابتة إلى ارتفاع الناتج المحلي الإجمالي لفلسطين بنسبة 4% خلال الربع الثاني من عام 2021 مقارنة مع الربع الأول 2021 بالأسعار الثابتة، حيث بلغت أعلى نسبة ارتفاع لنشاط النقل والتخزين بواقع 10%، تلاها نشاط تجارة الجملة والتجزئة واصلاح المركبات والدراجات النارية بنسبة 5%، ثم نشاط (الخدمات، الزراعة والحراجة وصيد الأسماك بنسبة 2%)، ثم (الأنشطة المالية وأنشطة التأمين، الإدارة العامة والدفاع بنسبة 1%). </w:t>
      </w:r>
    </w:p>
    <w:p w:rsidR="00A01117" w:rsidRPr="00B83C25" w:rsidRDefault="00A01117" w:rsidP="00A01117">
      <w:pPr>
        <w:pStyle w:val="BodyText"/>
        <w:jc w:val="both"/>
        <w:rPr>
          <w:rFonts w:ascii="Simplified Arabic" w:hAnsi="Simplified Arabic"/>
          <w:sz w:val="16"/>
          <w:szCs w:val="16"/>
          <w:rtl/>
        </w:rPr>
      </w:pPr>
    </w:p>
    <w:p w:rsidR="00A01117" w:rsidRPr="00B83C25" w:rsidRDefault="00A01117" w:rsidP="00A01117">
      <w:pPr>
        <w:pStyle w:val="BodyText"/>
        <w:jc w:val="both"/>
        <w:rPr>
          <w:rFonts w:ascii="Simplified Arabic" w:hAnsi="Simplified Arabic"/>
          <w:sz w:val="26"/>
          <w:szCs w:val="26"/>
          <w:rtl/>
        </w:rPr>
      </w:pPr>
      <w:r w:rsidRPr="00B83C25">
        <w:rPr>
          <w:rFonts w:ascii="Simplified Arabic" w:hAnsi="Simplified Arabic"/>
          <w:sz w:val="26"/>
          <w:szCs w:val="26"/>
          <w:rtl/>
        </w:rPr>
        <w:t xml:space="preserve">في المقابل ظهر ارتفاعاً في الناتج المحلي الاجمالي خلال الربع الثاني من عام 2021 بنسبة 19% بالمقارنة مع الربع المناظر 2020 والتي تستثني أثر الموسمية، علماً أن سنة الأساس 2015.  حيث بلغت قيمة الناتج المحلي الإجمالي خلال الربع الثاني من العام 2021 بالأسعار الثابتة في الضفة الغربية </w:t>
      </w:r>
      <w:r w:rsidRPr="00B83C25">
        <w:rPr>
          <w:rFonts w:ascii="Simplified Arabic" w:hAnsi="Simplified Arabic"/>
          <w:sz w:val="26"/>
          <w:szCs w:val="26"/>
        </w:rPr>
        <w:t>3,103</w:t>
      </w:r>
      <w:r w:rsidRPr="00B83C25">
        <w:rPr>
          <w:rFonts w:ascii="Simplified Arabic" w:hAnsi="Simplified Arabic"/>
          <w:sz w:val="26"/>
          <w:szCs w:val="26"/>
          <w:rtl/>
        </w:rPr>
        <w:t xml:space="preserve"> مليون دولار أمريكي، وفي قطاع غزة 631 مليون دولار أمريكي. </w:t>
      </w:r>
    </w:p>
    <w:p w:rsidR="00A01117" w:rsidRPr="00B83C25" w:rsidRDefault="00A01117" w:rsidP="00A01117">
      <w:pPr>
        <w:pStyle w:val="BodyText"/>
        <w:jc w:val="both"/>
        <w:rPr>
          <w:rFonts w:ascii="Simplified Arabic" w:hAnsi="Simplified Arabic"/>
          <w:sz w:val="16"/>
          <w:szCs w:val="16"/>
          <w:rtl/>
        </w:rPr>
      </w:pPr>
    </w:p>
    <w:p w:rsidR="00A01117" w:rsidRPr="00B83C25" w:rsidRDefault="00A01117" w:rsidP="00A01117">
      <w:pPr>
        <w:pStyle w:val="BodyText"/>
        <w:jc w:val="both"/>
        <w:rPr>
          <w:rFonts w:ascii="Simplified Arabic" w:hAnsi="Simplified Arabic"/>
          <w:b/>
          <w:bCs/>
          <w:sz w:val="26"/>
          <w:szCs w:val="26"/>
          <w:rtl/>
        </w:rPr>
      </w:pPr>
      <w:r w:rsidRPr="00B83C25">
        <w:rPr>
          <w:rFonts w:ascii="Simplified Arabic" w:hAnsi="Simplified Arabic"/>
          <w:b/>
          <w:bCs/>
          <w:sz w:val="26"/>
          <w:szCs w:val="26"/>
          <w:rtl/>
        </w:rPr>
        <w:t xml:space="preserve">ارتفاع في نصيب الفرد من الناتج المحلي الإجمالي </w:t>
      </w:r>
    </w:p>
    <w:p w:rsidR="00A01117" w:rsidRPr="00B83C25" w:rsidRDefault="00A01117" w:rsidP="00A01117">
      <w:pPr>
        <w:pStyle w:val="BodyText"/>
        <w:jc w:val="both"/>
        <w:rPr>
          <w:rFonts w:ascii="Simplified Arabic" w:hAnsi="Simplified Arabic"/>
          <w:sz w:val="26"/>
          <w:szCs w:val="26"/>
          <w:rtl/>
        </w:rPr>
      </w:pPr>
      <w:r w:rsidRPr="00B83C25">
        <w:rPr>
          <w:rFonts w:ascii="Simplified Arabic" w:hAnsi="Simplified Arabic"/>
          <w:sz w:val="26"/>
          <w:szCs w:val="26"/>
          <w:rtl/>
        </w:rPr>
        <w:t xml:space="preserve">بلغ نصيب الفرد من الناتج المحلي الإجمالي في فلسطين بالأسعار الثابتة 759 دولار أمريكي خلال الربع الثاني من العام 2021 مسجلاً ارتفاعاً بنسبة 3% بالمقارنة مع الربع الأول 2021، حيث بلغ نصيب الفرد من الناتج المحلي الإجمالي في الضفة الغربية بالأسعار الثابتة </w:t>
      </w:r>
      <w:r w:rsidRPr="00B83C25">
        <w:rPr>
          <w:rFonts w:ascii="Simplified Arabic" w:hAnsi="Simplified Arabic"/>
          <w:sz w:val="26"/>
          <w:szCs w:val="26"/>
        </w:rPr>
        <w:t>1,100</w:t>
      </w:r>
      <w:r w:rsidRPr="00B83C25">
        <w:rPr>
          <w:rFonts w:ascii="Simplified Arabic" w:hAnsi="Simplified Arabic"/>
          <w:sz w:val="26"/>
          <w:szCs w:val="26"/>
          <w:rtl/>
        </w:rPr>
        <w:t xml:space="preserve"> دولار أمريكي خلال الربع الثاني من عام 2021، بنسبة ارتفاع بلغت 4% مقارنة مع الربع الأول 2021، أما في قطاع غزة فقد بلغ نصيب الفرد من الناتج المحلي الإجمالي 301 دولار أمريكي خلال الربع الثاني من عام 2021، مسجلاً انخفاضاً بنسبة 1% مقارنة مع الربع الأول 2021.</w:t>
      </w:r>
    </w:p>
    <w:p w:rsidR="00A01117" w:rsidRPr="00B83C25" w:rsidRDefault="00A01117" w:rsidP="00A01117">
      <w:pPr>
        <w:pStyle w:val="BodyText"/>
        <w:jc w:val="both"/>
        <w:rPr>
          <w:rFonts w:ascii="Simplified Arabic" w:hAnsi="Simplified Arabic"/>
          <w:sz w:val="16"/>
          <w:szCs w:val="16"/>
        </w:rPr>
      </w:pPr>
    </w:p>
    <w:p w:rsidR="00A01117" w:rsidRPr="00B83C25" w:rsidRDefault="00A01117" w:rsidP="00A01117">
      <w:pPr>
        <w:pStyle w:val="BodyText"/>
        <w:jc w:val="center"/>
        <w:rPr>
          <w:rFonts w:ascii="Simplified Arabic" w:hAnsi="Simplified Arabic"/>
          <w:b/>
          <w:bCs/>
          <w:sz w:val="26"/>
          <w:szCs w:val="26"/>
          <w:rtl/>
        </w:rPr>
      </w:pPr>
      <w:r w:rsidRPr="00B83C25">
        <w:rPr>
          <w:rFonts w:ascii="Simplified Arabic" w:hAnsi="Simplified Arabic"/>
          <w:b/>
          <w:bCs/>
          <w:sz w:val="26"/>
          <w:szCs w:val="26"/>
          <w:rtl/>
        </w:rPr>
        <w:t>الاتجاه العام للناتج المحلي الإجمالي حسب الربع في فلسطين بالأسعار الثابتة، 2017-2021</w:t>
      </w:r>
    </w:p>
    <w:tbl>
      <w:tblPr>
        <w:tblStyle w:val="TableGrid"/>
        <w:bidiVisual/>
        <w:tblW w:w="0" w:type="auto"/>
        <w:jc w:val="center"/>
        <w:tblLook w:val="04A0" w:firstRow="1" w:lastRow="0" w:firstColumn="1" w:lastColumn="0" w:noHBand="0" w:noVBand="1"/>
      </w:tblPr>
      <w:tblGrid>
        <w:gridCol w:w="9136"/>
      </w:tblGrid>
      <w:tr w:rsidR="00A01117" w:rsidRPr="002254FA" w:rsidTr="00B83C25">
        <w:trPr>
          <w:trHeight w:val="3880"/>
          <w:jc w:val="center"/>
        </w:trPr>
        <w:tc>
          <w:tcPr>
            <w:tcW w:w="9136" w:type="dxa"/>
          </w:tcPr>
          <w:p w:rsidR="00A01117" w:rsidRPr="002254FA" w:rsidRDefault="00A01117" w:rsidP="00813183">
            <w:pPr>
              <w:pStyle w:val="BodyText"/>
              <w:jc w:val="center"/>
              <w:rPr>
                <w:b/>
                <w:bCs/>
                <w:sz w:val="22"/>
                <w:szCs w:val="22"/>
                <w:rtl/>
              </w:rPr>
            </w:pPr>
            <w:r w:rsidRPr="002254FA">
              <w:rPr>
                <w:rFonts w:hint="cs"/>
                <w:b/>
                <w:bCs/>
                <w:noProof/>
                <w:sz w:val="22"/>
                <w:szCs w:val="22"/>
                <w:rtl/>
              </w:rPr>
              <w:drawing>
                <wp:inline distT="0" distB="0" distL="0" distR="0" wp14:anchorId="7C9922DF" wp14:editId="19DBB27C">
                  <wp:extent cx="5482590" cy="2257425"/>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A01117" w:rsidRPr="00B83C25" w:rsidRDefault="00A01117" w:rsidP="00A01117">
      <w:pPr>
        <w:rPr>
          <w:sz w:val="16"/>
          <w:szCs w:val="16"/>
          <w:rtl/>
        </w:rPr>
      </w:pPr>
    </w:p>
    <w:p w:rsidR="00A01117" w:rsidRPr="002254FA" w:rsidRDefault="00A01117" w:rsidP="00A01117">
      <w:pPr>
        <w:pStyle w:val="BodyText"/>
        <w:spacing w:line="240" w:lineRule="exact"/>
        <w:ind w:right="720"/>
        <w:jc w:val="lowKashida"/>
        <w:rPr>
          <w:sz w:val="24"/>
          <w:szCs w:val="24"/>
          <w:rtl/>
        </w:rPr>
      </w:pPr>
    </w:p>
    <w:p w:rsidR="00757678" w:rsidRPr="00A01117" w:rsidRDefault="00757678" w:rsidP="00A01117">
      <w:pPr>
        <w:rPr>
          <w:rtl/>
        </w:rPr>
      </w:pPr>
      <w:bookmarkStart w:id="0" w:name="_GoBack"/>
      <w:bookmarkEnd w:id="0"/>
    </w:p>
    <w:sectPr w:rsidR="00757678" w:rsidRPr="00A01117" w:rsidSect="00B83C25">
      <w:headerReference w:type="default" r:id="rId9"/>
      <w:footerReference w:type="default" r:id="rId10"/>
      <w:pgSz w:w="11907" w:h="16840" w:code="9"/>
      <w:pgMar w:top="850" w:right="850" w:bottom="850" w:left="850" w:header="706" w:footer="144" w:gutter="0"/>
      <w:pgNumType w:start="7"/>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23F" w:rsidRDefault="0095123F" w:rsidP="003C7BB9">
      <w:r>
        <w:separator/>
      </w:r>
    </w:p>
  </w:endnote>
  <w:endnote w:type="continuationSeparator" w:id="0">
    <w:p w:rsidR="0095123F" w:rsidRDefault="0095123F" w:rsidP="003C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2A" w:rsidRDefault="009F7F2A">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23F" w:rsidRDefault="0095123F" w:rsidP="003C7BB9">
      <w:r>
        <w:separator/>
      </w:r>
    </w:p>
  </w:footnote>
  <w:footnote w:type="continuationSeparator" w:id="0">
    <w:p w:rsidR="0095123F" w:rsidRDefault="0095123F" w:rsidP="003C7BB9">
      <w:r>
        <w:continuationSeparator/>
      </w:r>
    </w:p>
  </w:footnote>
  <w:footnote w:id="1">
    <w:p w:rsidR="00B83C25" w:rsidRPr="009D6FC5" w:rsidRDefault="00B83C25" w:rsidP="00B83C25">
      <w:pPr>
        <w:pStyle w:val="FootnoteText"/>
        <w:bidi/>
        <w:rPr>
          <w:rtl/>
          <w:lang w:val="en-US" w:bidi="ar-SA"/>
        </w:rPr>
      </w:pPr>
      <w:r>
        <w:rPr>
          <w:lang w:val="en-US"/>
        </w:rPr>
        <w:t xml:space="preserve"> </w:t>
      </w:r>
      <w:r>
        <w:rPr>
          <w:rStyle w:val="FootnoteReference"/>
        </w:rPr>
        <w:footnoteRef/>
      </w:r>
      <w:r>
        <w:t xml:space="preserve"> </w:t>
      </w:r>
      <w:r w:rsidRPr="00064BE0">
        <w:rPr>
          <w:rFonts w:hint="cs"/>
          <w:rtl/>
          <w:lang w:val="en-US"/>
        </w:rPr>
        <w:t xml:space="preserve">البيانات لا تشمل </w:t>
      </w:r>
      <w:r w:rsidRPr="00064BE0">
        <w:rPr>
          <w:rtl/>
        </w:rPr>
        <w:t>ذلك الجزء من محافظة القدس والذي ضم</w:t>
      </w:r>
      <w:r w:rsidRPr="00064BE0">
        <w:rPr>
          <w:rFonts w:hint="cs"/>
          <w:rtl/>
        </w:rPr>
        <w:t>ه</w:t>
      </w:r>
      <w:r w:rsidRPr="00064BE0">
        <w:rPr>
          <w:rtl/>
        </w:rPr>
        <w:t xml:space="preserve"> </w:t>
      </w:r>
      <w:r w:rsidRPr="00064BE0">
        <w:rPr>
          <w:rFonts w:hint="cs"/>
          <w:rtl/>
        </w:rPr>
        <w:t>الاحتلال الإسرائيلي</w:t>
      </w:r>
      <w:r w:rsidRPr="00064BE0">
        <w:rPr>
          <w:rtl/>
        </w:rPr>
        <w:t xml:space="preserve"> </w:t>
      </w:r>
      <w:r w:rsidRPr="00064BE0">
        <w:rPr>
          <w:rFonts w:hint="cs"/>
          <w:rtl/>
        </w:rPr>
        <w:t xml:space="preserve">إليه </w:t>
      </w:r>
      <w:r w:rsidRPr="00064BE0">
        <w:rPr>
          <w:rtl/>
        </w:rPr>
        <w:t>عنوة بعيد احتلاله للضفة الغربية عام 1967.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2A" w:rsidRDefault="009F7F2A" w:rsidP="00BB2E3F">
    <w:pPr>
      <w:pStyle w:val="Header"/>
      <w:rPr>
        <w:sz w:val="16"/>
        <w:szCs w:val="16"/>
      </w:rPr>
    </w:pPr>
  </w:p>
  <w:p w:rsidR="002B3F6A" w:rsidRDefault="002B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E6076"/>
    <w:multiLevelType w:val="hybridMultilevel"/>
    <w:tmpl w:val="A4A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867B2"/>
    <w:multiLevelType w:val="hybridMultilevel"/>
    <w:tmpl w:val="1E5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52A68"/>
    <w:multiLevelType w:val="hybridMultilevel"/>
    <w:tmpl w:val="161A67B4"/>
    <w:lvl w:ilvl="0" w:tplc="D74C23E6">
      <w:start w:val="4"/>
      <w:numFmt w:val="bullet"/>
      <w:lvlText w:val="-"/>
      <w:lvlJc w:val="left"/>
      <w:pPr>
        <w:tabs>
          <w:tab w:val="num" w:pos="718"/>
        </w:tabs>
        <w:ind w:left="718" w:right="718"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5" w15:restartNumberingAfterBreak="0">
    <w:nsid w:val="72631D32"/>
    <w:multiLevelType w:val="hybridMultilevel"/>
    <w:tmpl w:val="2AA6A8C0"/>
    <w:lvl w:ilvl="0" w:tplc="22FEEA40">
      <w:numFmt w:val="bullet"/>
      <w:lvlText w:val="-"/>
      <w:lvlJc w:val="left"/>
      <w:pPr>
        <w:ind w:left="720" w:hanging="360"/>
      </w:pPr>
      <w:rPr>
        <w:rFonts w:ascii="Calibri" w:eastAsia="Calibri" w:hAnsi="Calibri"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67024"/>
    <w:multiLevelType w:val="hybridMultilevel"/>
    <w:tmpl w:val="E8D6F852"/>
    <w:lvl w:ilvl="0" w:tplc="3418DF2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7BB9"/>
    <w:rsid w:val="00000C34"/>
    <w:rsid w:val="00000DCE"/>
    <w:rsid w:val="00003532"/>
    <w:rsid w:val="00003EB0"/>
    <w:rsid w:val="00006CBA"/>
    <w:rsid w:val="00006D26"/>
    <w:rsid w:val="00007026"/>
    <w:rsid w:val="000105EB"/>
    <w:rsid w:val="00010DD8"/>
    <w:rsid w:val="000130BC"/>
    <w:rsid w:val="00017A0F"/>
    <w:rsid w:val="00017BAF"/>
    <w:rsid w:val="000246E6"/>
    <w:rsid w:val="00024E6F"/>
    <w:rsid w:val="0002559B"/>
    <w:rsid w:val="00025CC9"/>
    <w:rsid w:val="00027432"/>
    <w:rsid w:val="00030C66"/>
    <w:rsid w:val="000311B6"/>
    <w:rsid w:val="00037BD1"/>
    <w:rsid w:val="0004192D"/>
    <w:rsid w:val="00041BDB"/>
    <w:rsid w:val="0004453F"/>
    <w:rsid w:val="00044C90"/>
    <w:rsid w:val="000528ED"/>
    <w:rsid w:val="00054675"/>
    <w:rsid w:val="0006299D"/>
    <w:rsid w:val="00063D0C"/>
    <w:rsid w:val="00071933"/>
    <w:rsid w:val="00071EA0"/>
    <w:rsid w:val="000722C4"/>
    <w:rsid w:val="000735E0"/>
    <w:rsid w:val="000749A3"/>
    <w:rsid w:val="00074CB3"/>
    <w:rsid w:val="00074EEC"/>
    <w:rsid w:val="00076281"/>
    <w:rsid w:val="0008102C"/>
    <w:rsid w:val="00082991"/>
    <w:rsid w:val="00083447"/>
    <w:rsid w:val="00084916"/>
    <w:rsid w:val="0008557A"/>
    <w:rsid w:val="000855BE"/>
    <w:rsid w:val="00090C59"/>
    <w:rsid w:val="0009163A"/>
    <w:rsid w:val="00091B11"/>
    <w:rsid w:val="00092F0C"/>
    <w:rsid w:val="00093DDD"/>
    <w:rsid w:val="0009612C"/>
    <w:rsid w:val="000963AD"/>
    <w:rsid w:val="00097D21"/>
    <w:rsid w:val="000A04BE"/>
    <w:rsid w:val="000A0E49"/>
    <w:rsid w:val="000A0FC5"/>
    <w:rsid w:val="000A2DE5"/>
    <w:rsid w:val="000A3CD3"/>
    <w:rsid w:val="000A4E2C"/>
    <w:rsid w:val="000A59B8"/>
    <w:rsid w:val="000A5AA4"/>
    <w:rsid w:val="000B0463"/>
    <w:rsid w:val="000B3418"/>
    <w:rsid w:val="000C0D44"/>
    <w:rsid w:val="000C1CB7"/>
    <w:rsid w:val="000C24B0"/>
    <w:rsid w:val="000C2739"/>
    <w:rsid w:val="000C4031"/>
    <w:rsid w:val="000C4E9E"/>
    <w:rsid w:val="000D0FD5"/>
    <w:rsid w:val="000D19C0"/>
    <w:rsid w:val="000D2B49"/>
    <w:rsid w:val="000D42E8"/>
    <w:rsid w:val="000D5C04"/>
    <w:rsid w:val="000F042C"/>
    <w:rsid w:val="000F27CD"/>
    <w:rsid w:val="000F6D70"/>
    <w:rsid w:val="00102900"/>
    <w:rsid w:val="001115CA"/>
    <w:rsid w:val="00111699"/>
    <w:rsid w:val="001122EF"/>
    <w:rsid w:val="0011572D"/>
    <w:rsid w:val="001158DA"/>
    <w:rsid w:val="001179BE"/>
    <w:rsid w:val="00117DB3"/>
    <w:rsid w:val="0012325E"/>
    <w:rsid w:val="00125F5D"/>
    <w:rsid w:val="00127590"/>
    <w:rsid w:val="00127767"/>
    <w:rsid w:val="001302EC"/>
    <w:rsid w:val="001309A8"/>
    <w:rsid w:val="00131532"/>
    <w:rsid w:val="001338F5"/>
    <w:rsid w:val="001377BD"/>
    <w:rsid w:val="001463C6"/>
    <w:rsid w:val="001466AE"/>
    <w:rsid w:val="00147B53"/>
    <w:rsid w:val="001518FC"/>
    <w:rsid w:val="001522F9"/>
    <w:rsid w:val="0015278B"/>
    <w:rsid w:val="00160512"/>
    <w:rsid w:val="00162291"/>
    <w:rsid w:val="0016418E"/>
    <w:rsid w:val="00167762"/>
    <w:rsid w:val="001721F4"/>
    <w:rsid w:val="00175AFB"/>
    <w:rsid w:val="00176391"/>
    <w:rsid w:val="001838C6"/>
    <w:rsid w:val="00186672"/>
    <w:rsid w:val="00193FF3"/>
    <w:rsid w:val="0019472B"/>
    <w:rsid w:val="00194BC7"/>
    <w:rsid w:val="0019658C"/>
    <w:rsid w:val="0019689A"/>
    <w:rsid w:val="0019727F"/>
    <w:rsid w:val="001A1527"/>
    <w:rsid w:val="001A2002"/>
    <w:rsid w:val="001A227B"/>
    <w:rsid w:val="001A3069"/>
    <w:rsid w:val="001A5E9D"/>
    <w:rsid w:val="001B024A"/>
    <w:rsid w:val="001B40A8"/>
    <w:rsid w:val="001B794A"/>
    <w:rsid w:val="001B7B60"/>
    <w:rsid w:val="001C0DFD"/>
    <w:rsid w:val="001C4747"/>
    <w:rsid w:val="001C50D9"/>
    <w:rsid w:val="001C5CD4"/>
    <w:rsid w:val="001C61E4"/>
    <w:rsid w:val="001C693A"/>
    <w:rsid w:val="001D274F"/>
    <w:rsid w:val="001D28C1"/>
    <w:rsid w:val="001D6B66"/>
    <w:rsid w:val="001E4489"/>
    <w:rsid w:val="001E647F"/>
    <w:rsid w:val="001E69BE"/>
    <w:rsid w:val="001E7E95"/>
    <w:rsid w:val="001F0DC4"/>
    <w:rsid w:val="001F128C"/>
    <w:rsid w:val="001F1555"/>
    <w:rsid w:val="001F1EDA"/>
    <w:rsid w:val="001F5DD5"/>
    <w:rsid w:val="0020117C"/>
    <w:rsid w:val="00202DCE"/>
    <w:rsid w:val="0020363E"/>
    <w:rsid w:val="00205791"/>
    <w:rsid w:val="002131D3"/>
    <w:rsid w:val="00213D96"/>
    <w:rsid w:val="00216A63"/>
    <w:rsid w:val="00220A00"/>
    <w:rsid w:val="002211F5"/>
    <w:rsid w:val="002216B1"/>
    <w:rsid w:val="00221952"/>
    <w:rsid w:val="00221A92"/>
    <w:rsid w:val="002247A2"/>
    <w:rsid w:val="002271A5"/>
    <w:rsid w:val="00230C87"/>
    <w:rsid w:val="00233801"/>
    <w:rsid w:val="00235150"/>
    <w:rsid w:val="002369B5"/>
    <w:rsid w:val="00236FCB"/>
    <w:rsid w:val="00241DDA"/>
    <w:rsid w:val="002421A1"/>
    <w:rsid w:val="00243724"/>
    <w:rsid w:val="0024550A"/>
    <w:rsid w:val="00246D3C"/>
    <w:rsid w:val="002479E6"/>
    <w:rsid w:val="00247CED"/>
    <w:rsid w:val="00250515"/>
    <w:rsid w:val="00250D31"/>
    <w:rsid w:val="00256BF6"/>
    <w:rsid w:val="00257298"/>
    <w:rsid w:val="00257518"/>
    <w:rsid w:val="0025752B"/>
    <w:rsid w:val="00257BE9"/>
    <w:rsid w:val="00260830"/>
    <w:rsid w:val="00261C63"/>
    <w:rsid w:val="00263052"/>
    <w:rsid w:val="00263E99"/>
    <w:rsid w:val="0026577A"/>
    <w:rsid w:val="00265ADE"/>
    <w:rsid w:val="002665C7"/>
    <w:rsid w:val="00266EE0"/>
    <w:rsid w:val="00267DC1"/>
    <w:rsid w:val="00270D99"/>
    <w:rsid w:val="0027331D"/>
    <w:rsid w:val="00273686"/>
    <w:rsid w:val="002750EC"/>
    <w:rsid w:val="002773A6"/>
    <w:rsid w:val="00281F23"/>
    <w:rsid w:val="002869A6"/>
    <w:rsid w:val="00286D5A"/>
    <w:rsid w:val="00287179"/>
    <w:rsid w:val="00287364"/>
    <w:rsid w:val="00287466"/>
    <w:rsid w:val="00287C66"/>
    <w:rsid w:val="002902FE"/>
    <w:rsid w:val="00290DE6"/>
    <w:rsid w:val="00292396"/>
    <w:rsid w:val="0029342B"/>
    <w:rsid w:val="00293CEF"/>
    <w:rsid w:val="002A2D2E"/>
    <w:rsid w:val="002A5F3F"/>
    <w:rsid w:val="002A6829"/>
    <w:rsid w:val="002B3F6A"/>
    <w:rsid w:val="002B5510"/>
    <w:rsid w:val="002C0866"/>
    <w:rsid w:val="002C0CC9"/>
    <w:rsid w:val="002C70F4"/>
    <w:rsid w:val="002D064B"/>
    <w:rsid w:val="002D3FDD"/>
    <w:rsid w:val="002D466A"/>
    <w:rsid w:val="002E0EFC"/>
    <w:rsid w:val="002E4D68"/>
    <w:rsid w:val="002E61B6"/>
    <w:rsid w:val="002F21CE"/>
    <w:rsid w:val="002F57C9"/>
    <w:rsid w:val="002F791C"/>
    <w:rsid w:val="0030197C"/>
    <w:rsid w:val="00305668"/>
    <w:rsid w:val="003059F3"/>
    <w:rsid w:val="0030754E"/>
    <w:rsid w:val="00311C00"/>
    <w:rsid w:val="00316699"/>
    <w:rsid w:val="00323619"/>
    <w:rsid w:val="00326C45"/>
    <w:rsid w:val="00327AD1"/>
    <w:rsid w:val="00331B8D"/>
    <w:rsid w:val="0033445C"/>
    <w:rsid w:val="00335657"/>
    <w:rsid w:val="00336FE0"/>
    <w:rsid w:val="003476D0"/>
    <w:rsid w:val="00347CC3"/>
    <w:rsid w:val="00347E1C"/>
    <w:rsid w:val="00351BB7"/>
    <w:rsid w:val="0035445C"/>
    <w:rsid w:val="003548BD"/>
    <w:rsid w:val="0035750F"/>
    <w:rsid w:val="0036142D"/>
    <w:rsid w:val="003615CD"/>
    <w:rsid w:val="00361737"/>
    <w:rsid w:val="00362FD4"/>
    <w:rsid w:val="0036338C"/>
    <w:rsid w:val="00365434"/>
    <w:rsid w:val="003659DA"/>
    <w:rsid w:val="00371E57"/>
    <w:rsid w:val="003723B7"/>
    <w:rsid w:val="003735FA"/>
    <w:rsid w:val="00374E0B"/>
    <w:rsid w:val="00375D1C"/>
    <w:rsid w:val="003771DA"/>
    <w:rsid w:val="0038010B"/>
    <w:rsid w:val="00380866"/>
    <w:rsid w:val="00380E99"/>
    <w:rsid w:val="00383101"/>
    <w:rsid w:val="00385A1E"/>
    <w:rsid w:val="00386689"/>
    <w:rsid w:val="00390139"/>
    <w:rsid w:val="003946B7"/>
    <w:rsid w:val="003946CC"/>
    <w:rsid w:val="00396765"/>
    <w:rsid w:val="003968F7"/>
    <w:rsid w:val="00397DFD"/>
    <w:rsid w:val="003A1A58"/>
    <w:rsid w:val="003A49D1"/>
    <w:rsid w:val="003A5C1E"/>
    <w:rsid w:val="003B13A2"/>
    <w:rsid w:val="003B2DE8"/>
    <w:rsid w:val="003B52CA"/>
    <w:rsid w:val="003B53A8"/>
    <w:rsid w:val="003B5484"/>
    <w:rsid w:val="003C14DB"/>
    <w:rsid w:val="003C25D5"/>
    <w:rsid w:val="003C2A56"/>
    <w:rsid w:val="003C3032"/>
    <w:rsid w:val="003C32D7"/>
    <w:rsid w:val="003C7BB9"/>
    <w:rsid w:val="003D66C0"/>
    <w:rsid w:val="003D6FB4"/>
    <w:rsid w:val="003F29D4"/>
    <w:rsid w:val="003F3889"/>
    <w:rsid w:val="00400E47"/>
    <w:rsid w:val="00401AFC"/>
    <w:rsid w:val="00402EF2"/>
    <w:rsid w:val="00406415"/>
    <w:rsid w:val="0040685B"/>
    <w:rsid w:val="004106EA"/>
    <w:rsid w:val="0042549B"/>
    <w:rsid w:val="00427798"/>
    <w:rsid w:val="00431AB1"/>
    <w:rsid w:val="00431BD9"/>
    <w:rsid w:val="0043349C"/>
    <w:rsid w:val="00435C30"/>
    <w:rsid w:val="00436443"/>
    <w:rsid w:val="0043787B"/>
    <w:rsid w:val="00441D91"/>
    <w:rsid w:val="0044579D"/>
    <w:rsid w:val="00446872"/>
    <w:rsid w:val="00446EBA"/>
    <w:rsid w:val="00447287"/>
    <w:rsid w:val="00453264"/>
    <w:rsid w:val="004535DE"/>
    <w:rsid w:val="004536D4"/>
    <w:rsid w:val="00453DBE"/>
    <w:rsid w:val="00455D84"/>
    <w:rsid w:val="004560EF"/>
    <w:rsid w:val="00457CC4"/>
    <w:rsid w:val="00457F26"/>
    <w:rsid w:val="004601E2"/>
    <w:rsid w:val="00462E86"/>
    <w:rsid w:val="00464395"/>
    <w:rsid w:val="004648CC"/>
    <w:rsid w:val="00465357"/>
    <w:rsid w:val="00470460"/>
    <w:rsid w:val="0047080F"/>
    <w:rsid w:val="0047261F"/>
    <w:rsid w:val="0047289C"/>
    <w:rsid w:val="004731EA"/>
    <w:rsid w:val="00473FD6"/>
    <w:rsid w:val="004747BF"/>
    <w:rsid w:val="00475483"/>
    <w:rsid w:val="0047724A"/>
    <w:rsid w:val="00481A92"/>
    <w:rsid w:val="004826C8"/>
    <w:rsid w:val="00484A25"/>
    <w:rsid w:val="00484CCF"/>
    <w:rsid w:val="00486A86"/>
    <w:rsid w:val="0048729A"/>
    <w:rsid w:val="0048786A"/>
    <w:rsid w:val="00487BBC"/>
    <w:rsid w:val="00490FA2"/>
    <w:rsid w:val="00496291"/>
    <w:rsid w:val="00496680"/>
    <w:rsid w:val="00497ABB"/>
    <w:rsid w:val="004A2726"/>
    <w:rsid w:val="004A3329"/>
    <w:rsid w:val="004A402C"/>
    <w:rsid w:val="004A639F"/>
    <w:rsid w:val="004B0B8A"/>
    <w:rsid w:val="004B1952"/>
    <w:rsid w:val="004B5D63"/>
    <w:rsid w:val="004C1C6F"/>
    <w:rsid w:val="004C2630"/>
    <w:rsid w:val="004C61A7"/>
    <w:rsid w:val="004C61BD"/>
    <w:rsid w:val="004D0931"/>
    <w:rsid w:val="004D09A0"/>
    <w:rsid w:val="004D1955"/>
    <w:rsid w:val="004D21DA"/>
    <w:rsid w:val="004D6DF0"/>
    <w:rsid w:val="004E1887"/>
    <w:rsid w:val="004E1B8A"/>
    <w:rsid w:val="004E3494"/>
    <w:rsid w:val="004E4964"/>
    <w:rsid w:val="004E5AE6"/>
    <w:rsid w:val="004F166F"/>
    <w:rsid w:val="004F1EFB"/>
    <w:rsid w:val="004F3E72"/>
    <w:rsid w:val="004F4E93"/>
    <w:rsid w:val="00501AA8"/>
    <w:rsid w:val="00504DD0"/>
    <w:rsid w:val="005055A0"/>
    <w:rsid w:val="005056C2"/>
    <w:rsid w:val="00506199"/>
    <w:rsid w:val="005078DC"/>
    <w:rsid w:val="005105DC"/>
    <w:rsid w:val="0051074E"/>
    <w:rsid w:val="00512BF0"/>
    <w:rsid w:val="00515E6B"/>
    <w:rsid w:val="005160E8"/>
    <w:rsid w:val="005201DD"/>
    <w:rsid w:val="00520479"/>
    <w:rsid w:val="00521CC6"/>
    <w:rsid w:val="005246D7"/>
    <w:rsid w:val="00524A39"/>
    <w:rsid w:val="005258EE"/>
    <w:rsid w:val="0052663F"/>
    <w:rsid w:val="005266D4"/>
    <w:rsid w:val="005306EE"/>
    <w:rsid w:val="00531A34"/>
    <w:rsid w:val="00535109"/>
    <w:rsid w:val="0054037C"/>
    <w:rsid w:val="00540F16"/>
    <w:rsid w:val="005411C1"/>
    <w:rsid w:val="00541F74"/>
    <w:rsid w:val="005435EC"/>
    <w:rsid w:val="0055000D"/>
    <w:rsid w:val="00550870"/>
    <w:rsid w:val="005524B3"/>
    <w:rsid w:val="00552545"/>
    <w:rsid w:val="00562A55"/>
    <w:rsid w:val="0056379E"/>
    <w:rsid w:val="00563AEC"/>
    <w:rsid w:val="0056539E"/>
    <w:rsid w:val="00565409"/>
    <w:rsid w:val="00565AB6"/>
    <w:rsid w:val="00566032"/>
    <w:rsid w:val="005666EA"/>
    <w:rsid w:val="00573F61"/>
    <w:rsid w:val="00575426"/>
    <w:rsid w:val="005808B3"/>
    <w:rsid w:val="00580EE0"/>
    <w:rsid w:val="00582232"/>
    <w:rsid w:val="005841D7"/>
    <w:rsid w:val="005855F9"/>
    <w:rsid w:val="005879AE"/>
    <w:rsid w:val="00587D9C"/>
    <w:rsid w:val="00591A31"/>
    <w:rsid w:val="005924AB"/>
    <w:rsid w:val="00593C7B"/>
    <w:rsid w:val="005969BF"/>
    <w:rsid w:val="005A13C6"/>
    <w:rsid w:val="005A246F"/>
    <w:rsid w:val="005A34E9"/>
    <w:rsid w:val="005A54DD"/>
    <w:rsid w:val="005A5A32"/>
    <w:rsid w:val="005A6C74"/>
    <w:rsid w:val="005A6D7F"/>
    <w:rsid w:val="005A79A0"/>
    <w:rsid w:val="005B01C3"/>
    <w:rsid w:val="005B3B4B"/>
    <w:rsid w:val="005C1913"/>
    <w:rsid w:val="005C4A12"/>
    <w:rsid w:val="005C666F"/>
    <w:rsid w:val="005C70A0"/>
    <w:rsid w:val="005C7717"/>
    <w:rsid w:val="005C7912"/>
    <w:rsid w:val="005D0061"/>
    <w:rsid w:val="005D0685"/>
    <w:rsid w:val="005D280E"/>
    <w:rsid w:val="005E2718"/>
    <w:rsid w:val="005E3BE6"/>
    <w:rsid w:val="005E7AD2"/>
    <w:rsid w:val="005F0593"/>
    <w:rsid w:val="005F3B4F"/>
    <w:rsid w:val="005F5766"/>
    <w:rsid w:val="005F60B3"/>
    <w:rsid w:val="00600896"/>
    <w:rsid w:val="00603D4F"/>
    <w:rsid w:val="00604ED3"/>
    <w:rsid w:val="0060532D"/>
    <w:rsid w:val="006077A4"/>
    <w:rsid w:val="00612409"/>
    <w:rsid w:val="00615C9C"/>
    <w:rsid w:val="00620BDB"/>
    <w:rsid w:val="006212A6"/>
    <w:rsid w:val="006242D9"/>
    <w:rsid w:val="0062461A"/>
    <w:rsid w:val="00626E4C"/>
    <w:rsid w:val="0062719D"/>
    <w:rsid w:val="00627E3E"/>
    <w:rsid w:val="00627FB3"/>
    <w:rsid w:val="006309BF"/>
    <w:rsid w:val="00633C4A"/>
    <w:rsid w:val="0063600D"/>
    <w:rsid w:val="006405A5"/>
    <w:rsid w:val="00640C8D"/>
    <w:rsid w:val="00645DD7"/>
    <w:rsid w:val="00647689"/>
    <w:rsid w:val="00650C4A"/>
    <w:rsid w:val="00651152"/>
    <w:rsid w:val="00652287"/>
    <w:rsid w:val="00656CAC"/>
    <w:rsid w:val="006647F6"/>
    <w:rsid w:val="00665009"/>
    <w:rsid w:val="006652F4"/>
    <w:rsid w:val="0067217C"/>
    <w:rsid w:val="00674E50"/>
    <w:rsid w:val="00675824"/>
    <w:rsid w:val="006770DE"/>
    <w:rsid w:val="0068233B"/>
    <w:rsid w:val="006830AD"/>
    <w:rsid w:val="00684509"/>
    <w:rsid w:val="006851C3"/>
    <w:rsid w:val="00687DD7"/>
    <w:rsid w:val="006935F8"/>
    <w:rsid w:val="006964AB"/>
    <w:rsid w:val="00697A98"/>
    <w:rsid w:val="00697C6A"/>
    <w:rsid w:val="006A21BF"/>
    <w:rsid w:val="006A6B86"/>
    <w:rsid w:val="006A7B1A"/>
    <w:rsid w:val="006B4F8A"/>
    <w:rsid w:val="006C0670"/>
    <w:rsid w:val="006C07A0"/>
    <w:rsid w:val="006C12CF"/>
    <w:rsid w:val="006C39D8"/>
    <w:rsid w:val="006C6C15"/>
    <w:rsid w:val="006C756E"/>
    <w:rsid w:val="006D0515"/>
    <w:rsid w:val="006D312D"/>
    <w:rsid w:val="006D44E1"/>
    <w:rsid w:val="006D4BF6"/>
    <w:rsid w:val="006D6215"/>
    <w:rsid w:val="006D7548"/>
    <w:rsid w:val="006E1298"/>
    <w:rsid w:val="006E36BF"/>
    <w:rsid w:val="006E5760"/>
    <w:rsid w:val="006E746E"/>
    <w:rsid w:val="006E7610"/>
    <w:rsid w:val="006F097E"/>
    <w:rsid w:val="006F1FC1"/>
    <w:rsid w:val="006F5380"/>
    <w:rsid w:val="006F56F4"/>
    <w:rsid w:val="006F6604"/>
    <w:rsid w:val="006F6FA7"/>
    <w:rsid w:val="00703F7B"/>
    <w:rsid w:val="007049A9"/>
    <w:rsid w:val="00704BF3"/>
    <w:rsid w:val="00704DE8"/>
    <w:rsid w:val="00705D9D"/>
    <w:rsid w:val="007061DF"/>
    <w:rsid w:val="0070666B"/>
    <w:rsid w:val="00707708"/>
    <w:rsid w:val="00711CFE"/>
    <w:rsid w:val="00712611"/>
    <w:rsid w:val="00717A0C"/>
    <w:rsid w:val="007206EC"/>
    <w:rsid w:val="007207EF"/>
    <w:rsid w:val="00722207"/>
    <w:rsid w:val="007228D2"/>
    <w:rsid w:val="0072607D"/>
    <w:rsid w:val="00726838"/>
    <w:rsid w:val="0072735A"/>
    <w:rsid w:val="00731D27"/>
    <w:rsid w:val="00734538"/>
    <w:rsid w:val="00742EB3"/>
    <w:rsid w:val="0074390A"/>
    <w:rsid w:val="00744542"/>
    <w:rsid w:val="0074460D"/>
    <w:rsid w:val="00755793"/>
    <w:rsid w:val="00756C69"/>
    <w:rsid w:val="00757678"/>
    <w:rsid w:val="00757D65"/>
    <w:rsid w:val="00760085"/>
    <w:rsid w:val="00760320"/>
    <w:rsid w:val="007632C7"/>
    <w:rsid w:val="00765BE2"/>
    <w:rsid w:val="00767313"/>
    <w:rsid w:val="00770E03"/>
    <w:rsid w:val="00773B48"/>
    <w:rsid w:val="00773F0B"/>
    <w:rsid w:val="0077472B"/>
    <w:rsid w:val="00777BE6"/>
    <w:rsid w:val="00781A02"/>
    <w:rsid w:val="0078229F"/>
    <w:rsid w:val="00782493"/>
    <w:rsid w:val="0078349F"/>
    <w:rsid w:val="00784E62"/>
    <w:rsid w:val="00785B8D"/>
    <w:rsid w:val="00790CF0"/>
    <w:rsid w:val="007942D2"/>
    <w:rsid w:val="007977F5"/>
    <w:rsid w:val="007A216A"/>
    <w:rsid w:val="007A743E"/>
    <w:rsid w:val="007B002E"/>
    <w:rsid w:val="007B0229"/>
    <w:rsid w:val="007B0CF6"/>
    <w:rsid w:val="007B4E8E"/>
    <w:rsid w:val="007B5ADD"/>
    <w:rsid w:val="007B5DB6"/>
    <w:rsid w:val="007C074F"/>
    <w:rsid w:val="007C1F6A"/>
    <w:rsid w:val="007C2D23"/>
    <w:rsid w:val="007C32C9"/>
    <w:rsid w:val="007C3C14"/>
    <w:rsid w:val="007C6A64"/>
    <w:rsid w:val="007D046C"/>
    <w:rsid w:val="007D077C"/>
    <w:rsid w:val="007D15D7"/>
    <w:rsid w:val="007D1A5B"/>
    <w:rsid w:val="007D42F8"/>
    <w:rsid w:val="007D7141"/>
    <w:rsid w:val="007D75E3"/>
    <w:rsid w:val="007E1B9B"/>
    <w:rsid w:val="007E4388"/>
    <w:rsid w:val="007E54D6"/>
    <w:rsid w:val="007E575B"/>
    <w:rsid w:val="007E6CED"/>
    <w:rsid w:val="007F0BF0"/>
    <w:rsid w:val="007F3B1D"/>
    <w:rsid w:val="007F4D0A"/>
    <w:rsid w:val="007F5925"/>
    <w:rsid w:val="007F7642"/>
    <w:rsid w:val="008003CD"/>
    <w:rsid w:val="008005F7"/>
    <w:rsid w:val="008021E3"/>
    <w:rsid w:val="00806937"/>
    <w:rsid w:val="00810042"/>
    <w:rsid w:val="00812EF0"/>
    <w:rsid w:val="00813284"/>
    <w:rsid w:val="00813D96"/>
    <w:rsid w:val="00815517"/>
    <w:rsid w:val="00817ADF"/>
    <w:rsid w:val="00821AE1"/>
    <w:rsid w:val="00825B5C"/>
    <w:rsid w:val="00835F3D"/>
    <w:rsid w:val="008401AA"/>
    <w:rsid w:val="00840A4F"/>
    <w:rsid w:val="00842031"/>
    <w:rsid w:val="00843435"/>
    <w:rsid w:val="00845341"/>
    <w:rsid w:val="008501CD"/>
    <w:rsid w:val="00852586"/>
    <w:rsid w:val="00852A5A"/>
    <w:rsid w:val="00852AB0"/>
    <w:rsid w:val="008533B2"/>
    <w:rsid w:val="00853C99"/>
    <w:rsid w:val="008546C7"/>
    <w:rsid w:val="00856949"/>
    <w:rsid w:val="00861C9D"/>
    <w:rsid w:val="00862A3A"/>
    <w:rsid w:val="00862DEF"/>
    <w:rsid w:val="0086544C"/>
    <w:rsid w:val="008674A4"/>
    <w:rsid w:val="00870166"/>
    <w:rsid w:val="00871249"/>
    <w:rsid w:val="00875204"/>
    <w:rsid w:val="00876264"/>
    <w:rsid w:val="008801B3"/>
    <w:rsid w:val="00881393"/>
    <w:rsid w:val="00884767"/>
    <w:rsid w:val="008859BE"/>
    <w:rsid w:val="008859CC"/>
    <w:rsid w:val="00885E92"/>
    <w:rsid w:val="00885F93"/>
    <w:rsid w:val="0088670C"/>
    <w:rsid w:val="008868B9"/>
    <w:rsid w:val="00890671"/>
    <w:rsid w:val="00890DAF"/>
    <w:rsid w:val="00892DDF"/>
    <w:rsid w:val="00892F6D"/>
    <w:rsid w:val="00893342"/>
    <w:rsid w:val="00895729"/>
    <w:rsid w:val="008A139E"/>
    <w:rsid w:val="008A2857"/>
    <w:rsid w:val="008A5B87"/>
    <w:rsid w:val="008A757E"/>
    <w:rsid w:val="008A7719"/>
    <w:rsid w:val="008B1BA5"/>
    <w:rsid w:val="008B1BE7"/>
    <w:rsid w:val="008B78C2"/>
    <w:rsid w:val="008C1A15"/>
    <w:rsid w:val="008C3A64"/>
    <w:rsid w:val="008C3BB1"/>
    <w:rsid w:val="008C5A0C"/>
    <w:rsid w:val="008C6E83"/>
    <w:rsid w:val="008D0FE7"/>
    <w:rsid w:val="008D25B5"/>
    <w:rsid w:val="008D3EE5"/>
    <w:rsid w:val="008D5365"/>
    <w:rsid w:val="008D57E6"/>
    <w:rsid w:val="008D59A5"/>
    <w:rsid w:val="008D7819"/>
    <w:rsid w:val="008E17C9"/>
    <w:rsid w:val="008E1AF1"/>
    <w:rsid w:val="008E219A"/>
    <w:rsid w:val="008E51B8"/>
    <w:rsid w:val="008E60BF"/>
    <w:rsid w:val="008E6F67"/>
    <w:rsid w:val="008E7805"/>
    <w:rsid w:val="008F0C17"/>
    <w:rsid w:val="008F6457"/>
    <w:rsid w:val="00903BB2"/>
    <w:rsid w:val="00903FE2"/>
    <w:rsid w:val="00905E0E"/>
    <w:rsid w:val="00907986"/>
    <w:rsid w:val="00907BA4"/>
    <w:rsid w:val="00910C73"/>
    <w:rsid w:val="009154AA"/>
    <w:rsid w:val="00915534"/>
    <w:rsid w:val="00916713"/>
    <w:rsid w:val="00916F37"/>
    <w:rsid w:val="0092298E"/>
    <w:rsid w:val="00924C68"/>
    <w:rsid w:val="00933B93"/>
    <w:rsid w:val="009356D5"/>
    <w:rsid w:val="0093758F"/>
    <w:rsid w:val="00940972"/>
    <w:rsid w:val="00942D31"/>
    <w:rsid w:val="00944300"/>
    <w:rsid w:val="009446D5"/>
    <w:rsid w:val="00945930"/>
    <w:rsid w:val="00946CB6"/>
    <w:rsid w:val="0095123F"/>
    <w:rsid w:val="009545E6"/>
    <w:rsid w:val="0095478B"/>
    <w:rsid w:val="009566DD"/>
    <w:rsid w:val="00956AFC"/>
    <w:rsid w:val="00956F5E"/>
    <w:rsid w:val="00957DEE"/>
    <w:rsid w:val="00957E3E"/>
    <w:rsid w:val="009663C1"/>
    <w:rsid w:val="009708B0"/>
    <w:rsid w:val="00971B3B"/>
    <w:rsid w:val="00973D46"/>
    <w:rsid w:val="0097529A"/>
    <w:rsid w:val="009765BD"/>
    <w:rsid w:val="00981CD6"/>
    <w:rsid w:val="009828A2"/>
    <w:rsid w:val="009860F7"/>
    <w:rsid w:val="00987ECD"/>
    <w:rsid w:val="00987F53"/>
    <w:rsid w:val="00993964"/>
    <w:rsid w:val="00994505"/>
    <w:rsid w:val="00995CD9"/>
    <w:rsid w:val="009A30C1"/>
    <w:rsid w:val="009A7F06"/>
    <w:rsid w:val="009B33DC"/>
    <w:rsid w:val="009B5D80"/>
    <w:rsid w:val="009C1302"/>
    <w:rsid w:val="009C2FF6"/>
    <w:rsid w:val="009C49F7"/>
    <w:rsid w:val="009C6C3C"/>
    <w:rsid w:val="009D6205"/>
    <w:rsid w:val="009E0E8B"/>
    <w:rsid w:val="009E37DA"/>
    <w:rsid w:val="009E56F0"/>
    <w:rsid w:val="009E5C77"/>
    <w:rsid w:val="009E5D22"/>
    <w:rsid w:val="009E6BAD"/>
    <w:rsid w:val="009E72FB"/>
    <w:rsid w:val="009E7460"/>
    <w:rsid w:val="009E7AC1"/>
    <w:rsid w:val="009F21CC"/>
    <w:rsid w:val="009F2CED"/>
    <w:rsid w:val="009F40C3"/>
    <w:rsid w:val="009F5308"/>
    <w:rsid w:val="009F7F2A"/>
    <w:rsid w:val="00A01117"/>
    <w:rsid w:val="00A01415"/>
    <w:rsid w:val="00A0231C"/>
    <w:rsid w:val="00A16447"/>
    <w:rsid w:val="00A165C1"/>
    <w:rsid w:val="00A2424B"/>
    <w:rsid w:val="00A2469F"/>
    <w:rsid w:val="00A25CD8"/>
    <w:rsid w:val="00A32AC7"/>
    <w:rsid w:val="00A4034C"/>
    <w:rsid w:val="00A41188"/>
    <w:rsid w:val="00A42F31"/>
    <w:rsid w:val="00A432BF"/>
    <w:rsid w:val="00A46A70"/>
    <w:rsid w:val="00A51835"/>
    <w:rsid w:val="00A5373A"/>
    <w:rsid w:val="00A53DA9"/>
    <w:rsid w:val="00A545D3"/>
    <w:rsid w:val="00A552AF"/>
    <w:rsid w:val="00A55917"/>
    <w:rsid w:val="00A55A02"/>
    <w:rsid w:val="00A56E53"/>
    <w:rsid w:val="00A570F5"/>
    <w:rsid w:val="00A576C5"/>
    <w:rsid w:val="00A61BD8"/>
    <w:rsid w:val="00A631FE"/>
    <w:rsid w:val="00A64508"/>
    <w:rsid w:val="00A706AE"/>
    <w:rsid w:val="00A733AA"/>
    <w:rsid w:val="00A75E93"/>
    <w:rsid w:val="00A808B6"/>
    <w:rsid w:val="00A81DBA"/>
    <w:rsid w:val="00A83E99"/>
    <w:rsid w:val="00A942EC"/>
    <w:rsid w:val="00A94F55"/>
    <w:rsid w:val="00A9512B"/>
    <w:rsid w:val="00A966AD"/>
    <w:rsid w:val="00A97314"/>
    <w:rsid w:val="00AA1060"/>
    <w:rsid w:val="00AA351E"/>
    <w:rsid w:val="00AA3AB5"/>
    <w:rsid w:val="00AA42AD"/>
    <w:rsid w:val="00AA5B72"/>
    <w:rsid w:val="00AA74A4"/>
    <w:rsid w:val="00AB1502"/>
    <w:rsid w:val="00AB4D17"/>
    <w:rsid w:val="00AB4E04"/>
    <w:rsid w:val="00AB5C90"/>
    <w:rsid w:val="00AC02EE"/>
    <w:rsid w:val="00AC2109"/>
    <w:rsid w:val="00AC237E"/>
    <w:rsid w:val="00AC2412"/>
    <w:rsid w:val="00AC48BB"/>
    <w:rsid w:val="00AC6197"/>
    <w:rsid w:val="00AC7C70"/>
    <w:rsid w:val="00AD0F31"/>
    <w:rsid w:val="00AD18B5"/>
    <w:rsid w:val="00AD21D3"/>
    <w:rsid w:val="00AD5E92"/>
    <w:rsid w:val="00AD6085"/>
    <w:rsid w:val="00AD6846"/>
    <w:rsid w:val="00AE0BAB"/>
    <w:rsid w:val="00AE3145"/>
    <w:rsid w:val="00AE44A2"/>
    <w:rsid w:val="00AE6C1D"/>
    <w:rsid w:val="00AF058D"/>
    <w:rsid w:val="00AF151B"/>
    <w:rsid w:val="00AF1701"/>
    <w:rsid w:val="00AF1E4F"/>
    <w:rsid w:val="00AF72B2"/>
    <w:rsid w:val="00B02B5E"/>
    <w:rsid w:val="00B04243"/>
    <w:rsid w:val="00B05CFD"/>
    <w:rsid w:val="00B0644A"/>
    <w:rsid w:val="00B11C2D"/>
    <w:rsid w:val="00B141E3"/>
    <w:rsid w:val="00B14D0D"/>
    <w:rsid w:val="00B1584C"/>
    <w:rsid w:val="00B17A9C"/>
    <w:rsid w:val="00B254B6"/>
    <w:rsid w:val="00B35472"/>
    <w:rsid w:val="00B3573E"/>
    <w:rsid w:val="00B37965"/>
    <w:rsid w:val="00B52A3C"/>
    <w:rsid w:val="00B531CC"/>
    <w:rsid w:val="00B5383C"/>
    <w:rsid w:val="00B64EFF"/>
    <w:rsid w:val="00B663DF"/>
    <w:rsid w:val="00B74319"/>
    <w:rsid w:val="00B753F8"/>
    <w:rsid w:val="00B76485"/>
    <w:rsid w:val="00B77FE7"/>
    <w:rsid w:val="00B816D7"/>
    <w:rsid w:val="00B82A83"/>
    <w:rsid w:val="00B82B66"/>
    <w:rsid w:val="00B839AD"/>
    <w:rsid w:val="00B83C25"/>
    <w:rsid w:val="00B84995"/>
    <w:rsid w:val="00B86034"/>
    <w:rsid w:val="00B8675D"/>
    <w:rsid w:val="00B8788A"/>
    <w:rsid w:val="00B90134"/>
    <w:rsid w:val="00B90685"/>
    <w:rsid w:val="00B91186"/>
    <w:rsid w:val="00B94C67"/>
    <w:rsid w:val="00BA0C96"/>
    <w:rsid w:val="00BA1BB2"/>
    <w:rsid w:val="00BA3287"/>
    <w:rsid w:val="00BA331F"/>
    <w:rsid w:val="00BB2B0A"/>
    <w:rsid w:val="00BB2E3F"/>
    <w:rsid w:val="00BB7DC8"/>
    <w:rsid w:val="00BC1D1C"/>
    <w:rsid w:val="00BC3382"/>
    <w:rsid w:val="00BC3C80"/>
    <w:rsid w:val="00BC686A"/>
    <w:rsid w:val="00BD17E6"/>
    <w:rsid w:val="00BD2068"/>
    <w:rsid w:val="00BD5866"/>
    <w:rsid w:val="00BD7E5A"/>
    <w:rsid w:val="00BE160F"/>
    <w:rsid w:val="00BE35C9"/>
    <w:rsid w:val="00BE3DDA"/>
    <w:rsid w:val="00BE53F2"/>
    <w:rsid w:val="00BE63BC"/>
    <w:rsid w:val="00BF0619"/>
    <w:rsid w:val="00BF1F07"/>
    <w:rsid w:val="00BF5164"/>
    <w:rsid w:val="00C0113D"/>
    <w:rsid w:val="00C01CC2"/>
    <w:rsid w:val="00C01D0B"/>
    <w:rsid w:val="00C041B2"/>
    <w:rsid w:val="00C048E5"/>
    <w:rsid w:val="00C066F8"/>
    <w:rsid w:val="00C06CE4"/>
    <w:rsid w:val="00C07DF3"/>
    <w:rsid w:val="00C1568E"/>
    <w:rsid w:val="00C16F95"/>
    <w:rsid w:val="00C21DA1"/>
    <w:rsid w:val="00C229AA"/>
    <w:rsid w:val="00C23B3A"/>
    <w:rsid w:val="00C260AC"/>
    <w:rsid w:val="00C314B0"/>
    <w:rsid w:val="00C3708B"/>
    <w:rsid w:val="00C40119"/>
    <w:rsid w:val="00C403C5"/>
    <w:rsid w:val="00C40518"/>
    <w:rsid w:val="00C4538E"/>
    <w:rsid w:val="00C5251A"/>
    <w:rsid w:val="00C532FB"/>
    <w:rsid w:val="00C53426"/>
    <w:rsid w:val="00C53FD0"/>
    <w:rsid w:val="00C541CC"/>
    <w:rsid w:val="00C55012"/>
    <w:rsid w:val="00C56F6C"/>
    <w:rsid w:val="00C600BD"/>
    <w:rsid w:val="00C62B63"/>
    <w:rsid w:val="00C64851"/>
    <w:rsid w:val="00C65160"/>
    <w:rsid w:val="00C6655B"/>
    <w:rsid w:val="00C70E35"/>
    <w:rsid w:val="00C7663D"/>
    <w:rsid w:val="00C7686F"/>
    <w:rsid w:val="00C76C74"/>
    <w:rsid w:val="00C7793F"/>
    <w:rsid w:val="00C825B5"/>
    <w:rsid w:val="00C8279B"/>
    <w:rsid w:val="00C93CB4"/>
    <w:rsid w:val="00C961E2"/>
    <w:rsid w:val="00C96A74"/>
    <w:rsid w:val="00C96C2C"/>
    <w:rsid w:val="00C9792F"/>
    <w:rsid w:val="00CA03B7"/>
    <w:rsid w:val="00CA240B"/>
    <w:rsid w:val="00CA75B6"/>
    <w:rsid w:val="00CB0225"/>
    <w:rsid w:val="00CB363C"/>
    <w:rsid w:val="00CB383B"/>
    <w:rsid w:val="00CB43E0"/>
    <w:rsid w:val="00CB5F67"/>
    <w:rsid w:val="00CB6F7B"/>
    <w:rsid w:val="00CB7EA0"/>
    <w:rsid w:val="00CB7EA8"/>
    <w:rsid w:val="00CC04FF"/>
    <w:rsid w:val="00CC3D5E"/>
    <w:rsid w:val="00CC5AC9"/>
    <w:rsid w:val="00CD026D"/>
    <w:rsid w:val="00CD2BF6"/>
    <w:rsid w:val="00CD3E88"/>
    <w:rsid w:val="00CD6755"/>
    <w:rsid w:val="00CD7E07"/>
    <w:rsid w:val="00CE533A"/>
    <w:rsid w:val="00CE64E8"/>
    <w:rsid w:val="00CF0DF9"/>
    <w:rsid w:val="00CF102B"/>
    <w:rsid w:val="00CF4DEE"/>
    <w:rsid w:val="00CF6687"/>
    <w:rsid w:val="00D017E9"/>
    <w:rsid w:val="00D01B51"/>
    <w:rsid w:val="00D061CE"/>
    <w:rsid w:val="00D06879"/>
    <w:rsid w:val="00D07241"/>
    <w:rsid w:val="00D07585"/>
    <w:rsid w:val="00D13EF4"/>
    <w:rsid w:val="00D15A2F"/>
    <w:rsid w:val="00D21315"/>
    <w:rsid w:val="00D22262"/>
    <w:rsid w:val="00D22893"/>
    <w:rsid w:val="00D228FE"/>
    <w:rsid w:val="00D2387C"/>
    <w:rsid w:val="00D2444E"/>
    <w:rsid w:val="00D26469"/>
    <w:rsid w:val="00D30ABB"/>
    <w:rsid w:val="00D31AD4"/>
    <w:rsid w:val="00D3408C"/>
    <w:rsid w:val="00D408D8"/>
    <w:rsid w:val="00D43615"/>
    <w:rsid w:val="00D44BE7"/>
    <w:rsid w:val="00D4759E"/>
    <w:rsid w:val="00D502ED"/>
    <w:rsid w:val="00D50387"/>
    <w:rsid w:val="00D53979"/>
    <w:rsid w:val="00D5443B"/>
    <w:rsid w:val="00D54C3D"/>
    <w:rsid w:val="00D57356"/>
    <w:rsid w:val="00D63141"/>
    <w:rsid w:val="00D64212"/>
    <w:rsid w:val="00D64365"/>
    <w:rsid w:val="00D71862"/>
    <w:rsid w:val="00D71CBB"/>
    <w:rsid w:val="00D722A8"/>
    <w:rsid w:val="00D75E19"/>
    <w:rsid w:val="00D76151"/>
    <w:rsid w:val="00D76287"/>
    <w:rsid w:val="00D8419D"/>
    <w:rsid w:val="00D84AF8"/>
    <w:rsid w:val="00D84B43"/>
    <w:rsid w:val="00D8540F"/>
    <w:rsid w:val="00D86438"/>
    <w:rsid w:val="00D93DBF"/>
    <w:rsid w:val="00D9551C"/>
    <w:rsid w:val="00D969FF"/>
    <w:rsid w:val="00D97903"/>
    <w:rsid w:val="00DA6455"/>
    <w:rsid w:val="00DA6EFE"/>
    <w:rsid w:val="00DB79D5"/>
    <w:rsid w:val="00DC19B8"/>
    <w:rsid w:val="00DC464E"/>
    <w:rsid w:val="00DC62CD"/>
    <w:rsid w:val="00DC6F70"/>
    <w:rsid w:val="00DC760F"/>
    <w:rsid w:val="00DC77C4"/>
    <w:rsid w:val="00DD0A44"/>
    <w:rsid w:val="00DD4AF6"/>
    <w:rsid w:val="00DD4E6C"/>
    <w:rsid w:val="00DD587A"/>
    <w:rsid w:val="00DD71CD"/>
    <w:rsid w:val="00DE22E5"/>
    <w:rsid w:val="00DE29A7"/>
    <w:rsid w:val="00DE540C"/>
    <w:rsid w:val="00DE546C"/>
    <w:rsid w:val="00DE5F53"/>
    <w:rsid w:val="00DE646D"/>
    <w:rsid w:val="00DE6B51"/>
    <w:rsid w:val="00DE75CE"/>
    <w:rsid w:val="00DF1ED6"/>
    <w:rsid w:val="00DF1FBA"/>
    <w:rsid w:val="00DF40C8"/>
    <w:rsid w:val="00E0008C"/>
    <w:rsid w:val="00E03B49"/>
    <w:rsid w:val="00E041D6"/>
    <w:rsid w:val="00E072BB"/>
    <w:rsid w:val="00E077D6"/>
    <w:rsid w:val="00E13068"/>
    <w:rsid w:val="00E14941"/>
    <w:rsid w:val="00E1500B"/>
    <w:rsid w:val="00E21D02"/>
    <w:rsid w:val="00E23DEE"/>
    <w:rsid w:val="00E25C4C"/>
    <w:rsid w:val="00E2641B"/>
    <w:rsid w:val="00E30293"/>
    <w:rsid w:val="00E32E66"/>
    <w:rsid w:val="00E3527B"/>
    <w:rsid w:val="00E367E5"/>
    <w:rsid w:val="00E36AD3"/>
    <w:rsid w:val="00E410AE"/>
    <w:rsid w:val="00E43CA0"/>
    <w:rsid w:val="00E50DE4"/>
    <w:rsid w:val="00E52F7B"/>
    <w:rsid w:val="00E61522"/>
    <w:rsid w:val="00E6156D"/>
    <w:rsid w:val="00E67B66"/>
    <w:rsid w:val="00E73604"/>
    <w:rsid w:val="00E74D19"/>
    <w:rsid w:val="00E74FB1"/>
    <w:rsid w:val="00E77B63"/>
    <w:rsid w:val="00E80640"/>
    <w:rsid w:val="00E81155"/>
    <w:rsid w:val="00E847AE"/>
    <w:rsid w:val="00E92EB7"/>
    <w:rsid w:val="00E97F79"/>
    <w:rsid w:val="00EA3410"/>
    <w:rsid w:val="00EA7221"/>
    <w:rsid w:val="00EB11AE"/>
    <w:rsid w:val="00EB46C1"/>
    <w:rsid w:val="00EB551D"/>
    <w:rsid w:val="00EB792E"/>
    <w:rsid w:val="00EC0344"/>
    <w:rsid w:val="00EC13A8"/>
    <w:rsid w:val="00EC1B03"/>
    <w:rsid w:val="00EC21DB"/>
    <w:rsid w:val="00EC4819"/>
    <w:rsid w:val="00EC4EA2"/>
    <w:rsid w:val="00EC5883"/>
    <w:rsid w:val="00ED3AFA"/>
    <w:rsid w:val="00EE2769"/>
    <w:rsid w:val="00EF1969"/>
    <w:rsid w:val="00EF5492"/>
    <w:rsid w:val="00EF5C36"/>
    <w:rsid w:val="00EF5F3B"/>
    <w:rsid w:val="00EF6788"/>
    <w:rsid w:val="00F00244"/>
    <w:rsid w:val="00F014F8"/>
    <w:rsid w:val="00F01558"/>
    <w:rsid w:val="00F01CE3"/>
    <w:rsid w:val="00F01E8C"/>
    <w:rsid w:val="00F02C82"/>
    <w:rsid w:val="00F063DF"/>
    <w:rsid w:val="00F06DFD"/>
    <w:rsid w:val="00F11B3B"/>
    <w:rsid w:val="00F1259F"/>
    <w:rsid w:val="00F1277E"/>
    <w:rsid w:val="00F12B82"/>
    <w:rsid w:val="00F14DEB"/>
    <w:rsid w:val="00F22993"/>
    <w:rsid w:val="00F23968"/>
    <w:rsid w:val="00F23F03"/>
    <w:rsid w:val="00F2699B"/>
    <w:rsid w:val="00F308CA"/>
    <w:rsid w:val="00F30F05"/>
    <w:rsid w:val="00F30F2A"/>
    <w:rsid w:val="00F31691"/>
    <w:rsid w:val="00F31727"/>
    <w:rsid w:val="00F32707"/>
    <w:rsid w:val="00F33F35"/>
    <w:rsid w:val="00F431D5"/>
    <w:rsid w:val="00F45C7E"/>
    <w:rsid w:val="00F51110"/>
    <w:rsid w:val="00F5313B"/>
    <w:rsid w:val="00F541FA"/>
    <w:rsid w:val="00F546F8"/>
    <w:rsid w:val="00F556D3"/>
    <w:rsid w:val="00F55AA1"/>
    <w:rsid w:val="00F6078E"/>
    <w:rsid w:val="00F6149F"/>
    <w:rsid w:val="00F62EFC"/>
    <w:rsid w:val="00F6386A"/>
    <w:rsid w:val="00F6465E"/>
    <w:rsid w:val="00F672DD"/>
    <w:rsid w:val="00F70081"/>
    <w:rsid w:val="00F731BE"/>
    <w:rsid w:val="00F75E11"/>
    <w:rsid w:val="00F826FC"/>
    <w:rsid w:val="00F863FA"/>
    <w:rsid w:val="00F86A50"/>
    <w:rsid w:val="00F90B23"/>
    <w:rsid w:val="00F946BB"/>
    <w:rsid w:val="00F957EA"/>
    <w:rsid w:val="00F96CD7"/>
    <w:rsid w:val="00FA05AB"/>
    <w:rsid w:val="00FA25EC"/>
    <w:rsid w:val="00FA2C28"/>
    <w:rsid w:val="00FA45CA"/>
    <w:rsid w:val="00FA569B"/>
    <w:rsid w:val="00FA7DD6"/>
    <w:rsid w:val="00FC1507"/>
    <w:rsid w:val="00FC3536"/>
    <w:rsid w:val="00FC40AD"/>
    <w:rsid w:val="00FC4365"/>
    <w:rsid w:val="00FC4D6B"/>
    <w:rsid w:val="00FC523C"/>
    <w:rsid w:val="00FC60E0"/>
    <w:rsid w:val="00FD5470"/>
    <w:rsid w:val="00FE0686"/>
    <w:rsid w:val="00FE148C"/>
    <w:rsid w:val="00FE2809"/>
    <w:rsid w:val="00FE285A"/>
    <w:rsid w:val="00FE3B0D"/>
    <w:rsid w:val="00FE6247"/>
    <w:rsid w:val="00FF2272"/>
    <w:rsid w:val="00FF3B17"/>
    <w:rsid w:val="00FF3CCF"/>
    <w:rsid w:val="00FF3E30"/>
    <w:rsid w:val="00FF583D"/>
    <w:rsid w:val="00FF7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F2EAD"/>
  <w15:docId w15:val="{BFFAE815-7A65-4BE8-8116-25083611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BB9"/>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3C7BB9"/>
    <w:pPr>
      <w:keepNext/>
      <w:jc w:val="center"/>
      <w:outlineLvl w:val="1"/>
    </w:pPr>
    <w:rPr>
      <w:rFonts w:cs="Simplified Arabic"/>
      <w:b/>
      <w:bCs/>
      <w:sz w:val="32"/>
      <w:szCs w:val="40"/>
      <w:lang w:eastAsia="en-US"/>
    </w:rPr>
  </w:style>
  <w:style w:type="paragraph" w:styleId="Heading3">
    <w:name w:val="heading 3"/>
    <w:basedOn w:val="Normal"/>
    <w:next w:val="Normal"/>
    <w:link w:val="Heading3Char"/>
    <w:qFormat/>
    <w:rsid w:val="003C7BB9"/>
    <w:pPr>
      <w:keepNext/>
      <w:jc w:val="center"/>
      <w:outlineLvl w:val="2"/>
    </w:pPr>
    <w:rPr>
      <w:rFonts w:cs="Simplified Arabic"/>
      <w:b/>
      <w:bCs/>
      <w:sz w:val="20"/>
      <w:szCs w:val="44"/>
      <w:lang w:eastAsia="en-US"/>
    </w:rPr>
  </w:style>
  <w:style w:type="paragraph" w:styleId="Heading6">
    <w:name w:val="heading 6"/>
    <w:basedOn w:val="Normal"/>
    <w:next w:val="Normal"/>
    <w:link w:val="Heading6Char"/>
    <w:qFormat/>
    <w:rsid w:val="003C7BB9"/>
    <w:pPr>
      <w:keepNext/>
      <w:jc w:val="center"/>
      <w:outlineLvl w:val="5"/>
    </w:pPr>
    <w:rPr>
      <w:rFonts w:cs="Traditional Arabic"/>
      <w:sz w:val="44"/>
      <w:szCs w:val="44"/>
      <w:lang w:eastAsia="en-US"/>
    </w:rPr>
  </w:style>
  <w:style w:type="paragraph" w:styleId="Heading7">
    <w:name w:val="heading 7"/>
    <w:basedOn w:val="Normal"/>
    <w:next w:val="Normal"/>
    <w:link w:val="Heading7Char"/>
    <w:qFormat/>
    <w:rsid w:val="003C7BB9"/>
    <w:pPr>
      <w:keepNext/>
      <w:outlineLvl w:val="6"/>
    </w:pPr>
    <w:rPr>
      <w:rFonts w:cs="Simplified Arabic"/>
      <w:b/>
      <w:bCs/>
      <w:lang w:eastAsia="en-US"/>
    </w:rPr>
  </w:style>
  <w:style w:type="paragraph" w:styleId="Heading9">
    <w:name w:val="heading 9"/>
    <w:basedOn w:val="Normal"/>
    <w:next w:val="Normal"/>
    <w:link w:val="Heading9Char"/>
    <w:qFormat/>
    <w:rsid w:val="003C7BB9"/>
    <w:pPr>
      <w:keepNext/>
      <w:jc w:val="center"/>
      <w:outlineLvl w:val="8"/>
    </w:pPr>
    <w:rPr>
      <w:rFonts w:cs="Simplified Arabic"/>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BB9"/>
    <w:rPr>
      <w:rFonts w:ascii="Times New Roman" w:eastAsia="Times New Roman" w:hAnsi="Times New Roman" w:cs="Simplified Arabic"/>
      <w:b/>
      <w:bCs/>
      <w:sz w:val="32"/>
      <w:szCs w:val="40"/>
    </w:rPr>
  </w:style>
  <w:style w:type="character" w:customStyle="1" w:styleId="Heading3Char">
    <w:name w:val="Heading 3 Char"/>
    <w:basedOn w:val="DefaultParagraphFont"/>
    <w:link w:val="Heading3"/>
    <w:rsid w:val="003C7BB9"/>
    <w:rPr>
      <w:rFonts w:ascii="Times New Roman" w:eastAsia="Times New Roman" w:hAnsi="Times New Roman" w:cs="Simplified Arabic"/>
      <w:b/>
      <w:bCs/>
      <w:sz w:val="20"/>
      <w:szCs w:val="44"/>
    </w:rPr>
  </w:style>
  <w:style w:type="character" w:customStyle="1" w:styleId="Heading6Char">
    <w:name w:val="Heading 6 Char"/>
    <w:basedOn w:val="DefaultParagraphFont"/>
    <w:link w:val="Heading6"/>
    <w:rsid w:val="003C7BB9"/>
    <w:rPr>
      <w:rFonts w:ascii="Times New Roman" w:eastAsia="Times New Roman" w:hAnsi="Times New Roman" w:cs="Traditional Arabic"/>
      <w:sz w:val="44"/>
      <w:szCs w:val="44"/>
    </w:rPr>
  </w:style>
  <w:style w:type="character" w:customStyle="1" w:styleId="Heading7Char">
    <w:name w:val="Heading 7 Char"/>
    <w:basedOn w:val="DefaultParagraphFont"/>
    <w:link w:val="Heading7"/>
    <w:rsid w:val="003C7BB9"/>
    <w:rPr>
      <w:rFonts w:ascii="Times New Roman" w:eastAsia="Times New Roman" w:hAnsi="Times New Roman" w:cs="Simplified Arabic"/>
      <w:b/>
      <w:bCs/>
      <w:sz w:val="24"/>
      <w:szCs w:val="24"/>
    </w:rPr>
  </w:style>
  <w:style w:type="character" w:customStyle="1" w:styleId="Heading9Char">
    <w:name w:val="Heading 9 Char"/>
    <w:basedOn w:val="DefaultParagraphFont"/>
    <w:link w:val="Heading9"/>
    <w:rsid w:val="003C7BB9"/>
    <w:rPr>
      <w:rFonts w:ascii="Times New Roman" w:eastAsia="Times New Roman" w:hAnsi="Times New Roman" w:cs="Simplified Arabic"/>
      <w:sz w:val="26"/>
      <w:szCs w:val="26"/>
    </w:rPr>
  </w:style>
  <w:style w:type="paragraph" w:styleId="Title">
    <w:name w:val="Title"/>
    <w:basedOn w:val="Normal"/>
    <w:next w:val="Normal"/>
    <w:link w:val="TitleChar"/>
    <w:qFormat/>
    <w:rsid w:val="003C7BB9"/>
    <w:pPr>
      <w:bidi w:val="0"/>
      <w:spacing w:after="60"/>
      <w:jc w:val="center"/>
      <w:outlineLvl w:val="0"/>
    </w:pPr>
    <w:rPr>
      <w:rFonts w:ascii="Arial" w:cs="Simplified Arabic"/>
      <w:b/>
      <w:bCs/>
      <w:kern w:val="28"/>
      <w:sz w:val="32"/>
      <w:szCs w:val="38"/>
      <w:lang w:val="en-GB" w:eastAsia="en-US" w:bidi="ar-JO"/>
    </w:rPr>
  </w:style>
  <w:style w:type="character" w:customStyle="1" w:styleId="TitleChar">
    <w:name w:val="Title Char"/>
    <w:basedOn w:val="DefaultParagraphFont"/>
    <w:link w:val="Title"/>
    <w:rsid w:val="003C7BB9"/>
    <w:rPr>
      <w:rFonts w:ascii="Arial" w:eastAsia="Times New Roman" w:hAnsi="Times New Roman" w:cs="Simplified Arabic"/>
      <w:b/>
      <w:bCs/>
      <w:kern w:val="28"/>
      <w:sz w:val="32"/>
      <w:szCs w:val="38"/>
      <w:lang w:val="en-GB" w:bidi="ar-JO"/>
    </w:rPr>
  </w:style>
  <w:style w:type="paragraph" w:styleId="Caption">
    <w:name w:val="caption"/>
    <w:basedOn w:val="Normal"/>
    <w:next w:val="Normal"/>
    <w:qFormat/>
    <w:rsid w:val="003C7BB9"/>
    <w:pPr>
      <w:tabs>
        <w:tab w:val="right" w:pos="6377"/>
      </w:tabs>
      <w:snapToGrid w:val="0"/>
      <w:jc w:val="center"/>
    </w:pPr>
    <w:rPr>
      <w:rFonts w:cs="Traditional Arabic"/>
      <w:b/>
      <w:bCs/>
      <w:szCs w:val="28"/>
      <w:lang w:eastAsia="en-US"/>
    </w:rPr>
  </w:style>
  <w:style w:type="paragraph" w:styleId="BodyText">
    <w:name w:val="Body Text"/>
    <w:basedOn w:val="Normal"/>
    <w:link w:val="BodyTextChar"/>
    <w:rsid w:val="003C7BB9"/>
    <w:rPr>
      <w:rFonts w:cs="Simplified Arabic"/>
      <w:sz w:val="28"/>
      <w:szCs w:val="20"/>
      <w:lang w:eastAsia="en-US"/>
    </w:rPr>
  </w:style>
  <w:style w:type="character" w:customStyle="1" w:styleId="BodyTextChar">
    <w:name w:val="Body Text Char"/>
    <w:basedOn w:val="DefaultParagraphFont"/>
    <w:link w:val="BodyText"/>
    <w:rsid w:val="003C7BB9"/>
    <w:rPr>
      <w:rFonts w:ascii="Times New Roman" w:eastAsia="Times New Roman" w:hAnsi="Times New Roman" w:cs="Simplified Arabic"/>
      <w:sz w:val="28"/>
      <w:szCs w:val="20"/>
    </w:rPr>
  </w:style>
  <w:style w:type="character" w:styleId="FootnoteReference">
    <w:name w:val="footnote reference"/>
    <w:basedOn w:val="DefaultParagraphFont"/>
    <w:semiHidden/>
    <w:rsid w:val="003C7BB9"/>
    <w:rPr>
      <w:vertAlign w:val="superscript"/>
    </w:rPr>
  </w:style>
  <w:style w:type="paragraph" w:styleId="FootnoteText">
    <w:name w:val="footnote text"/>
    <w:basedOn w:val="Normal"/>
    <w:link w:val="FootnoteTextChar"/>
    <w:semiHidden/>
    <w:rsid w:val="003C7BB9"/>
    <w:pPr>
      <w:bidi w:val="0"/>
      <w:spacing w:after="120"/>
    </w:pPr>
    <w:rPr>
      <w:rFonts w:cs="Simplified Arabic"/>
      <w:snapToGrid w:val="0"/>
      <w:sz w:val="20"/>
      <w:szCs w:val="20"/>
      <w:lang w:val="en-GB" w:eastAsia="en-US" w:bidi="ar-JO"/>
    </w:rPr>
  </w:style>
  <w:style w:type="character" w:customStyle="1" w:styleId="FootnoteTextChar">
    <w:name w:val="Footnote Text Char"/>
    <w:basedOn w:val="DefaultParagraphFont"/>
    <w:link w:val="FootnoteText"/>
    <w:semiHidden/>
    <w:rsid w:val="003C7BB9"/>
    <w:rPr>
      <w:rFonts w:ascii="Times New Roman" w:eastAsia="Times New Roman" w:hAnsi="Times New Roman" w:cs="Simplified Arabic"/>
      <w:snapToGrid w:val="0"/>
      <w:sz w:val="20"/>
      <w:szCs w:val="20"/>
      <w:lang w:val="en-GB" w:bidi="ar-JO"/>
    </w:rPr>
  </w:style>
  <w:style w:type="character" w:styleId="PageNumber">
    <w:name w:val="page number"/>
    <w:basedOn w:val="DefaultParagraphFont"/>
    <w:rsid w:val="003C7BB9"/>
  </w:style>
  <w:style w:type="paragraph" w:styleId="Footer">
    <w:name w:val="footer"/>
    <w:basedOn w:val="Normal"/>
    <w:link w:val="FooterChar"/>
    <w:uiPriority w:val="99"/>
    <w:rsid w:val="003C7BB9"/>
    <w:pPr>
      <w:tabs>
        <w:tab w:val="center" w:pos="4153"/>
        <w:tab w:val="right" w:pos="8306"/>
      </w:tabs>
    </w:pPr>
    <w:rPr>
      <w:rFonts w:cs="Traditional Arabic"/>
      <w:sz w:val="20"/>
      <w:szCs w:val="20"/>
      <w:lang w:eastAsia="en-US"/>
    </w:rPr>
  </w:style>
  <w:style w:type="character" w:customStyle="1" w:styleId="FooterChar">
    <w:name w:val="Footer Char"/>
    <w:basedOn w:val="DefaultParagraphFont"/>
    <w:link w:val="Footer"/>
    <w:uiPriority w:val="99"/>
    <w:rsid w:val="003C7BB9"/>
    <w:rPr>
      <w:rFonts w:ascii="Times New Roman" w:eastAsia="Times New Roman" w:hAnsi="Times New Roman" w:cs="Traditional Arabic"/>
      <w:sz w:val="20"/>
      <w:szCs w:val="20"/>
    </w:rPr>
  </w:style>
  <w:style w:type="paragraph" w:styleId="BodyText3">
    <w:name w:val="Body Text 3"/>
    <w:basedOn w:val="Normal"/>
    <w:link w:val="BodyText3Char"/>
    <w:rsid w:val="003C7BB9"/>
    <w:pPr>
      <w:numPr>
        <w:ilvl w:val="12"/>
      </w:numPr>
      <w:jc w:val="both"/>
    </w:pPr>
    <w:rPr>
      <w:rFonts w:cs="Simplified Arabic"/>
      <w:lang w:eastAsia="en-US"/>
    </w:rPr>
  </w:style>
  <w:style w:type="character" w:customStyle="1" w:styleId="BodyText3Char">
    <w:name w:val="Body Text 3 Char"/>
    <w:basedOn w:val="DefaultParagraphFont"/>
    <w:link w:val="BodyText3"/>
    <w:rsid w:val="003C7BB9"/>
    <w:rPr>
      <w:rFonts w:ascii="Times New Roman" w:eastAsia="Times New Roman" w:hAnsi="Times New Roman" w:cs="Simplified Arabic"/>
      <w:sz w:val="24"/>
      <w:szCs w:val="24"/>
    </w:rPr>
  </w:style>
  <w:style w:type="paragraph" w:styleId="ListParagraph">
    <w:name w:val="List Paragraph"/>
    <w:basedOn w:val="Normal"/>
    <w:uiPriority w:val="34"/>
    <w:qFormat/>
    <w:rsid w:val="003C7BB9"/>
    <w:pPr>
      <w:ind w:left="720"/>
    </w:pPr>
  </w:style>
  <w:style w:type="paragraph" w:styleId="BalloonText">
    <w:name w:val="Balloon Text"/>
    <w:basedOn w:val="Normal"/>
    <w:link w:val="BalloonTextChar"/>
    <w:uiPriority w:val="99"/>
    <w:semiHidden/>
    <w:unhideWhenUsed/>
    <w:rsid w:val="00FF2272"/>
    <w:rPr>
      <w:rFonts w:ascii="Tahoma" w:hAnsi="Tahoma" w:cs="Tahoma"/>
      <w:sz w:val="16"/>
      <w:szCs w:val="16"/>
    </w:rPr>
  </w:style>
  <w:style w:type="character" w:customStyle="1" w:styleId="BalloonTextChar">
    <w:name w:val="Balloon Text Char"/>
    <w:basedOn w:val="DefaultParagraphFont"/>
    <w:link w:val="BalloonText"/>
    <w:uiPriority w:val="99"/>
    <w:semiHidden/>
    <w:rsid w:val="00FF2272"/>
    <w:rPr>
      <w:rFonts w:ascii="Tahoma" w:eastAsia="Times New Roman" w:hAnsi="Tahoma" w:cs="Tahoma"/>
      <w:sz w:val="16"/>
      <w:szCs w:val="16"/>
      <w:lang w:eastAsia="ar-SA"/>
    </w:rPr>
  </w:style>
  <w:style w:type="paragraph" w:styleId="Header">
    <w:name w:val="header"/>
    <w:basedOn w:val="Normal"/>
    <w:link w:val="HeaderChar"/>
    <w:uiPriority w:val="99"/>
    <w:unhideWhenUsed/>
    <w:rsid w:val="00520479"/>
    <w:pPr>
      <w:tabs>
        <w:tab w:val="center" w:pos="4153"/>
        <w:tab w:val="right" w:pos="8306"/>
      </w:tabs>
    </w:pPr>
  </w:style>
  <w:style w:type="character" w:customStyle="1" w:styleId="HeaderChar">
    <w:name w:val="Header Char"/>
    <w:basedOn w:val="DefaultParagraphFont"/>
    <w:link w:val="Header"/>
    <w:uiPriority w:val="99"/>
    <w:rsid w:val="00520479"/>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0C4031"/>
    <w:rPr>
      <w:sz w:val="20"/>
      <w:szCs w:val="20"/>
    </w:rPr>
  </w:style>
  <w:style w:type="character" w:customStyle="1" w:styleId="EndnoteTextChar">
    <w:name w:val="Endnote Text Char"/>
    <w:basedOn w:val="DefaultParagraphFont"/>
    <w:link w:val="EndnoteText"/>
    <w:uiPriority w:val="99"/>
    <w:semiHidden/>
    <w:rsid w:val="000C4031"/>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0C4031"/>
    <w:rPr>
      <w:vertAlign w:val="superscript"/>
    </w:rPr>
  </w:style>
  <w:style w:type="table" w:styleId="TableGrid">
    <w:name w:val="Table Grid"/>
    <w:basedOn w:val="TableNormal"/>
    <w:uiPriority w:val="59"/>
    <w:rsid w:val="00AA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252054">
      <w:bodyDiv w:val="1"/>
      <w:marLeft w:val="0"/>
      <w:marRight w:val="0"/>
      <w:marTop w:val="0"/>
      <w:marBottom w:val="0"/>
      <w:divBdr>
        <w:top w:val="none" w:sz="0" w:space="0" w:color="auto"/>
        <w:left w:val="none" w:sz="0" w:space="0" w:color="auto"/>
        <w:bottom w:val="none" w:sz="0" w:space="0" w:color="auto"/>
        <w:right w:val="none" w:sz="0" w:space="0" w:color="auto"/>
      </w:divBdr>
    </w:div>
    <w:div w:id="130686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7.0488945114547813E-2"/>
          <c:w val="0.86411075787173586"/>
          <c:h val="0.65874161563147904"/>
        </c:manualLayout>
      </c:layout>
      <c:lineChart>
        <c:grouping val="stacked"/>
        <c:varyColors val="0"/>
        <c:ser>
          <c:idx val="1"/>
          <c:order val="0"/>
          <c:tx>
            <c:strRef>
              <c:f>Sheet1!$C$2</c:f>
              <c:strCache>
                <c:ptCount val="1"/>
                <c:pt idx="0">
                  <c:v>Column3</c:v>
                </c:pt>
              </c:strCache>
            </c:strRef>
          </c:tx>
          <c:dLbls>
            <c:dLbl>
              <c:idx val="0"/>
              <c:layout>
                <c:manualLayout>
                  <c:x val="-2.7797081306462818E-2"/>
                  <c:y val="-8.92193308550186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6B-4B89-A248-4812698FCD96}"/>
                </c:ext>
              </c:extLst>
            </c:dLbl>
            <c:dLbl>
              <c:idx val="17"/>
              <c:layout>
                <c:manualLayout>
                  <c:x val="-5.7910586055130879E-2"/>
                  <c:y val="-9.5238095238095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6B-4B89-A248-4812698FCD96}"/>
                </c:ext>
              </c:extLst>
            </c:dLbl>
            <c:dLbl>
              <c:idx val="19"/>
              <c:layout>
                <c:manualLayout>
                  <c:x val="-6.9492703266157058E-2"/>
                  <c:y val="-8.8520055325034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6B-4B89-A248-4812698FCD9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Sheet1!$A$3:$B$20</c:f>
              <c:multiLvlStrCache>
                <c:ptCount val="18"/>
                <c:lvl>
                  <c:pt idx="0">
                    <c:v>الربع الثاني </c:v>
                  </c:pt>
                  <c:pt idx="1">
                    <c:v>الربع الأول</c:v>
                  </c:pt>
                  <c:pt idx="2">
                    <c:v>الربع الرابع</c:v>
                  </c:pt>
                  <c:pt idx="3">
                    <c:v>الربع الثالث</c:v>
                  </c:pt>
                  <c:pt idx="4">
                    <c:v>الربع الثاني </c:v>
                  </c:pt>
                  <c:pt idx="5">
                    <c:v>الربع الأول</c:v>
                  </c:pt>
                  <c:pt idx="6">
                    <c:v>الربع الرابع</c:v>
                  </c:pt>
                  <c:pt idx="7">
                    <c:v>الربع الثالث</c:v>
                  </c:pt>
                  <c:pt idx="8">
                    <c:v>الربع الثاني </c:v>
                  </c:pt>
                  <c:pt idx="9">
                    <c:v>الربع الأول</c:v>
                  </c:pt>
                  <c:pt idx="10">
                    <c:v>الربع الرابع</c:v>
                  </c:pt>
                  <c:pt idx="11">
                    <c:v>الربع الثالث</c:v>
                  </c:pt>
                  <c:pt idx="12">
                    <c:v>الربع الثاني </c:v>
                  </c:pt>
                  <c:pt idx="13">
                    <c:v>الربع الأول</c:v>
                  </c:pt>
                  <c:pt idx="14">
                    <c:v>الربع الرابع</c:v>
                  </c:pt>
                  <c:pt idx="15">
                    <c:v>الربع الثالث</c:v>
                  </c:pt>
                  <c:pt idx="16">
                    <c:v>الربع الثاني </c:v>
                  </c:pt>
                  <c:pt idx="17">
                    <c:v>الربع الأول</c:v>
                  </c:pt>
                </c:lvl>
                <c:lvl>
                  <c:pt idx="0">
                    <c:v>2021</c:v>
                  </c:pt>
                  <c:pt idx="2">
                    <c:v>2020</c:v>
                  </c:pt>
                  <c:pt idx="6">
                    <c:v>2019</c:v>
                  </c:pt>
                  <c:pt idx="10">
                    <c:v>2018</c:v>
                  </c:pt>
                  <c:pt idx="14">
                    <c:v>2017</c:v>
                  </c:pt>
                </c:lvl>
              </c:multiLvlStrCache>
            </c:multiLvlStrRef>
          </c:cat>
          <c:val>
            <c:numRef>
              <c:f>Sheet1!$C$3:$C$20</c:f>
              <c:numCache>
                <c:formatCode>#,##0</c:formatCode>
                <c:ptCount val="18"/>
                <c:pt idx="0">
                  <c:v>3734.2999999999997</c:v>
                </c:pt>
                <c:pt idx="1">
                  <c:v>3607.5</c:v>
                </c:pt>
                <c:pt idx="2">
                  <c:v>3540.5999999999995</c:v>
                </c:pt>
                <c:pt idx="3">
                  <c:v>3506.2</c:v>
                </c:pt>
                <c:pt idx="4">
                  <c:v>3134.9000000000005</c:v>
                </c:pt>
                <c:pt idx="5">
                  <c:v>3833.7000000000007</c:v>
                </c:pt>
                <c:pt idx="6">
                  <c:v>4032.3999999999996</c:v>
                </c:pt>
                <c:pt idx="7">
                  <c:v>3930.1000000000004</c:v>
                </c:pt>
                <c:pt idx="8">
                  <c:v>3893.1</c:v>
                </c:pt>
                <c:pt idx="9">
                  <c:v>3973.3999999999996</c:v>
                </c:pt>
                <c:pt idx="10">
                  <c:v>4089.7</c:v>
                </c:pt>
                <c:pt idx="11">
                  <c:v>3938.8</c:v>
                </c:pt>
                <c:pt idx="12">
                  <c:v>3788.1000000000004</c:v>
                </c:pt>
                <c:pt idx="13">
                  <c:v>3799.6000000000004</c:v>
                </c:pt>
                <c:pt idx="14">
                  <c:v>3951.7</c:v>
                </c:pt>
                <c:pt idx="15">
                  <c:v>3952.3999999999996</c:v>
                </c:pt>
                <c:pt idx="16">
                  <c:v>3814.8</c:v>
                </c:pt>
                <c:pt idx="17">
                  <c:v>3708</c:v>
                </c:pt>
              </c:numCache>
            </c:numRef>
          </c:val>
          <c:smooth val="0"/>
          <c:extLst>
            <c:ext xmlns:c16="http://schemas.microsoft.com/office/drawing/2014/chart" uri="{C3380CC4-5D6E-409C-BE32-E72D297353CC}">
              <c16:uniqueId val="{00000003-4E6B-4B89-A248-4812698FCD96}"/>
            </c:ext>
          </c:extLst>
        </c:ser>
        <c:dLbls>
          <c:showLegendKey val="0"/>
          <c:showVal val="0"/>
          <c:showCatName val="0"/>
          <c:showSerName val="0"/>
          <c:showPercent val="0"/>
          <c:showBubbleSize val="0"/>
        </c:dLbls>
        <c:marker val="1"/>
        <c:smooth val="0"/>
        <c:axId val="189264640"/>
        <c:axId val="189266176"/>
      </c:lineChart>
      <c:catAx>
        <c:axId val="189264640"/>
        <c:scaling>
          <c:orientation val="minMax"/>
        </c:scaling>
        <c:delete val="0"/>
        <c:axPos val="b"/>
        <c:numFmt formatCode="General" sourceLinked="1"/>
        <c:majorTickMark val="none"/>
        <c:minorTickMark val="none"/>
        <c:tickLblPos val="nextTo"/>
        <c:txPr>
          <a:bodyPr/>
          <a:lstStyle/>
          <a:p>
            <a:pPr>
              <a:defRPr lang="ar-SA" sz="900"/>
            </a:pPr>
            <a:endParaRPr lang="en-US"/>
          </a:p>
        </c:txPr>
        <c:crossAx val="189266176"/>
        <c:crosses val="autoZero"/>
        <c:auto val="1"/>
        <c:lblAlgn val="ctr"/>
        <c:lblOffset val="100"/>
        <c:noMultiLvlLbl val="0"/>
      </c:catAx>
      <c:valAx>
        <c:axId val="189266176"/>
        <c:scaling>
          <c:orientation val="minMax"/>
          <c:max val="7000"/>
          <c:min val="0"/>
        </c:scaling>
        <c:delete val="0"/>
        <c:axPos val="r"/>
        <c:title>
          <c:tx>
            <c:rich>
              <a:bodyPr/>
              <a:lstStyle/>
              <a:p>
                <a:pPr>
                  <a:defRPr lang="ar-SA" sz="900"/>
                </a:pPr>
                <a:r>
                  <a:rPr lang="ar-SA" sz="900" baseline="0"/>
                  <a:t>مليون دولار امريكي</a:t>
                </a:r>
                <a:endParaRPr lang="en-US" sz="900"/>
              </a:p>
            </c:rich>
          </c:tx>
          <c:overlay val="0"/>
        </c:title>
        <c:numFmt formatCode="#,##0" sourceLinked="0"/>
        <c:majorTickMark val="none"/>
        <c:minorTickMark val="none"/>
        <c:tickLblPos val="nextTo"/>
        <c:txPr>
          <a:bodyPr/>
          <a:lstStyle/>
          <a:p>
            <a:pPr>
              <a:defRPr lang="ar-SA"/>
            </a:pPr>
            <a:endParaRPr lang="en-US"/>
          </a:p>
        </c:txPr>
        <c:crossAx val="189264640"/>
        <c:crosses val="max"/>
        <c:crossBetween val="between"/>
        <c:majorUnit val="1000"/>
      </c:valAx>
      <c:spPr>
        <a:ln>
          <a:noFill/>
        </a:ln>
      </c:spPr>
    </c:plotArea>
    <c:plotVisOnly val="1"/>
    <c:dispBlanksAs val="zero"/>
    <c:showDLblsOverMax val="0"/>
  </c:chart>
  <c:spPr>
    <a:ln w="635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DBD28-D1FF-405D-92A0-6CEBA038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hananj</dc:creator>
  <cp:lastModifiedBy>Hadeel Badran</cp:lastModifiedBy>
  <cp:revision>27</cp:revision>
  <cp:lastPrinted>2017-09-25T08:46:00Z</cp:lastPrinted>
  <dcterms:created xsi:type="dcterms:W3CDTF">2017-09-25T08:55:00Z</dcterms:created>
  <dcterms:modified xsi:type="dcterms:W3CDTF">2021-09-27T07:54:00Z</dcterms:modified>
</cp:coreProperties>
</file>