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7E" w:rsidRDefault="0065077E" w:rsidP="0065077E">
      <w:pPr>
        <w:jc w:val="both"/>
        <w:rPr>
          <w:rFonts w:cs="Simplified Arabic"/>
          <w:b/>
          <w:bCs/>
          <w:sz w:val="22"/>
          <w:szCs w:val="22"/>
          <w:rtl/>
        </w:rPr>
      </w:pPr>
    </w:p>
    <w:p w:rsidR="0065077E" w:rsidRDefault="0065077E" w:rsidP="0065077E">
      <w:pPr>
        <w:pStyle w:val="Head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د. عوض، تستعرض أوضاع الفلسطينيين في نهاية عام </w:t>
      </w:r>
      <w:r>
        <w:rPr>
          <w:rFonts w:ascii="Simplified Arabic" w:hAnsi="Simplified Arabic" w:cs="Simplified Arabic"/>
          <w:b/>
          <w:bCs/>
          <w:sz w:val="32"/>
          <w:szCs w:val="32"/>
        </w:rPr>
        <w:t>2020</w:t>
      </w:r>
    </w:p>
    <w:p w:rsidR="0065077E" w:rsidRDefault="0065077E" w:rsidP="0065077E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استعرضت معالي د.علا عوض، رئيس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الإحصاء الفلسطيني، أوضاع الفلسطينيين في نهاية </w:t>
      </w:r>
    </w:p>
    <w:p w:rsidR="0065077E" w:rsidRDefault="0065077E" w:rsidP="0065077E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عام 2020، عشية رأس السنة الجديدة 2021، على النحو الآتي:</w:t>
      </w:r>
    </w:p>
    <w:p w:rsidR="0065077E" w:rsidRPr="0065077E" w:rsidRDefault="0065077E" w:rsidP="0065077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23E9" w:rsidRPr="0065077E" w:rsidRDefault="000D332A" w:rsidP="0065077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حوالي 13.7</w:t>
      </w:r>
      <w:r w:rsidR="00915822" w:rsidRPr="0065077E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مليون فلسطيني في العالم مع نهاية عام </w:t>
      </w:r>
      <w:r w:rsidR="00C305DE" w:rsidRPr="0065077E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>2020</w:t>
      </w:r>
    </w:p>
    <w:p w:rsidR="00C723E9" w:rsidRPr="0065077E" w:rsidRDefault="00C723E9" w:rsidP="0065077E">
      <w:pPr>
        <w:jc w:val="lowKashida"/>
        <w:rPr>
          <w:rFonts w:ascii="Simplified Arabic" w:hAnsi="Simplified Arabic" w:cs="Simplified Arabic"/>
          <w:sz w:val="26"/>
          <w:szCs w:val="26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عـدد الفلسطينيين المقدر فـي </w:t>
      </w:r>
      <w:r w:rsidR="00A131EE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نهاية عام 2020</w:t>
      </w:r>
      <w:r w:rsidR="00007967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حوالي </w:t>
      </w:r>
      <w:r w:rsidR="00135B24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13.7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مليون فلسطيني؛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5.2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مليون فـي </w:t>
      </w:r>
      <w:r w:rsidR="003B4E32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دولة </w:t>
      </w:r>
      <w:r w:rsidR="00312B2B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فلسطين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، و</w:t>
      </w:r>
      <w:r w:rsidR="002B2F8F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حوالي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1.6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مليون فلسطيني في </w:t>
      </w:r>
      <w:r w:rsidR="004F4CED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أراضي 1948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وما يقارب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6.2</w:t>
      </w:r>
      <w:r w:rsidR="0082798F" w:rsidRPr="0065077E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126095" w:rsidRPr="0065077E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مليون في الدول العربية ونحو </w:t>
      </w:r>
      <w:r w:rsidR="0082798F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738</w:t>
      </w:r>
      <w:r w:rsidR="00E240AE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ألف في الدول الأجنبية.</w:t>
      </w:r>
      <w:r w:rsidRPr="0065077E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82798F" w:rsidRPr="0065077E" w:rsidRDefault="0082798F" w:rsidP="0065077E">
      <w:pPr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C723E9" w:rsidRPr="0065077E" w:rsidRDefault="0062353B" w:rsidP="0065077E">
      <w:pPr>
        <w:pStyle w:val="Heading1"/>
        <w:jc w:val="both"/>
        <w:rPr>
          <w:rFonts w:ascii="Simplified Arabic" w:hAnsi="Simplified Arabic" w:cs="Simplified Arabic"/>
          <w:sz w:val="26"/>
          <w:szCs w:val="26"/>
          <w:highlight w:val="yellow"/>
          <w:rtl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>حوالي 6.8 مليون فلسطيني يقيمون في فلسطين التاريخية</w:t>
      </w:r>
    </w:p>
    <w:p w:rsidR="0062353B" w:rsidRPr="0065077E" w:rsidRDefault="0062353B" w:rsidP="0065077E">
      <w:pPr>
        <w:pStyle w:val="Heading1"/>
        <w:jc w:val="both"/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</w:pP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تشير تقديرات الجهاز المركزي للإحصاء الفلسطيني إلى أن عدد السكان الفلسطينيين في فلسطين التاريخية بلغ حوالي 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lang w:eastAsia="en-US"/>
        </w:rPr>
        <w:t>6.80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 مليون نهاية عام 2020، في حين من المتوقع ان يبلغ عدد اليهود 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lang w:eastAsia="en-US"/>
        </w:rPr>
        <w:t>6.88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 مليون مع نهاية عام 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lang w:eastAsia="en-US"/>
        </w:rPr>
        <w:t>2020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.  وسيتساوى عدد السكان الفلسطينيين </w:t>
      </w:r>
      <w:r w:rsidR="00024B49"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>واليهود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 مع نهاية عام 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lang w:eastAsia="en-US"/>
        </w:rPr>
        <w:t>2022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، حيث سيصبح عدد الفلسطينين </w:t>
      </w:r>
      <w:r w:rsidR="00024B49"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>واليهود</w:t>
      </w:r>
      <w:r w:rsidRPr="0065077E">
        <w:rPr>
          <w:rFonts w:ascii="Simplified Arabic" w:hAnsi="Simplified Arabic" w:cs="Simplified Arabic"/>
          <w:b w:val="0"/>
          <w:bCs w:val="0"/>
          <w:noProof/>
          <w:sz w:val="26"/>
          <w:szCs w:val="26"/>
          <w:rtl/>
          <w:lang w:eastAsia="en-US"/>
        </w:rPr>
        <w:t xml:space="preserve"> حوالي 7.1 مليون لكل منهم.</w:t>
      </w:r>
    </w:p>
    <w:p w:rsidR="0062353B" w:rsidRPr="0065077E" w:rsidRDefault="0062353B" w:rsidP="0065077E">
      <w:pPr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62353B" w:rsidRPr="0065077E" w:rsidRDefault="0062353B" w:rsidP="0065077E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>أكثر من ثلث السكان يقيمون في قطاع غزة نهاية عام 2020</w:t>
      </w:r>
    </w:p>
    <w:p w:rsidR="0062353B" w:rsidRPr="0065077E" w:rsidRDefault="0062353B" w:rsidP="006507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قدر عدد السكان في دولة فلسطين بحوالي </w:t>
      </w:r>
      <w:r w:rsidRPr="0065077E">
        <w:rPr>
          <w:rFonts w:ascii="Simplified Arabic" w:hAnsi="Simplified Arabic" w:cs="Simplified Arabic"/>
          <w:sz w:val="26"/>
          <w:szCs w:val="26"/>
        </w:rPr>
        <w:t>5.2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 مليون فرداً؛ حوالي </w:t>
      </w:r>
      <w:r w:rsidRPr="0065077E">
        <w:rPr>
          <w:rFonts w:ascii="Simplified Arabic" w:hAnsi="Simplified Arabic" w:cs="Simplified Arabic"/>
          <w:sz w:val="26"/>
          <w:szCs w:val="26"/>
        </w:rPr>
        <w:t>3.1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 مليون في الضفة الغربية و</w:t>
      </w:r>
      <w:r w:rsidRPr="0065077E">
        <w:rPr>
          <w:rFonts w:ascii="Simplified Arabic" w:hAnsi="Simplified Arabic" w:cs="Simplified Arabic"/>
          <w:sz w:val="26"/>
          <w:szCs w:val="26"/>
        </w:rPr>
        <w:t>2.1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 مليون في قطاع غزة.  وبلغت نسبة السكان اللاجئين لعام 2017 نحو 42% من مجمل السكان الفلسطينيين المقيمين في دولة فلسطين؛ بواقع 26% في الضفة الغربية و66% في قطاع غزة.</w:t>
      </w:r>
    </w:p>
    <w:p w:rsidR="0062353B" w:rsidRPr="0065077E" w:rsidRDefault="0062353B" w:rsidP="0065077E">
      <w:pPr>
        <w:pStyle w:val="Heading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723E9" w:rsidRPr="0065077E" w:rsidRDefault="00721AED" w:rsidP="0065077E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>انخفاض في</w:t>
      </w:r>
      <w:r w:rsidR="00C723E9" w:rsidRPr="0065077E">
        <w:rPr>
          <w:rFonts w:ascii="Simplified Arabic" w:hAnsi="Simplified Arabic" w:cs="Simplified Arabic"/>
          <w:sz w:val="26"/>
          <w:szCs w:val="26"/>
          <w:rtl/>
        </w:rPr>
        <w:t xml:space="preserve"> معدلات الخصوبة </w:t>
      </w:r>
    </w:p>
    <w:p w:rsidR="00E13E41" w:rsidRPr="0065077E" w:rsidRDefault="00C723E9" w:rsidP="0065077E">
      <w:pPr>
        <w:tabs>
          <w:tab w:val="left" w:pos="5400"/>
        </w:tabs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 معدل الخصوبة الكل</w:t>
      </w:r>
      <w:r w:rsidR="008D5D94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ية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70980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خلال الفترة </w:t>
      </w:r>
      <w:r w:rsidR="00E46B3C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2017</w:t>
      </w:r>
      <w:r w:rsidR="00770980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-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2019</w:t>
      </w:r>
      <w:r w:rsidR="00E46B3C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)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3.8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مولوداً</w:t>
      </w:r>
      <w:r w:rsidR="00E46B3C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مقارنة مع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4.6</w:t>
      </w:r>
      <w:r w:rsidR="00915822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12577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مولوداً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عام </w:t>
      </w:r>
      <w:r w:rsidR="0034535D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1999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؛ 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3.8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مولوداً في الضفة الغربية </w:t>
      </w:r>
      <w:r w:rsidR="00770980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82798F" w:rsidRPr="0065077E">
        <w:rPr>
          <w:rFonts w:ascii="Simplified Arabic" w:hAnsi="Simplified Arabic" w:cs="Simplified Arabic"/>
          <w:sz w:val="26"/>
          <w:szCs w:val="26"/>
          <w:lang w:eastAsia="en-US"/>
        </w:rPr>
        <w:t>3.9</w:t>
      </w:r>
      <w:r w:rsidR="00026B13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مولود</w:t>
      </w:r>
      <w:r w:rsidR="001D0D82"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اً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قطاع غزة.</w:t>
      </w:r>
    </w:p>
    <w:p w:rsidR="00C723E9" w:rsidRPr="0065077E" w:rsidRDefault="00C723E9" w:rsidP="0065077E">
      <w:pPr>
        <w:tabs>
          <w:tab w:val="left" w:pos="5400"/>
        </w:tabs>
        <w:jc w:val="lowKashida"/>
        <w:rPr>
          <w:rFonts w:ascii="Simplified Arabic" w:hAnsi="Simplified Arabic" w:cs="Simplified Arabic"/>
          <w:sz w:val="16"/>
          <w:szCs w:val="16"/>
          <w:lang w:eastAsia="en-US"/>
        </w:rPr>
      </w:pPr>
      <w:r w:rsidRPr="0065077E">
        <w:rPr>
          <w:rFonts w:ascii="Simplified Arabic" w:hAnsi="Simplified Arabic" w:cs="Simplified Arabic"/>
          <w:sz w:val="16"/>
          <w:szCs w:val="16"/>
          <w:rtl/>
          <w:lang w:eastAsia="en-US"/>
        </w:rPr>
        <w:t xml:space="preserve"> </w:t>
      </w:r>
    </w:p>
    <w:p w:rsidR="00C723E9" w:rsidRPr="0065077E" w:rsidRDefault="00C723E9" w:rsidP="0065077E">
      <w:pPr>
        <w:tabs>
          <w:tab w:val="left" w:pos="5400"/>
        </w:tabs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معدل الخصوبة </w:t>
      </w:r>
      <w:r w:rsidR="008F0371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في</w:t>
      </w:r>
      <w:r w:rsidR="00026B13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دولة</w:t>
      </w:r>
      <w:r w:rsidR="008F0371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312B2B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فلسطين</w:t>
      </w:r>
      <w:r w:rsidR="004E5E79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، </w:t>
      </w:r>
      <w:r w:rsidR="008F0371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سنوات مختارة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71"/>
      </w:tblGrid>
      <w:tr w:rsidR="00A5053A" w:rsidRPr="009A126F" w:rsidTr="0065077E">
        <w:trPr>
          <w:jc w:val="center"/>
        </w:trPr>
        <w:tc>
          <w:tcPr>
            <w:tcW w:w="4964" w:type="dxa"/>
          </w:tcPr>
          <w:p w:rsidR="00A5053A" w:rsidRPr="009A126F" w:rsidRDefault="006D7554" w:rsidP="0065077E">
            <w:pPr>
              <w:tabs>
                <w:tab w:val="left" w:pos="5400"/>
              </w:tabs>
              <w:jc w:val="center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3019425" cy="1704975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5053A" w:rsidRPr="0065077E" w:rsidRDefault="00A5053A" w:rsidP="0065077E">
      <w:pPr>
        <w:tabs>
          <w:tab w:val="left" w:pos="5400"/>
        </w:tabs>
        <w:jc w:val="center"/>
        <w:rPr>
          <w:noProof/>
          <w:sz w:val="16"/>
          <w:szCs w:val="16"/>
          <w:rtl/>
          <w:lang w:eastAsia="en-US"/>
        </w:rPr>
      </w:pPr>
    </w:p>
    <w:p w:rsidR="0065077E" w:rsidRDefault="0065077E" w:rsidP="0065077E">
      <w:pPr>
        <w:tabs>
          <w:tab w:val="left" w:pos="540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65077E" w:rsidRDefault="0065077E" w:rsidP="0065077E">
      <w:pPr>
        <w:tabs>
          <w:tab w:val="left" w:pos="540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C723E9" w:rsidRPr="0065077E" w:rsidRDefault="00C723E9" w:rsidP="0065077E">
      <w:pPr>
        <w:tabs>
          <w:tab w:val="left" w:pos="5400"/>
        </w:tabs>
        <w:jc w:val="lowKashida"/>
        <w:rPr>
          <w:rFonts w:ascii="Simplified Arabic" w:hAnsi="Simplified Arabic" w:cs="Simplified Arabic"/>
          <w:sz w:val="26"/>
          <w:szCs w:val="26"/>
          <w:lang w:eastAsia="en-US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انخفاض في متوسط حجم الأسرة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AC48B4" w:rsidRPr="0065077E" w:rsidRDefault="00E2311A" w:rsidP="0065077E">
      <w:pPr>
        <w:jc w:val="lowKashida"/>
        <w:rPr>
          <w:rFonts w:ascii="Simplified Arabic" w:hAnsi="Simplified Arabic" w:cs="Simplified Arabic"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انخفض متوسط حجم الأسرة إلى 5.1 فرداً عام 2019 مقارنة بـ 6.1 فرداً عام 2000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؛ </w:t>
      </w:r>
      <w:r w:rsidR="009E0CEE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بواقع </w:t>
      </w:r>
      <w:r w:rsidR="00F11000" w:rsidRPr="0065077E">
        <w:rPr>
          <w:rFonts w:ascii="Simplified Arabic" w:hAnsi="Simplified Arabic" w:cs="Simplified Arabic"/>
          <w:sz w:val="26"/>
          <w:szCs w:val="26"/>
          <w:lang w:val="en-GB"/>
        </w:rPr>
        <w:t>4.9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فرداً في الضفة الغربية</w:t>
      </w:r>
      <w:r w:rsidR="00974D91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و</w:t>
      </w:r>
      <w:r w:rsidR="00F11000" w:rsidRPr="0065077E">
        <w:rPr>
          <w:rFonts w:ascii="Simplified Arabic" w:hAnsi="Simplified Arabic" w:cs="Simplified Arabic"/>
          <w:sz w:val="26"/>
          <w:szCs w:val="26"/>
          <w:lang w:val="en-GB"/>
        </w:rPr>
        <w:t>5.5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فرداً  في قطاع غزة.</w:t>
      </w:r>
    </w:p>
    <w:p w:rsidR="00A131EE" w:rsidRPr="0065077E" w:rsidRDefault="00A131EE" w:rsidP="0065077E">
      <w:pPr>
        <w:rPr>
          <w:rFonts w:ascii="Simplified Arabic" w:hAnsi="Simplified Arabic" w:cs="Simplified Arabic"/>
          <w:b/>
          <w:bCs/>
          <w:sz w:val="16"/>
          <w:szCs w:val="16"/>
          <w:lang w:eastAsia="en-US"/>
        </w:rPr>
      </w:pPr>
    </w:p>
    <w:p w:rsidR="00026B13" w:rsidRPr="0065077E" w:rsidRDefault="005664FC" w:rsidP="0065077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متوسط حجم </w:t>
      </w:r>
      <w:r w:rsidR="00F21D80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الأسرة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في</w:t>
      </w:r>
      <w:r w:rsidR="00026B13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دولة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312B2B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فلسطين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حسب المنطقة، </w:t>
      </w:r>
    </w:p>
    <w:p w:rsidR="005664FC" w:rsidRPr="0065077E" w:rsidRDefault="00E81307" w:rsidP="0065077E">
      <w:pPr>
        <w:jc w:val="center"/>
        <w:rPr>
          <w:rFonts w:ascii="Simplified Arabic" w:hAnsi="Simplified Arabic" w:cs="Simplified Arabic"/>
          <w:sz w:val="26"/>
          <w:szCs w:val="26"/>
          <w:lang w:eastAsia="en-US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2019</w:t>
      </w:r>
      <w:r w:rsidR="005664FC"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، 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2020</w:t>
      </w:r>
    </w:p>
    <w:p w:rsidR="00C723E9" w:rsidRPr="009A126F" w:rsidRDefault="00C723E9" w:rsidP="0065077E">
      <w:pPr>
        <w:jc w:val="lowKashida"/>
        <w:rPr>
          <w:sz w:val="2"/>
          <w:szCs w:val="2"/>
          <w:u w:val="single"/>
          <w:rtl/>
          <w:lang w:eastAsia="en-US"/>
        </w:rPr>
      </w:pPr>
      <w:r w:rsidRPr="009A126F">
        <w:rPr>
          <w:rFonts w:hint="cs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56"/>
      </w:tblGrid>
      <w:tr w:rsidR="00A5053A" w:rsidRPr="009A126F" w:rsidTr="0065077E">
        <w:trPr>
          <w:jc w:val="center"/>
        </w:trPr>
        <w:tc>
          <w:tcPr>
            <w:tcW w:w="4856" w:type="dxa"/>
          </w:tcPr>
          <w:p w:rsidR="00A5053A" w:rsidRPr="009A126F" w:rsidRDefault="00A5053A" w:rsidP="0065077E">
            <w:pPr>
              <w:jc w:val="lowKashida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3114675" cy="1990725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C48B4" w:rsidRPr="009A126F" w:rsidRDefault="00AC48B4" w:rsidP="0065077E">
      <w:pPr>
        <w:jc w:val="lowKashida"/>
        <w:rPr>
          <w:noProof/>
          <w:sz w:val="14"/>
          <w:szCs w:val="14"/>
          <w:rtl/>
          <w:lang w:eastAsia="en-US"/>
        </w:rPr>
      </w:pPr>
    </w:p>
    <w:p w:rsidR="00C723E9" w:rsidRPr="009A126F" w:rsidRDefault="00C723E9" w:rsidP="0065077E">
      <w:pPr>
        <w:jc w:val="lowKashida"/>
        <w:rPr>
          <w:sz w:val="2"/>
          <w:szCs w:val="2"/>
          <w:u w:val="single"/>
          <w:rtl/>
          <w:lang w:eastAsia="en-US"/>
        </w:rPr>
      </w:pPr>
    </w:p>
    <w:p w:rsidR="00C723E9" w:rsidRPr="009A126F" w:rsidRDefault="00C723E9" w:rsidP="0065077E">
      <w:pPr>
        <w:jc w:val="lowKashida"/>
        <w:rPr>
          <w:sz w:val="2"/>
          <w:szCs w:val="2"/>
          <w:u w:val="single"/>
          <w:rtl/>
          <w:lang w:eastAsia="en-US"/>
        </w:rPr>
      </w:pPr>
    </w:p>
    <w:p w:rsidR="0065077E" w:rsidRPr="0065077E" w:rsidRDefault="0065077E" w:rsidP="0065077E">
      <w:pPr>
        <w:pStyle w:val="Heading6"/>
        <w:ind w:right="-180"/>
        <w:jc w:val="left"/>
        <w:rPr>
          <w:rFonts w:ascii="Simplified Arabic" w:hAnsi="Simplified Arabic"/>
          <w:sz w:val="16"/>
          <w:szCs w:val="16"/>
          <w:rtl/>
        </w:rPr>
      </w:pPr>
    </w:p>
    <w:p w:rsidR="00C723E9" w:rsidRPr="0065077E" w:rsidRDefault="003F4A3D" w:rsidP="0065077E">
      <w:pPr>
        <w:pStyle w:val="Heading6"/>
        <w:ind w:right="-180"/>
        <w:jc w:val="left"/>
        <w:rPr>
          <w:rFonts w:ascii="Simplified Arabic" w:hAnsi="Simplified Arabic"/>
          <w:sz w:val="26"/>
          <w:szCs w:val="26"/>
          <w:rtl/>
        </w:rPr>
      </w:pPr>
      <w:r w:rsidRPr="0065077E">
        <w:rPr>
          <w:rFonts w:ascii="Simplified Arabic" w:hAnsi="Simplified Arabic"/>
          <w:sz w:val="26"/>
          <w:szCs w:val="26"/>
          <w:rtl/>
        </w:rPr>
        <w:t xml:space="preserve">معدلات </w:t>
      </w:r>
      <w:r w:rsidR="00C723E9" w:rsidRPr="0065077E">
        <w:rPr>
          <w:rFonts w:ascii="Simplified Arabic" w:hAnsi="Simplified Arabic"/>
          <w:sz w:val="26"/>
          <w:szCs w:val="26"/>
          <w:rtl/>
        </w:rPr>
        <w:t xml:space="preserve">الوفيات </w:t>
      </w:r>
      <w:r w:rsidRPr="0065077E">
        <w:rPr>
          <w:rFonts w:ascii="Simplified Arabic" w:hAnsi="Simplified Arabic"/>
          <w:sz w:val="26"/>
          <w:szCs w:val="26"/>
          <w:rtl/>
        </w:rPr>
        <w:t>الاطفال والرضع</w:t>
      </w:r>
      <w:r w:rsidR="00C723E9" w:rsidRPr="0065077E">
        <w:rPr>
          <w:rFonts w:ascii="Simplified Arabic" w:hAnsi="Simplified Arabic"/>
          <w:sz w:val="26"/>
          <w:szCs w:val="26"/>
          <w:rtl/>
        </w:rPr>
        <w:t xml:space="preserve"> تتجه نحو الانخفاض </w:t>
      </w:r>
    </w:p>
    <w:p w:rsidR="003F4A3D" w:rsidRPr="0065077E" w:rsidRDefault="003F4A3D" w:rsidP="0065077E">
      <w:pPr>
        <w:pStyle w:val="BodyText"/>
        <w:jc w:val="both"/>
        <w:rPr>
          <w:rFonts w:ascii="Simplified Arabic" w:hAnsi="Simplified Arabic"/>
          <w:snapToGrid/>
          <w:sz w:val="26"/>
          <w:szCs w:val="26"/>
          <w:lang w:eastAsia="ar-SA"/>
        </w:rPr>
      </w:pPr>
      <w:r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 xml:space="preserve">بلغ معدل وفيات الأطفال دون سن الخامسة في </w:t>
      </w:r>
      <w:r w:rsidR="0062353B"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 xml:space="preserve">دولة </w:t>
      </w:r>
      <w:r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>فلسطين 14 طفلاً لكل ألف ولادة حية</w:t>
      </w:r>
      <w:r w:rsidR="00FE785E"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 xml:space="preserve"> خلال الفترة 2015-2019</w:t>
      </w:r>
      <w:r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>؛ 15 في الضفة الغربية و14 في قطاع غزة. من جانب اخر بلغت معدلات وفيات الرضع 12 طفلاً لكل ألف ولادة حية</w:t>
      </w:r>
      <w:r w:rsidR="00024B49"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 xml:space="preserve"> لنفس الفترة</w:t>
      </w:r>
      <w:r w:rsidRPr="0065077E">
        <w:rPr>
          <w:rFonts w:ascii="Simplified Arabic" w:hAnsi="Simplified Arabic"/>
          <w:snapToGrid/>
          <w:sz w:val="26"/>
          <w:szCs w:val="26"/>
          <w:rtl/>
          <w:lang w:eastAsia="ar-SA"/>
        </w:rPr>
        <w:t>؛ 12 في الضفة الغربية و13 طفل في قطاع غزة.  وتشير البيانات الى انخفاض في معدل وفيات الأطفال خلال العشرة سنوات السابقة اذ بلغ 15 طفلا لكل الف ولادة حية.</w:t>
      </w:r>
    </w:p>
    <w:p w:rsidR="009A126F" w:rsidRPr="0065077E" w:rsidRDefault="009A126F" w:rsidP="0065077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E785E" w:rsidRPr="0065077E" w:rsidRDefault="00FE785E" w:rsidP="0065077E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مستمر في معدلات الزواج قبل سن الثامنة عشرة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vertAlign w:val="superscript"/>
          <w:rtl/>
        </w:rPr>
        <w:t xml:space="preserve"> 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بين الاناث</w:t>
      </w:r>
    </w:p>
    <w:p w:rsidR="00FE785E" w:rsidRPr="0065077E" w:rsidRDefault="00FE785E" w:rsidP="0065077E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تشير النتائج </w:t>
      </w:r>
      <w:r w:rsidR="00E438A5" w:rsidRPr="0065077E">
        <w:rPr>
          <w:rFonts w:ascii="Simplified Arabic" w:hAnsi="Simplified Arabic" w:cs="Simplified Arabic"/>
          <w:sz w:val="26"/>
          <w:szCs w:val="26"/>
          <w:rtl/>
        </w:rPr>
        <w:t>ل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>عام 2020 ان حوالي 13% من النساء في الفئة العمرية 20-24 عاماً تزوجن للمرة الأولى قبل بلوغهن سن 18 عاما، حيث بلغت النسبة في الضفة الغربية حوالي 11% مقابل حوالي 17% في قطاع غزة.</w:t>
      </w:r>
    </w:p>
    <w:p w:rsidR="00FE785E" w:rsidRPr="0065077E" w:rsidRDefault="00FE785E" w:rsidP="0065077E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>ويلاحظ انخفاض هذه النسبة مقارنة بعام 2014 اذ بلغت نسبة النساء في الفئة العمرية 20-24 اللواتي تزوجن للمرة الأولى قبل بلوغهن 18 عاما في فلسطين عام 2014 نحو ربع النساء (24%).</w:t>
      </w:r>
    </w:p>
    <w:p w:rsidR="0065077E" w:rsidRPr="0065077E" w:rsidRDefault="0065077E" w:rsidP="0065077E">
      <w:pPr>
        <w:ind w:right="-284"/>
        <w:rPr>
          <w:rFonts w:ascii="Simplified Arabic" w:hAnsi="Simplified Arabic" w:cs="Simplified Arabic"/>
          <w:b/>
          <w:bCs/>
          <w:sz w:val="16"/>
          <w:szCs w:val="16"/>
          <w:rtl/>
          <w:lang w:val="en-GB"/>
        </w:rPr>
      </w:pPr>
    </w:p>
    <w:p w:rsidR="00C723E9" w:rsidRPr="0065077E" w:rsidRDefault="00C723E9" w:rsidP="0065077E">
      <w:pPr>
        <w:ind w:right="-284"/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معدلات خصوبة عالية </w:t>
      </w:r>
      <w:r w:rsidR="00721AED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بين </w:t>
      </w:r>
      <w:r w:rsidR="00D57F0D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الفلسطينيات</w:t>
      </w:r>
      <w:r w:rsidR="001D0D82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في </w:t>
      </w:r>
      <w:r w:rsidR="004A0594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الأردن</w:t>
      </w:r>
      <w:r w:rsidR="001D0D82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مقارنة </w:t>
      </w:r>
      <w:r w:rsidR="00A03A4B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بالفلسطينيات في </w:t>
      </w:r>
      <w:r w:rsidR="001D0D82" w:rsidRPr="0065077E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سوريا ولبنان</w:t>
      </w:r>
    </w:p>
    <w:p w:rsidR="00C723E9" w:rsidRPr="0065077E" w:rsidRDefault="00C723E9" w:rsidP="0065077E">
      <w:pPr>
        <w:jc w:val="lowKashida"/>
        <w:rPr>
          <w:rFonts w:ascii="Simplified Arabic" w:hAnsi="Simplified Arabic" w:cs="Simplified Arabic"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بلغ معدل الخصوبة الكلي </w:t>
      </w:r>
      <w:r w:rsidR="006759C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للمرأة الفلسطينية </w:t>
      </w:r>
      <w:r w:rsidR="0062353B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المقيمة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في </w:t>
      </w:r>
      <w:r w:rsidR="004F4CED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الأردن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5E353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3.</w:t>
      </w:r>
      <w:r w:rsidR="00D362AB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3</w:t>
      </w:r>
      <w:r w:rsidR="00867FA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مولوداً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CE6F8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للعام </w:t>
      </w:r>
      <w:r w:rsidR="005E353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2010</w:t>
      </w:r>
      <w:r w:rsidR="00CE6F8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مقابل </w:t>
      </w:r>
      <w:r w:rsidR="001D0D82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2.5</w:t>
      </w:r>
      <w:r w:rsidR="00867FA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مولوداً</w:t>
      </w:r>
      <w:r w:rsidR="00212F4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في سوريا للعام 2010، في حين بلغ المعدل 2.</w:t>
      </w:r>
      <w:r w:rsidR="00B30B8F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7</w:t>
      </w:r>
      <w:r w:rsidR="00212F4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مولوداً </w:t>
      </w:r>
      <w:r w:rsidR="00A03A4B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للفلسطينيات </w:t>
      </w:r>
      <w:r w:rsidR="00212F4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في لبنان للعام </w:t>
      </w:r>
      <w:r w:rsidR="00D736D3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2017</w:t>
      </w:r>
      <w:r w:rsidR="00212F4A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.</w:t>
      </w:r>
    </w:p>
    <w:p w:rsidR="00FE785E" w:rsidRDefault="00FE785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077E" w:rsidRPr="0065077E" w:rsidRDefault="0065077E" w:rsidP="0065077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723E9" w:rsidRPr="0065077E" w:rsidRDefault="00C723E9" w:rsidP="0065077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مؤشرات ديمغرافية مختارة</w:t>
      </w:r>
      <w:r w:rsidR="00721AED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حول الفلسطينيين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</w:t>
      </w:r>
      <w:r w:rsidR="00535B24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مكان الإقامة،</w:t>
      </w:r>
      <w:r w:rsidR="00212F4A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سنوات مختارة</w:t>
      </w:r>
      <w:r w:rsidR="001D0D82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tbl>
      <w:tblPr>
        <w:tblStyle w:val="MediumGrid2-Accent6"/>
        <w:bidiVisual/>
        <w:tblW w:w="5289" w:type="dxa"/>
        <w:jc w:val="center"/>
        <w:tblLook w:val="00A0" w:firstRow="1" w:lastRow="0" w:firstColumn="1" w:lastColumn="0" w:noHBand="0" w:noVBand="0"/>
      </w:tblPr>
      <w:tblGrid>
        <w:gridCol w:w="1410"/>
        <w:gridCol w:w="2034"/>
        <w:gridCol w:w="1845"/>
      </w:tblGrid>
      <w:tr w:rsidR="001D0D82" w:rsidRPr="0065077E" w:rsidTr="00650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82" w:rsidRPr="0065077E" w:rsidRDefault="00535B24" w:rsidP="0065077E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مكان الإقامة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auto" w:shadow="1" w:frame="1"/>
              <w:left w:val="single" w:sz="4" w:space="0" w:color="auto"/>
              <w:bottom w:val="single" w:sz="4" w:space="0" w:color="auto"/>
            </w:tcBorders>
          </w:tcPr>
          <w:p w:rsidR="001D0D82" w:rsidRPr="0065077E" w:rsidRDefault="001D0D82" w:rsidP="0065077E">
            <w:pPr>
              <w:pStyle w:val="Heading9"/>
              <w:jc w:val="center"/>
              <w:outlineLvl w:val="8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5077E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GB"/>
              </w:rPr>
              <w:t>متوسط حجم الأسرة</w:t>
            </w:r>
          </w:p>
        </w:tc>
        <w:tc>
          <w:tcPr>
            <w:tcW w:w="1845" w:type="dxa"/>
            <w:tcBorders>
              <w:top w:val="single" w:sz="4" w:space="0" w:color="auto" w:shadow="1" w:frame="1"/>
              <w:bottom w:val="single" w:sz="4" w:space="0" w:color="auto"/>
              <w:right w:val="single" w:sz="4" w:space="0" w:color="auto"/>
            </w:tcBorders>
          </w:tcPr>
          <w:p w:rsidR="001D0D82" w:rsidRPr="0065077E" w:rsidRDefault="001D0D82" w:rsidP="0065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معدل الخصوبة</w:t>
            </w:r>
          </w:p>
        </w:tc>
      </w:tr>
      <w:tr w:rsidR="005118CC" w:rsidRPr="0065077E" w:rsidTr="00650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CC" w:rsidRPr="0065077E" w:rsidRDefault="005118CC" w:rsidP="0065077E">
            <w:pPr>
              <w:rPr>
                <w:rFonts w:asciiTheme="majorBidi" w:hAnsiTheme="majorBidi"/>
                <w:color w:val="auto"/>
                <w:rtl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الأردن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118CC" w:rsidRPr="0065077E" w:rsidRDefault="00E46B3C" w:rsidP="0065077E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5.1**</w:t>
            </w:r>
          </w:p>
        </w:tc>
        <w:tc>
          <w:tcPr>
            <w:tcW w:w="1845" w:type="dxa"/>
            <w:tcBorders>
              <w:right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5118CC" w:rsidRPr="0065077E" w:rsidRDefault="005118CC" w:rsidP="0065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vertAlign w:val="superscript"/>
                <w:rtl/>
              </w:rPr>
            </w:pPr>
            <w:r w:rsidRPr="0065077E">
              <w:rPr>
                <w:rFonts w:asciiTheme="majorBidi" w:hAnsiTheme="majorBidi"/>
                <w:color w:val="auto"/>
              </w:rPr>
              <w:t>3.3</w:t>
            </w:r>
            <w:r w:rsidR="00E46B3C" w:rsidRPr="0065077E">
              <w:rPr>
                <w:rFonts w:asciiTheme="majorBidi" w:hAnsiTheme="majorBidi"/>
                <w:color w:val="auto"/>
                <w:rtl/>
              </w:rPr>
              <w:t>*</w:t>
            </w:r>
          </w:p>
        </w:tc>
      </w:tr>
      <w:tr w:rsidR="00CE6F87" w:rsidRPr="0065077E" w:rsidTr="0065077E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65077E" w:rsidRDefault="00CE6F87" w:rsidP="0065077E">
            <w:pPr>
              <w:rPr>
                <w:rFonts w:asciiTheme="majorBidi" w:hAnsiTheme="majorBidi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 xml:space="preserve">سوريا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E6F87" w:rsidRPr="0065077E" w:rsidRDefault="00CE6F87" w:rsidP="0065077E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4.1</w:t>
            </w:r>
            <w:r w:rsidR="00E46B3C" w:rsidRPr="0065077E">
              <w:rPr>
                <w:rFonts w:asciiTheme="majorBidi" w:hAnsiTheme="majorBidi"/>
                <w:color w:val="auto"/>
                <w:rtl/>
              </w:rPr>
              <w:t>*</w:t>
            </w:r>
          </w:p>
        </w:tc>
        <w:tc>
          <w:tcPr>
            <w:tcW w:w="1845" w:type="dxa"/>
            <w:tcBorders>
              <w:right w:val="single" w:sz="4" w:space="0" w:color="auto" w:shadow="1" w:frame="1"/>
            </w:tcBorders>
            <w:vAlign w:val="center"/>
          </w:tcPr>
          <w:p w:rsidR="00CE6F87" w:rsidRPr="0065077E" w:rsidRDefault="00CE6F87" w:rsidP="0065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auto"/>
                <w:rtl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2.5</w:t>
            </w:r>
            <w:r w:rsidR="00E46B3C" w:rsidRPr="0065077E">
              <w:rPr>
                <w:rFonts w:asciiTheme="majorBidi" w:hAnsiTheme="majorBidi"/>
                <w:color w:val="auto"/>
                <w:rtl/>
              </w:rPr>
              <w:t>*</w:t>
            </w:r>
          </w:p>
        </w:tc>
      </w:tr>
      <w:tr w:rsidR="00CE6F87" w:rsidRPr="0065077E" w:rsidTr="00650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65077E" w:rsidRDefault="00CE6F87" w:rsidP="0065077E">
            <w:pPr>
              <w:rPr>
                <w:rFonts w:asciiTheme="majorBidi" w:hAnsiTheme="majorBidi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لبنان</w:t>
            </w:r>
            <w:r w:rsidR="005D42C9" w:rsidRPr="0065077E">
              <w:rPr>
                <w:rFonts w:asciiTheme="majorBidi" w:hAnsiTheme="majorBidi"/>
                <w:color w:val="auto"/>
                <w:rtl/>
              </w:rPr>
              <w:t xml:space="preserve"> </w:t>
            </w:r>
            <w:r w:rsidRPr="0065077E">
              <w:rPr>
                <w:rFonts w:asciiTheme="majorBidi" w:hAnsiTheme="majorBidi"/>
                <w:color w:val="auto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Borders>
              <w:left w:val="single" w:sz="4" w:space="0" w:color="auto"/>
              <w:bottom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CE6F87" w:rsidRPr="0065077E" w:rsidRDefault="003762EC" w:rsidP="0065077E">
            <w:pPr>
              <w:jc w:val="center"/>
              <w:rPr>
                <w:rFonts w:asciiTheme="majorBidi" w:hAnsiTheme="majorBidi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4.0</w:t>
            </w:r>
            <w:r w:rsidR="00DE01A5" w:rsidRPr="0065077E">
              <w:rPr>
                <w:rFonts w:asciiTheme="majorBidi" w:hAnsiTheme="majorBidi"/>
                <w:color w:val="auto"/>
                <w:rtl/>
              </w:rPr>
              <w:t>*</w:t>
            </w:r>
            <w:r w:rsidR="00D736D3" w:rsidRPr="0065077E">
              <w:rPr>
                <w:rFonts w:asciiTheme="majorBidi" w:hAnsiTheme="majorBidi"/>
                <w:color w:val="auto"/>
                <w:rtl/>
              </w:rPr>
              <w:t>**</w:t>
            </w:r>
          </w:p>
        </w:tc>
        <w:tc>
          <w:tcPr>
            <w:tcW w:w="1845" w:type="dxa"/>
            <w:tcBorders>
              <w:bottom w:val="single" w:sz="4" w:space="0" w:color="auto" w:shadow="1" w:frame="1"/>
              <w:right w:val="single" w:sz="4" w:space="0" w:color="auto" w:shadow="1" w:frame="1"/>
            </w:tcBorders>
            <w:vAlign w:val="center"/>
          </w:tcPr>
          <w:p w:rsidR="00CE6F87" w:rsidRPr="0065077E" w:rsidRDefault="00CE6F87" w:rsidP="0065077E">
            <w:pPr>
              <w:ind w:firstLine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</w:rPr>
            </w:pPr>
            <w:r w:rsidRPr="0065077E">
              <w:rPr>
                <w:rFonts w:asciiTheme="majorBidi" w:hAnsiTheme="majorBidi"/>
                <w:color w:val="auto"/>
                <w:rtl/>
              </w:rPr>
              <w:t>2.</w:t>
            </w:r>
            <w:r w:rsidR="00B30B8F" w:rsidRPr="0065077E">
              <w:rPr>
                <w:rFonts w:asciiTheme="majorBidi" w:hAnsiTheme="majorBidi"/>
                <w:color w:val="auto"/>
                <w:rtl/>
              </w:rPr>
              <w:t>7</w:t>
            </w:r>
            <w:r w:rsidR="00DE01A5" w:rsidRPr="0065077E">
              <w:rPr>
                <w:rFonts w:asciiTheme="majorBidi" w:hAnsiTheme="majorBidi"/>
                <w:color w:val="auto"/>
                <w:rtl/>
              </w:rPr>
              <w:t>**</w:t>
            </w:r>
            <w:r w:rsidR="00D736D3" w:rsidRPr="0065077E">
              <w:rPr>
                <w:rFonts w:asciiTheme="majorBidi" w:hAnsiTheme="majorBidi"/>
                <w:color w:val="auto"/>
                <w:rtl/>
              </w:rPr>
              <w:t>*</w:t>
            </w:r>
          </w:p>
        </w:tc>
      </w:tr>
    </w:tbl>
    <w:p w:rsidR="0065077E" w:rsidRDefault="0065077E" w:rsidP="0065077E">
      <w:pPr>
        <w:rPr>
          <w:rFonts w:cs="Simplified Arabic"/>
          <w:sz w:val="14"/>
          <w:szCs w:val="14"/>
          <w:rtl/>
        </w:rPr>
      </w:pPr>
    </w:p>
    <w:p w:rsidR="00C723E9" w:rsidRPr="0065077E" w:rsidRDefault="0065077E" w:rsidP="0065077E">
      <w:pPr>
        <w:rPr>
          <w:rFonts w:cs="Simplified Arabic"/>
          <w:sz w:val="14"/>
          <w:szCs w:val="14"/>
          <w:rtl/>
        </w:rPr>
      </w:pPr>
      <w:r>
        <w:rPr>
          <w:rFonts w:cs="Simplified Arabic" w:hint="cs"/>
          <w:sz w:val="22"/>
          <w:szCs w:val="22"/>
          <w:rtl/>
        </w:rPr>
        <w:t>*</w:t>
      </w:r>
      <w:r w:rsidR="00D15564" w:rsidRPr="0065077E">
        <w:rPr>
          <w:rFonts w:cs="Simplified Arabic" w:hint="cs"/>
          <w:sz w:val="22"/>
          <w:szCs w:val="22"/>
          <w:rtl/>
        </w:rPr>
        <w:t>البيانات تمثل العام 2010</w:t>
      </w:r>
    </w:p>
    <w:p w:rsidR="00D15564" w:rsidRPr="0065077E" w:rsidRDefault="00D15564" w:rsidP="0065077E">
      <w:pPr>
        <w:rPr>
          <w:sz w:val="22"/>
          <w:szCs w:val="22"/>
          <w:rtl/>
        </w:rPr>
      </w:pPr>
      <w:r w:rsidRPr="0065077E">
        <w:rPr>
          <w:rFonts w:cs="Simplified Arabic" w:hint="cs"/>
          <w:sz w:val="22"/>
          <w:szCs w:val="22"/>
          <w:rtl/>
        </w:rPr>
        <w:t>** البيانات تمثل</w:t>
      </w:r>
      <w:r w:rsidR="00A64EA3" w:rsidRPr="0065077E">
        <w:rPr>
          <w:rFonts w:cs="Simplified Arabic" w:hint="cs"/>
          <w:sz w:val="22"/>
          <w:szCs w:val="22"/>
          <w:rtl/>
        </w:rPr>
        <w:t xml:space="preserve"> العام</w:t>
      </w:r>
      <w:r w:rsidRPr="0065077E">
        <w:rPr>
          <w:rFonts w:cs="Simplified Arabic" w:hint="cs"/>
          <w:sz w:val="22"/>
          <w:szCs w:val="22"/>
          <w:rtl/>
        </w:rPr>
        <w:t xml:space="preserve"> 2011</w:t>
      </w:r>
    </w:p>
    <w:p w:rsidR="00D736D3" w:rsidRPr="0065077E" w:rsidRDefault="00D736D3" w:rsidP="0065077E">
      <w:pPr>
        <w:rPr>
          <w:sz w:val="22"/>
          <w:szCs w:val="22"/>
          <w:rtl/>
        </w:rPr>
      </w:pPr>
      <w:r w:rsidRPr="0065077E">
        <w:rPr>
          <w:rFonts w:cs="Simplified Arabic" w:hint="cs"/>
          <w:sz w:val="22"/>
          <w:szCs w:val="22"/>
          <w:rtl/>
        </w:rPr>
        <w:t>*** البيانات تمثل العام 2017</w:t>
      </w:r>
    </w:p>
    <w:p w:rsidR="00D736D3" w:rsidRPr="0065077E" w:rsidRDefault="00D736D3" w:rsidP="0065077E">
      <w:pPr>
        <w:rPr>
          <w:sz w:val="22"/>
          <w:szCs w:val="22"/>
          <w:rtl/>
        </w:rPr>
      </w:pPr>
    </w:p>
    <w:p w:rsidR="00C723E9" w:rsidRPr="0065077E" w:rsidRDefault="00C723E9" w:rsidP="0065077E">
      <w:pPr>
        <w:pStyle w:val="Heading2"/>
        <w:jc w:val="left"/>
        <w:rPr>
          <w:rFonts w:ascii="Simplified Arabic" w:hAnsi="Simplified Arabic"/>
          <w:sz w:val="26"/>
          <w:szCs w:val="26"/>
          <w:rtl/>
        </w:rPr>
      </w:pPr>
      <w:r w:rsidRPr="0065077E">
        <w:rPr>
          <w:rFonts w:ascii="Simplified Arabic" w:hAnsi="Simplified Arabic"/>
          <w:sz w:val="26"/>
          <w:szCs w:val="26"/>
          <w:rtl/>
        </w:rPr>
        <w:t xml:space="preserve">المجتمع الفلسطيني في </w:t>
      </w:r>
      <w:r w:rsidR="004F4CED" w:rsidRPr="0065077E">
        <w:rPr>
          <w:rFonts w:ascii="Simplified Arabic" w:hAnsi="Simplified Arabic"/>
          <w:sz w:val="26"/>
          <w:szCs w:val="26"/>
          <w:rtl/>
        </w:rPr>
        <w:t>أراضي 1948</w:t>
      </w:r>
      <w:r w:rsidRPr="0065077E">
        <w:rPr>
          <w:rFonts w:ascii="Simplified Arabic" w:hAnsi="Simplified Arabic"/>
          <w:sz w:val="26"/>
          <w:szCs w:val="26"/>
          <w:rtl/>
        </w:rPr>
        <w:t xml:space="preserve"> مجتمع فتي</w:t>
      </w:r>
    </w:p>
    <w:p w:rsidR="00A97BC3" w:rsidRPr="0065077E" w:rsidRDefault="009A126F" w:rsidP="0065077E">
      <w:pPr>
        <w:jc w:val="lowKashida"/>
        <w:rPr>
          <w:rFonts w:ascii="Simplified Arabic" w:hAnsi="Simplified Arabic" w:cs="Simplified Arabic"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بلغ 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عـدد الفلسطينيين المقدر في </w:t>
      </w:r>
      <w:r w:rsidR="004F4CED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أراضي 1948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حوالي </w:t>
      </w:r>
      <w:r w:rsidR="00F11000" w:rsidRPr="0065077E">
        <w:rPr>
          <w:rFonts w:ascii="Simplified Arabic" w:hAnsi="Simplified Arabic" w:cs="Simplified Arabic"/>
          <w:sz w:val="26"/>
          <w:szCs w:val="26"/>
          <w:lang w:val="en-GB"/>
        </w:rPr>
        <w:t>1.63</w:t>
      </w:r>
      <w:r w:rsidR="00CA03EE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مليون فلسطيني</w:t>
      </w:r>
      <w:r w:rsidR="00D15564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نهاية العام </w:t>
      </w:r>
      <w:r w:rsidR="00F11000" w:rsidRPr="0065077E">
        <w:rPr>
          <w:rFonts w:ascii="Simplified Arabic" w:hAnsi="Simplified Arabic" w:cs="Simplified Arabic"/>
          <w:sz w:val="26"/>
          <w:szCs w:val="26"/>
          <w:lang w:val="en-GB"/>
        </w:rPr>
        <w:t>2020</w:t>
      </w:r>
      <w:r w:rsidR="00C723E9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، 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وبلغت نسبة الأفراد 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الذكور 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دون </w:t>
      </w:r>
      <w:r w:rsidR="00D57F0D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الخامسة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عشرة من العمر 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 w:bidi="ar-JO"/>
        </w:rPr>
        <w:t>32.4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% 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مقابل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5B6652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31.</w:t>
      </w:r>
      <w:r w:rsidR="00F11000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4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%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للإناث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في الوقت الذي بلغت فيه نسبة الأفراد 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الذكور 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الذين أعمارهم </w:t>
      </w:r>
      <w:r w:rsidR="00A537DC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(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65 سنة فأكثر</w:t>
      </w:r>
      <w:r w:rsidR="00A537DC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)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3059FC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4.</w:t>
      </w:r>
      <w:r w:rsidR="00F11000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5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% 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مقابل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3059FC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5.</w:t>
      </w:r>
      <w:r w:rsidR="00F11000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4</w:t>
      </w:r>
      <w:r w:rsidR="00F21D80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%</w:t>
      </w:r>
      <w:r w:rsidR="00054F5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للإناث</w:t>
      </w:r>
      <w:r w:rsidR="000026C1" w:rsidRPr="0065077E">
        <w:rPr>
          <w:rFonts w:ascii="Simplified Arabic" w:hAnsi="Simplified Arabic" w:cs="Simplified Arabic"/>
          <w:sz w:val="26"/>
          <w:szCs w:val="26"/>
          <w:lang w:val="en-GB"/>
        </w:rPr>
        <w:t xml:space="preserve"> </w:t>
      </w:r>
      <w:r w:rsidR="000026C1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لعام 2019.</w:t>
      </w:r>
    </w:p>
    <w:p w:rsidR="009A126F" w:rsidRPr="0065077E" w:rsidRDefault="009A126F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47813" w:rsidRPr="0065077E" w:rsidRDefault="00847813" w:rsidP="0065077E">
      <w:pPr>
        <w:pStyle w:val="NoSpacing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 عدد العاملين بمقدار 82 ألف عامل في الربع الثالث 2020 مقارنة بالربع الثالث 2019 </w:t>
      </w:r>
    </w:p>
    <w:p w:rsidR="00847813" w:rsidRPr="0065077E" w:rsidRDefault="00847813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انخفض عدد العاملين من 1,022 ألف </w:t>
      </w:r>
      <w:r w:rsidR="00024B49" w:rsidRPr="0065077E">
        <w:rPr>
          <w:rFonts w:ascii="Simplified Arabic" w:hAnsi="Simplified Arabic" w:cs="Simplified Arabic"/>
          <w:sz w:val="26"/>
          <w:szCs w:val="26"/>
          <w:rtl/>
        </w:rPr>
        <w:t>عامل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 في الربع الثالث 2019 الى 935 ألف </w:t>
      </w:r>
      <w:r w:rsidR="00024B49" w:rsidRPr="0065077E">
        <w:rPr>
          <w:rFonts w:ascii="Simplified Arabic" w:hAnsi="Simplified Arabic" w:cs="Simplified Arabic"/>
          <w:sz w:val="26"/>
          <w:szCs w:val="26"/>
          <w:rtl/>
        </w:rPr>
        <w:t>عامل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 xml:space="preserve"> في الربع الثالث 2020 بمقدار 8%،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حيث انخفض العدد في قطاع غزة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بمقدار 17%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عن الربع الثالث 2019  كما انخفض في الضفة الغربية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بمقدار 5.5%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خلال نفس الفترة. </w:t>
      </w:r>
    </w:p>
    <w:p w:rsidR="00847813" w:rsidRPr="0065077E" w:rsidRDefault="00847813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 w:bidi="ar-JO"/>
        </w:rPr>
      </w:pPr>
    </w:p>
    <w:p w:rsidR="00847813" w:rsidRPr="0065077E" w:rsidRDefault="00847813" w:rsidP="0065077E">
      <w:pPr>
        <w:pStyle w:val="NoSpacing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13% من العاملين تغيبوا عن عملهم خلال الربع الثالث 2020 بسبب الجائحة </w:t>
      </w:r>
    </w:p>
    <w:p w:rsidR="00847813" w:rsidRPr="0065077E" w:rsidRDefault="00847813" w:rsidP="0065077E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077E">
        <w:rPr>
          <w:rFonts w:ascii="Simplified Arabic" w:hAnsi="Simplified Arabic" w:cs="Simplified Arabic"/>
          <w:sz w:val="26"/>
          <w:szCs w:val="26"/>
          <w:rtl/>
        </w:rPr>
        <w:t>ارتفع عدد العاملين الغائبين عن عملهم من 99 ألف في الربع الثالث 2019 الى 117 ألف في الربع الثالث 2020 بمقدار 18%، وقد يعود هذا الارتفاع الى اسباب مرتبطة بجائحة كوفيد 19 والاجراءات المتخذة للحد من انتشاره.</w:t>
      </w:r>
    </w:p>
    <w:p w:rsidR="00DA0672" w:rsidRPr="0065077E" w:rsidRDefault="00DA0672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16"/>
          <w:szCs w:val="16"/>
          <w:lang w:eastAsia="en-US"/>
        </w:rPr>
      </w:pPr>
    </w:p>
    <w:p w:rsidR="00847813" w:rsidRPr="0065077E" w:rsidRDefault="00847813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انخفاض في عدد العاملين في السوق المحلي بين الربعين الثالث 2019  والثالث 2020 </w:t>
      </w:r>
    </w:p>
    <w:p w:rsidR="00847813" w:rsidRPr="0065077E" w:rsidRDefault="00847813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انخفض عدد العاملين في السوق المحلي من 881 ألف عامل في الربع الثالث 2019 الى 800 ألف عامل في الربع الثالث 2020، حيث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انخفض العدد في قطاع غزة بنسبة 17% </w:t>
      </w:r>
      <w:r w:rsidRPr="0065077E">
        <w:rPr>
          <w:rFonts w:ascii="Simplified Arabic" w:hAnsi="Simplified Arabic" w:cs="Simplified Arabic"/>
          <w:sz w:val="26"/>
          <w:szCs w:val="26"/>
          <w:rtl/>
          <w:lang w:eastAsia="en-US"/>
        </w:rPr>
        <w:t>كما انخفض في الضفة الغربية بمقدار 5.9%</w:t>
      </w:r>
    </w:p>
    <w:p w:rsidR="00847813" w:rsidRPr="0065077E" w:rsidRDefault="00847813" w:rsidP="0065077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 w:bidi="ar-JO"/>
        </w:rPr>
      </w:pPr>
    </w:p>
    <w:p w:rsidR="00D232B1" w:rsidRPr="0065077E" w:rsidRDefault="00D232B1" w:rsidP="0065077E">
      <w:pPr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  <w:t>حوالي نصف المعيلين الرئيسين للأسر العاملين تغيبوا عن العمل خلال فترة الاغلاق</w:t>
      </w:r>
    </w:p>
    <w:p w:rsidR="00D232B1" w:rsidRPr="0065077E" w:rsidRDefault="00D232B1" w:rsidP="0065077E">
      <w:pPr>
        <w:jc w:val="lowKashida"/>
        <w:rPr>
          <w:rFonts w:ascii="Simplified Arabic" w:hAnsi="Simplified Arabic" w:cs="Simplified Arabic"/>
          <w:noProof/>
          <w:sz w:val="26"/>
          <w:szCs w:val="26"/>
        </w:rPr>
      </w:pPr>
      <w:r w:rsidRPr="0065077E">
        <w:rPr>
          <w:rFonts w:ascii="Simplified Arabic" w:hAnsi="Simplified Arabic" w:cs="Simplified Arabic"/>
          <w:noProof/>
          <w:sz w:val="26"/>
          <w:szCs w:val="26"/>
          <w:rtl/>
        </w:rPr>
        <w:t xml:space="preserve">47% من العاملين تغيبوا عن العمل </w:t>
      </w:r>
      <w:r w:rsidRPr="0065077E">
        <w:rPr>
          <w:rFonts w:ascii="Simplified Arabic" w:hAnsi="Simplified Arabic" w:cs="Simplified Arabic"/>
          <w:sz w:val="26"/>
          <w:szCs w:val="26"/>
          <w:rtl/>
        </w:rPr>
        <w:t>خلال فترة الإغلاق والممتدة من الخامس من آذار حتى الخامس والعشرين من أيار من العام 2020</w:t>
      </w:r>
      <w:r w:rsidRPr="0065077E">
        <w:rPr>
          <w:rFonts w:ascii="Simplified Arabic" w:hAnsi="Simplified Arabic" w:cs="Simplified Arabic"/>
          <w:noProof/>
          <w:sz w:val="26"/>
          <w:szCs w:val="26"/>
          <w:rtl/>
        </w:rPr>
        <w:t xml:space="preserve">، مع تباين واضح بين الضفة الغربية وقطاع غزة (54% في الضفة الغربية، و32% في قطاع غزة).  </w:t>
      </w:r>
    </w:p>
    <w:p w:rsidR="00A13E1B" w:rsidRDefault="00A13E1B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077E" w:rsidRPr="0065077E" w:rsidRDefault="0065077E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B8617C" w:rsidRPr="0065077E" w:rsidRDefault="0064236B" w:rsidP="0065077E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أكثر من نصف الطلاب في الضفة الغربية </w:t>
      </w:r>
      <w:r w:rsidR="00B8617C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>شاركوا</w:t>
      </w:r>
      <w:r w:rsidR="00B8617C"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الأنشطة التعليمية عن بعد</w:t>
      </w:r>
    </w:p>
    <w:p w:rsidR="00A13E1B" w:rsidRPr="0065077E" w:rsidRDefault="00A13E1B" w:rsidP="0065077E">
      <w:pPr>
        <w:jc w:val="lowKashida"/>
        <w:rPr>
          <w:rFonts w:ascii="Simplified Arabic" w:hAnsi="Simplified Arabic" w:cs="Simplified Arabic"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أدت الاجراءات التي أقرتها الحكومة خلال فترة جائحة كورونا الى تعطل المؤسسات التعليمية في الفترة من (5 آذار - 25  أيار/ 2020) الى التحول الى نظام التعليم عن بعد لتعويض الطلبة عما فاتهم من مواد دراسية، وعلى الرغم من </w:t>
      </w:r>
      <w:r w:rsidR="00FB7842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ذلك أشارت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نتائج مسح أثر جائحة كوفيد 19 (كورونا) على الظروف الاجتماعية والاقتصادية للأسر الفلسطينية، 2020</w:t>
      </w:r>
      <w:r w:rsidR="0000796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 الى أن 51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% من الاسر في</w:t>
      </w:r>
      <w:r w:rsidR="00AE6405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دولة</w:t>
      </w: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فلسطين التي لديها أطفال (6-18 سنة) وملتحقين بالتعليم قبل الإغلاق شارك أطفالهم في أنشطة تعليمية عن بعد خلال فترة الإغ</w:t>
      </w:r>
      <w:r w:rsidR="0000796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لاق (5 آذار - 25  أيار/ 2020)</w:t>
      </w:r>
      <w:r w:rsidR="0064236B" w:rsidRPr="0065077E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64236B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(53.3% في الضفة الغربية، و48.5% في قطاع غزة)</w:t>
      </w:r>
      <w:r w:rsidR="0000796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.</w:t>
      </w:r>
    </w:p>
    <w:p w:rsidR="00B8617C" w:rsidRPr="0065077E" w:rsidRDefault="00B8617C" w:rsidP="0065077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B7842" w:rsidRPr="0065077E" w:rsidRDefault="00FB7842" w:rsidP="0065077E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اسرتين من كل خمسة اسر قيمت تجربة التعلم عن بعد بأنها سيئة ولم تؤدي الغرض منها </w:t>
      </w:r>
    </w:p>
    <w:p w:rsidR="00FB7842" w:rsidRPr="0065077E" w:rsidRDefault="00FB7842" w:rsidP="0065077E">
      <w:pPr>
        <w:jc w:val="both"/>
        <w:rPr>
          <w:rFonts w:ascii="Simplified Arabic" w:hAnsi="Simplified Arabic" w:cs="Simplified Arabic"/>
          <w:b/>
          <w:sz w:val="26"/>
          <w:szCs w:val="26"/>
          <w:rtl/>
          <w:lang w:val="en-GB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تشير بيانات مسح أثر جائحة كوفيد 19 (كورونا) على الظروف الاجتماعية والاقتصادية للأسر الفلسطينية، 2020 الى أن </w:t>
      </w:r>
      <w:r w:rsidR="00007967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40</w:t>
      </w:r>
      <w:r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>% من الأسر التي شارك أطفالهم في أي من الأنشطة التعليمية عن بعد خلال فترة الإغلاق (5 آذار - 25  أيار/ 2020)،  قيموا التجربة بانها سيئة ولم تُؤدِّ الغرض منها، في حين قيم</w:t>
      </w:r>
      <w:r w:rsidR="00007967"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 xml:space="preserve"> نحو</w:t>
      </w:r>
      <w:r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 xml:space="preserve"> 3</w:t>
      </w:r>
      <w:r w:rsidR="00007967"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>9</w:t>
      </w:r>
      <w:r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>% التجربة بانها جيدة وأدت الغرض منها ولكن هنالك مجال لتحسين التجربة، و</w:t>
      </w:r>
      <w:r w:rsidR="00007967"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>21</w:t>
      </w:r>
      <w:r w:rsidRPr="0065077E">
        <w:rPr>
          <w:rFonts w:ascii="Simplified Arabic" w:hAnsi="Simplified Arabic" w:cs="Simplified Arabic"/>
          <w:b/>
          <w:sz w:val="26"/>
          <w:szCs w:val="26"/>
          <w:rtl/>
          <w:lang w:val="en-GB"/>
        </w:rPr>
        <w:t xml:space="preserve">% قيموا التجربة بانها جيدة وأدت الغرض منها. </w:t>
      </w:r>
    </w:p>
    <w:p w:rsidR="00FB7842" w:rsidRPr="0065077E" w:rsidRDefault="00FB7842" w:rsidP="0065077E">
      <w:pPr>
        <w:jc w:val="lowKashida"/>
        <w:rPr>
          <w:rFonts w:ascii="Simplified Arabic" w:hAnsi="Simplified Arabic" w:cs="Simplified Arabic"/>
          <w:b/>
          <w:bCs/>
          <w:smallCaps/>
          <w:sz w:val="16"/>
          <w:szCs w:val="16"/>
          <w:rtl/>
        </w:rPr>
      </w:pPr>
    </w:p>
    <w:p w:rsidR="00973356" w:rsidRPr="0065077E" w:rsidRDefault="00FB7842" w:rsidP="0065077E">
      <w:pPr>
        <w:jc w:val="lowKashida"/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  <w:t>أسرتين من بين خمسة أسر انخفض دخلها بمقدار النصف فأكثر</w:t>
      </w:r>
    </w:p>
    <w:p w:rsidR="00AE6405" w:rsidRPr="0065077E" w:rsidRDefault="001E3121" w:rsidP="0065077E">
      <w:pPr>
        <w:jc w:val="lowKashida"/>
        <w:rPr>
          <w:rFonts w:ascii="Simplified Arabic" w:hAnsi="Simplified Arabic" w:cs="Simplified Arabic"/>
          <w:b/>
          <w:bCs/>
          <w:smallCaps/>
          <w:sz w:val="26"/>
          <w:szCs w:val="26"/>
        </w:rPr>
      </w:pPr>
      <w:r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تظهر بيانات مسح أثر جائحة كوفيد 19 (كورونا) على الظروف الاجتماعية والاقتصادية للأسر الفلسطينية، 2020، أن 42% من الاسر الفلسطينية أفادت بانه انخفض دخلها بمقدار النصف فأكثر وذلك خلال فترة الإغلاق (5 آذار - 25  أيار/ </w:t>
      </w:r>
      <w:r w:rsidR="00AE6405" w:rsidRPr="0065077E">
        <w:rPr>
          <w:rFonts w:ascii="Simplified Arabic" w:hAnsi="Simplified Arabic" w:cs="Simplified Arabic"/>
          <w:sz w:val="26"/>
          <w:szCs w:val="26"/>
          <w:rtl/>
          <w:lang w:val="en-GB"/>
        </w:rPr>
        <w:t>2020)،  مقارنة مع شهر شباط/ فبراير 2020</w:t>
      </w:r>
      <w:r w:rsidR="00AE6405" w:rsidRPr="0065077E">
        <w:rPr>
          <w:rFonts w:ascii="Simplified Arabic" w:hAnsi="Simplified Arabic" w:cs="Simplified Arabic"/>
          <w:sz w:val="26"/>
          <w:szCs w:val="26"/>
        </w:rPr>
        <w:t>.</w:t>
      </w:r>
    </w:p>
    <w:p w:rsidR="00AE6405" w:rsidRPr="0065077E" w:rsidRDefault="00AE6405" w:rsidP="0065077E">
      <w:pPr>
        <w:jc w:val="lowKashida"/>
        <w:rPr>
          <w:rFonts w:ascii="Simplified Arabic" w:hAnsi="Simplified Arabic" w:cs="Simplified Arabic"/>
          <w:sz w:val="16"/>
          <w:szCs w:val="16"/>
          <w:rtl/>
          <w:lang w:val="en-GB"/>
        </w:rPr>
      </w:pPr>
    </w:p>
    <w:p w:rsidR="00D232B1" w:rsidRPr="0065077E" w:rsidRDefault="00D232B1" w:rsidP="0065077E">
      <w:pPr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</w:pPr>
      <w:r w:rsidRPr="0065077E"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  <w:t>انخفاض في الانفاق الشهري للأسر على المواد الغذائية خلال فترة الاغلاق</w:t>
      </w:r>
    </w:p>
    <w:p w:rsidR="00D232B1" w:rsidRPr="0065077E" w:rsidRDefault="00FF6356" w:rsidP="0065077E">
      <w:pPr>
        <w:jc w:val="lowKashida"/>
        <w:rPr>
          <w:rFonts w:ascii="Simplified Arabic" w:hAnsi="Simplified Arabic" w:cs="Simplified Arabic"/>
          <w:sz w:val="26"/>
          <w:szCs w:val="26"/>
        </w:rPr>
      </w:pPr>
      <w:r w:rsidRPr="0065077E">
        <w:rPr>
          <w:rFonts w:ascii="Simplified Arabic" w:hAnsi="Simplified Arabic" w:cs="Simplified Arabic"/>
          <w:smallCaps/>
          <w:sz w:val="26"/>
          <w:szCs w:val="26"/>
          <w:rtl/>
        </w:rPr>
        <w:t>اشارت نحو</w:t>
      </w:r>
      <w:r w:rsidR="00D232B1" w:rsidRPr="0065077E">
        <w:rPr>
          <w:rFonts w:ascii="Simplified Arabic" w:hAnsi="Simplified Arabic" w:cs="Simplified Arabic"/>
          <w:smallCaps/>
          <w:sz w:val="26"/>
          <w:szCs w:val="26"/>
          <w:rtl/>
        </w:rPr>
        <w:t xml:space="preserve"> 41% من الأسر </w:t>
      </w:r>
      <w:r w:rsidRPr="0065077E">
        <w:rPr>
          <w:rFonts w:ascii="Simplified Arabic" w:hAnsi="Simplified Arabic" w:cs="Simplified Arabic"/>
          <w:smallCaps/>
          <w:sz w:val="26"/>
          <w:szCs w:val="26"/>
          <w:rtl/>
        </w:rPr>
        <w:t xml:space="preserve">الى </w:t>
      </w:r>
      <w:r w:rsidR="00D232B1" w:rsidRPr="0065077E">
        <w:rPr>
          <w:rFonts w:ascii="Simplified Arabic" w:hAnsi="Simplified Arabic" w:cs="Simplified Arabic"/>
          <w:smallCaps/>
          <w:sz w:val="26"/>
          <w:szCs w:val="26"/>
          <w:rtl/>
        </w:rPr>
        <w:t>انخف</w:t>
      </w:r>
      <w:r w:rsidRPr="0065077E">
        <w:rPr>
          <w:rFonts w:ascii="Simplified Arabic" w:hAnsi="Simplified Arabic" w:cs="Simplified Arabic"/>
          <w:smallCaps/>
          <w:sz w:val="26"/>
          <w:szCs w:val="26"/>
          <w:rtl/>
        </w:rPr>
        <w:t>ا</w:t>
      </w:r>
      <w:r w:rsidR="00D232B1" w:rsidRPr="0065077E">
        <w:rPr>
          <w:rFonts w:ascii="Simplified Arabic" w:hAnsi="Simplified Arabic" w:cs="Simplified Arabic"/>
          <w:smallCaps/>
          <w:sz w:val="26"/>
          <w:szCs w:val="26"/>
          <w:rtl/>
        </w:rPr>
        <w:t>ض نفقاتها الشهرية على المواد الغذائية خلال فترة الإغلاق مقارنة مع شهر شباط/فبراير 2020 (42% في الضفة الغربية، و40% في قطاع غزة). و</w:t>
      </w:r>
      <w:r w:rsidR="00D232B1" w:rsidRPr="0065077E">
        <w:rPr>
          <w:rFonts w:ascii="Simplified Arabic" w:hAnsi="Simplified Arabic" w:cs="Simplified Arabic"/>
          <w:sz w:val="26"/>
          <w:szCs w:val="26"/>
          <w:rtl/>
        </w:rPr>
        <w:t>أشارت نحو 29% من الاسر إلى ان برامج التحويلات النقدية من أكثر التدابير والاجراءات التي يجب على الحكومة القيام بها، يلي ذلك توفير فرص عمل وتشغيل (21%)، والأولوية الثالثة توفير كوبونات طعام وطرود غذائية وقسائم شرائية (19%)</w:t>
      </w:r>
      <w:r w:rsidR="00121CAD" w:rsidRPr="0065077E">
        <w:rPr>
          <w:rFonts w:ascii="Simplified Arabic" w:hAnsi="Simplified Arabic" w:cs="Simplified Arabic"/>
          <w:sz w:val="26"/>
          <w:szCs w:val="26"/>
        </w:rPr>
        <w:t>.</w:t>
      </w:r>
    </w:p>
    <w:p w:rsidR="00121CAD" w:rsidRDefault="00121CAD" w:rsidP="0065077E">
      <w:pPr>
        <w:jc w:val="lowKashida"/>
        <w:rPr>
          <w:rFonts w:ascii="Simplified Arabic" w:hAnsi="Simplified Arabic" w:cs="Simplified Arabic"/>
        </w:rPr>
      </w:pPr>
    </w:p>
    <w:p w:rsidR="00121CAD" w:rsidRDefault="00121CAD" w:rsidP="0065077E">
      <w:pPr>
        <w:jc w:val="lowKashida"/>
        <w:rPr>
          <w:rFonts w:ascii="Simplified Arabic" w:hAnsi="Simplified Arabic" w:cs="Simplified Arabic"/>
        </w:rPr>
      </w:pPr>
    </w:p>
    <w:p w:rsidR="000A2992" w:rsidRPr="00E65D9E" w:rsidRDefault="000A2992" w:rsidP="00E65D9E">
      <w:pPr>
        <w:jc w:val="lowKashida"/>
        <w:rPr>
          <w:rFonts w:cs="Simplified Arabic"/>
          <w:color w:val="FF0000"/>
          <w:rtl/>
          <w:lang w:val="en-GB"/>
        </w:rPr>
      </w:pPr>
      <w:bookmarkStart w:id="0" w:name="_GoBack"/>
      <w:bookmarkEnd w:id="0"/>
    </w:p>
    <w:sectPr w:rsidR="000A2992" w:rsidRPr="00E65D9E" w:rsidSect="0065077E">
      <w:footerReference w:type="even" r:id="rId10"/>
      <w:footerReference w:type="default" r:id="rId11"/>
      <w:headerReference w:type="first" r:id="rId12"/>
      <w:pgSz w:w="11906" w:h="16838" w:code="9"/>
      <w:pgMar w:top="1138" w:right="1138" w:bottom="1138" w:left="1138" w:header="677" w:footer="54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81" w:rsidRDefault="00B83A81">
      <w:r>
        <w:separator/>
      </w:r>
    </w:p>
  </w:endnote>
  <w:endnote w:type="continuationSeparator" w:id="0">
    <w:p w:rsidR="00B83A81" w:rsidRDefault="00B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22" w:rsidRDefault="00C9553D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91582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1582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22" w:rsidRDefault="00C9553D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915822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E65D9E">
      <w:rPr>
        <w:rStyle w:val="PageNumber"/>
        <w:noProof/>
        <w:sz w:val="20"/>
        <w:szCs w:val="20"/>
        <w:rtl/>
      </w:rPr>
      <w:t>4</w:t>
    </w:r>
    <w:r>
      <w:rPr>
        <w:rStyle w:val="PageNumber"/>
        <w:sz w:val="20"/>
        <w:szCs w:val="20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81" w:rsidRDefault="00B83A81">
      <w:r>
        <w:separator/>
      </w:r>
    </w:p>
  </w:footnote>
  <w:footnote w:type="continuationSeparator" w:id="0">
    <w:p w:rsidR="00B83A81" w:rsidRDefault="00B8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72"/>
      <w:gridCol w:w="3474"/>
      <w:gridCol w:w="3474"/>
    </w:tblGrid>
    <w:tr w:rsidR="00915822" w:rsidTr="00B10EE0">
      <w:tc>
        <w:tcPr>
          <w:tcW w:w="3473" w:type="dxa"/>
          <w:vAlign w:val="center"/>
        </w:tcPr>
        <w:p w:rsidR="00915822" w:rsidRDefault="0091582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915822" w:rsidRDefault="0091582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915822" w:rsidRDefault="0091582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915822" w:rsidRDefault="00915822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915822" w:rsidRPr="00237AA1" w:rsidRDefault="00915822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 w15:restartNumberingAfterBreak="0">
    <w:nsid w:val="43695E76"/>
    <w:multiLevelType w:val="hybridMultilevel"/>
    <w:tmpl w:val="0CFEEA3A"/>
    <w:lvl w:ilvl="0" w:tplc="63DA2E8A">
      <w:start w:val="1"/>
      <w:numFmt w:val="bullet"/>
      <w:lvlText w:val="-"/>
      <w:lvlJc w:val="left"/>
      <w:pPr>
        <w:tabs>
          <w:tab w:val="num" w:pos="360"/>
        </w:tabs>
        <w:ind w:left="340" w:right="340" w:hanging="340"/>
      </w:pPr>
      <w:rPr>
        <w:rFonts w:ascii="Wingdings" w:hAnsi="Wingdings" w:hint="default"/>
        <w:lang w:bidi="ar-SA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0" w15:restartNumberingAfterBreak="0">
    <w:nsid w:val="498670A6"/>
    <w:multiLevelType w:val="hybridMultilevel"/>
    <w:tmpl w:val="F1B6712C"/>
    <w:lvl w:ilvl="0" w:tplc="674A16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4" w15:restartNumberingAfterBreak="0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8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 w15:restartNumberingAfterBreak="0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2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7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1"/>
  </w:num>
  <w:num w:numId="3">
    <w:abstractNumId w:val="37"/>
  </w:num>
  <w:num w:numId="4">
    <w:abstractNumId w:val="42"/>
  </w:num>
  <w:num w:numId="5">
    <w:abstractNumId w:val="43"/>
  </w:num>
  <w:num w:numId="6">
    <w:abstractNumId w:val="29"/>
  </w:num>
  <w:num w:numId="7">
    <w:abstractNumId w:val="47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8"/>
  </w:num>
  <w:num w:numId="14">
    <w:abstractNumId w:val="32"/>
  </w:num>
  <w:num w:numId="15">
    <w:abstractNumId w:val="22"/>
  </w:num>
  <w:num w:numId="16">
    <w:abstractNumId w:val="2"/>
  </w:num>
  <w:num w:numId="17">
    <w:abstractNumId w:val="36"/>
  </w:num>
  <w:num w:numId="18">
    <w:abstractNumId w:val="33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6"/>
  </w:num>
  <w:num w:numId="26">
    <w:abstractNumId w:val="38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9"/>
  </w:num>
  <w:num w:numId="34">
    <w:abstractNumId w:val="35"/>
  </w:num>
  <w:num w:numId="35">
    <w:abstractNumId w:val="13"/>
  </w:num>
  <w:num w:numId="36">
    <w:abstractNumId w:val="31"/>
  </w:num>
  <w:num w:numId="37">
    <w:abstractNumId w:val="0"/>
  </w:num>
  <w:num w:numId="38">
    <w:abstractNumId w:val="27"/>
  </w:num>
  <w:num w:numId="39">
    <w:abstractNumId w:val="20"/>
  </w:num>
  <w:num w:numId="40">
    <w:abstractNumId w:val="44"/>
  </w:num>
  <w:num w:numId="41">
    <w:abstractNumId w:val="19"/>
  </w:num>
  <w:num w:numId="42">
    <w:abstractNumId w:val="24"/>
  </w:num>
  <w:num w:numId="43">
    <w:abstractNumId w:val="40"/>
  </w:num>
  <w:num w:numId="44">
    <w:abstractNumId w:val="34"/>
  </w:num>
  <w:num w:numId="45">
    <w:abstractNumId w:val="45"/>
  </w:num>
  <w:num w:numId="46">
    <w:abstractNumId w:val="23"/>
  </w:num>
  <w:num w:numId="47">
    <w:abstractNumId w:val="3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D"/>
    <w:rsid w:val="000009B3"/>
    <w:rsid w:val="000026C1"/>
    <w:rsid w:val="00007967"/>
    <w:rsid w:val="0001013E"/>
    <w:rsid w:val="0001657B"/>
    <w:rsid w:val="00020FC8"/>
    <w:rsid w:val="00024A21"/>
    <w:rsid w:val="00024B49"/>
    <w:rsid w:val="000254EF"/>
    <w:rsid w:val="0002590B"/>
    <w:rsid w:val="00026B13"/>
    <w:rsid w:val="00042D56"/>
    <w:rsid w:val="000460DC"/>
    <w:rsid w:val="00050563"/>
    <w:rsid w:val="000512B5"/>
    <w:rsid w:val="0005342B"/>
    <w:rsid w:val="00054F57"/>
    <w:rsid w:val="000606F0"/>
    <w:rsid w:val="00064502"/>
    <w:rsid w:val="0006769B"/>
    <w:rsid w:val="000734B3"/>
    <w:rsid w:val="000761AF"/>
    <w:rsid w:val="00076DF8"/>
    <w:rsid w:val="000840A2"/>
    <w:rsid w:val="000860C5"/>
    <w:rsid w:val="00086CAA"/>
    <w:rsid w:val="0009101D"/>
    <w:rsid w:val="00091C54"/>
    <w:rsid w:val="0009306C"/>
    <w:rsid w:val="000A20E4"/>
    <w:rsid w:val="000A2143"/>
    <w:rsid w:val="000A2992"/>
    <w:rsid w:val="000B05B1"/>
    <w:rsid w:val="000B2899"/>
    <w:rsid w:val="000B2EAA"/>
    <w:rsid w:val="000B493A"/>
    <w:rsid w:val="000B757D"/>
    <w:rsid w:val="000C3718"/>
    <w:rsid w:val="000C45E5"/>
    <w:rsid w:val="000D0C52"/>
    <w:rsid w:val="000D12A0"/>
    <w:rsid w:val="000D2FF5"/>
    <w:rsid w:val="000D332A"/>
    <w:rsid w:val="000D41AC"/>
    <w:rsid w:val="000D4428"/>
    <w:rsid w:val="000E2620"/>
    <w:rsid w:val="000E2DC1"/>
    <w:rsid w:val="000E7B62"/>
    <w:rsid w:val="000F46B8"/>
    <w:rsid w:val="000F7363"/>
    <w:rsid w:val="00103936"/>
    <w:rsid w:val="00110AF6"/>
    <w:rsid w:val="0011171C"/>
    <w:rsid w:val="001204F0"/>
    <w:rsid w:val="0012106F"/>
    <w:rsid w:val="00121CAD"/>
    <w:rsid w:val="00126095"/>
    <w:rsid w:val="00127A42"/>
    <w:rsid w:val="00132082"/>
    <w:rsid w:val="00132416"/>
    <w:rsid w:val="00132472"/>
    <w:rsid w:val="00135B24"/>
    <w:rsid w:val="00143DBF"/>
    <w:rsid w:val="0014641A"/>
    <w:rsid w:val="00147AF3"/>
    <w:rsid w:val="00165F0D"/>
    <w:rsid w:val="00173AF0"/>
    <w:rsid w:val="00176C3B"/>
    <w:rsid w:val="001A129E"/>
    <w:rsid w:val="001A2E41"/>
    <w:rsid w:val="001A39ED"/>
    <w:rsid w:val="001A7E63"/>
    <w:rsid w:val="001B2A5B"/>
    <w:rsid w:val="001B3736"/>
    <w:rsid w:val="001B77C2"/>
    <w:rsid w:val="001D0D82"/>
    <w:rsid w:val="001D3F26"/>
    <w:rsid w:val="001D4F23"/>
    <w:rsid w:val="001E26AF"/>
    <w:rsid w:val="001E3121"/>
    <w:rsid w:val="001F24F9"/>
    <w:rsid w:val="001F32D8"/>
    <w:rsid w:val="001F3B0A"/>
    <w:rsid w:val="0020040D"/>
    <w:rsid w:val="00203033"/>
    <w:rsid w:val="002067FB"/>
    <w:rsid w:val="00210333"/>
    <w:rsid w:val="002107DF"/>
    <w:rsid w:val="00212F4A"/>
    <w:rsid w:val="002132AA"/>
    <w:rsid w:val="002164D8"/>
    <w:rsid w:val="00217A0F"/>
    <w:rsid w:val="00220A64"/>
    <w:rsid w:val="00224FA9"/>
    <w:rsid w:val="00225ECA"/>
    <w:rsid w:val="002276F8"/>
    <w:rsid w:val="00227D61"/>
    <w:rsid w:val="00237AA1"/>
    <w:rsid w:val="002443CC"/>
    <w:rsid w:val="00247528"/>
    <w:rsid w:val="00254242"/>
    <w:rsid w:val="00254FA1"/>
    <w:rsid w:val="00255351"/>
    <w:rsid w:val="002560B7"/>
    <w:rsid w:val="00261467"/>
    <w:rsid w:val="00267642"/>
    <w:rsid w:val="00272CC7"/>
    <w:rsid w:val="00273617"/>
    <w:rsid w:val="0028046F"/>
    <w:rsid w:val="00284D38"/>
    <w:rsid w:val="00287E2D"/>
    <w:rsid w:val="00292E16"/>
    <w:rsid w:val="002A293C"/>
    <w:rsid w:val="002A3556"/>
    <w:rsid w:val="002A378A"/>
    <w:rsid w:val="002A6913"/>
    <w:rsid w:val="002B2F8F"/>
    <w:rsid w:val="002B3B89"/>
    <w:rsid w:val="002B6133"/>
    <w:rsid w:val="002B72AA"/>
    <w:rsid w:val="002C4877"/>
    <w:rsid w:val="002D04F6"/>
    <w:rsid w:val="002D4251"/>
    <w:rsid w:val="002D543D"/>
    <w:rsid w:val="002E38E1"/>
    <w:rsid w:val="00301ABA"/>
    <w:rsid w:val="003059FC"/>
    <w:rsid w:val="00310E9A"/>
    <w:rsid w:val="00311F0E"/>
    <w:rsid w:val="00312577"/>
    <w:rsid w:val="00312B2B"/>
    <w:rsid w:val="00314FDA"/>
    <w:rsid w:val="003160FC"/>
    <w:rsid w:val="003163D0"/>
    <w:rsid w:val="00322966"/>
    <w:rsid w:val="00325089"/>
    <w:rsid w:val="0032568B"/>
    <w:rsid w:val="00325C93"/>
    <w:rsid w:val="00325D6B"/>
    <w:rsid w:val="0034535D"/>
    <w:rsid w:val="003457FC"/>
    <w:rsid w:val="00347F6E"/>
    <w:rsid w:val="00356629"/>
    <w:rsid w:val="00356CE0"/>
    <w:rsid w:val="003609DD"/>
    <w:rsid w:val="00360B13"/>
    <w:rsid w:val="003735DD"/>
    <w:rsid w:val="00375995"/>
    <w:rsid w:val="003762EC"/>
    <w:rsid w:val="00380323"/>
    <w:rsid w:val="00385706"/>
    <w:rsid w:val="003951D4"/>
    <w:rsid w:val="00397E7D"/>
    <w:rsid w:val="003B4E32"/>
    <w:rsid w:val="003C57B2"/>
    <w:rsid w:val="003D154B"/>
    <w:rsid w:val="003E1915"/>
    <w:rsid w:val="003E1C4E"/>
    <w:rsid w:val="003F1817"/>
    <w:rsid w:val="003F4698"/>
    <w:rsid w:val="003F4A3D"/>
    <w:rsid w:val="00402DFA"/>
    <w:rsid w:val="0040369C"/>
    <w:rsid w:val="00410898"/>
    <w:rsid w:val="0041603D"/>
    <w:rsid w:val="00422BF7"/>
    <w:rsid w:val="004318DB"/>
    <w:rsid w:val="00434A35"/>
    <w:rsid w:val="00440651"/>
    <w:rsid w:val="00453F57"/>
    <w:rsid w:val="00470051"/>
    <w:rsid w:val="00471326"/>
    <w:rsid w:val="00474CC7"/>
    <w:rsid w:val="004806EE"/>
    <w:rsid w:val="004841C0"/>
    <w:rsid w:val="00485A39"/>
    <w:rsid w:val="004974D1"/>
    <w:rsid w:val="004A0594"/>
    <w:rsid w:val="004A4C5A"/>
    <w:rsid w:val="004A4E84"/>
    <w:rsid w:val="004B2084"/>
    <w:rsid w:val="004B2D88"/>
    <w:rsid w:val="004C330A"/>
    <w:rsid w:val="004D1DD3"/>
    <w:rsid w:val="004E5E79"/>
    <w:rsid w:val="004F4CED"/>
    <w:rsid w:val="00502FC3"/>
    <w:rsid w:val="00506ED9"/>
    <w:rsid w:val="005118CC"/>
    <w:rsid w:val="00513320"/>
    <w:rsid w:val="005150F3"/>
    <w:rsid w:val="005167B4"/>
    <w:rsid w:val="0052132A"/>
    <w:rsid w:val="00531DE9"/>
    <w:rsid w:val="00535B24"/>
    <w:rsid w:val="005368CC"/>
    <w:rsid w:val="00546089"/>
    <w:rsid w:val="00546F4B"/>
    <w:rsid w:val="00547CEC"/>
    <w:rsid w:val="005516C5"/>
    <w:rsid w:val="0055795A"/>
    <w:rsid w:val="005579D0"/>
    <w:rsid w:val="00561952"/>
    <w:rsid w:val="00564554"/>
    <w:rsid w:val="005664FC"/>
    <w:rsid w:val="005727D0"/>
    <w:rsid w:val="0057675A"/>
    <w:rsid w:val="00582141"/>
    <w:rsid w:val="00585285"/>
    <w:rsid w:val="00591418"/>
    <w:rsid w:val="00594A0A"/>
    <w:rsid w:val="00595E96"/>
    <w:rsid w:val="005A19DF"/>
    <w:rsid w:val="005A627C"/>
    <w:rsid w:val="005B0702"/>
    <w:rsid w:val="005B3453"/>
    <w:rsid w:val="005B383E"/>
    <w:rsid w:val="005B494E"/>
    <w:rsid w:val="005B6652"/>
    <w:rsid w:val="005B697D"/>
    <w:rsid w:val="005D42C9"/>
    <w:rsid w:val="005D6E87"/>
    <w:rsid w:val="005D71CA"/>
    <w:rsid w:val="005E1046"/>
    <w:rsid w:val="005E353A"/>
    <w:rsid w:val="005E62C4"/>
    <w:rsid w:val="005F1127"/>
    <w:rsid w:val="005F1EBE"/>
    <w:rsid w:val="006143C9"/>
    <w:rsid w:val="00617884"/>
    <w:rsid w:val="0062353B"/>
    <w:rsid w:val="00632E80"/>
    <w:rsid w:val="006332D1"/>
    <w:rsid w:val="0064236B"/>
    <w:rsid w:val="0065077E"/>
    <w:rsid w:val="00653001"/>
    <w:rsid w:val="00662920"/>
    <w:rsid w:val="00663048"/>
    <w:rsid w:val="006759C7"/>
    <w:rsid w:val="00680ED9"/>
    <w:rsid w:val="0068445D"/>
    <w:rsid w:val="00690D64"/>
    <w:rsid w:val="006932DE"/>
    <w:rsid w:val="006945B7"/>
    <w:rsid w:val="00695353"/>
    <w:rsid w:val="00697C27"/>
    <w:rsid w:val="006A6058"/>
    <w:rsid w:val="006B08FC"/>
    <w:rsid w:val="006B4F18"/>
    <w:rsid w:val="006C176A"/>
    <w:rsid w:val="006C7784"/>
    <w:rsid w:val="006C7BF0"/>
    <w:rsid w:val="006D1270"/>
    <w:rsid w:val="006D19E0"/>
    <w:rsid w:val="006D7554"/>
    <w:rsid w:val="006E0C76"/>
    <w:rsid w:val="006E211B"/>
    <w:rsid w:val="006E2267"/>
    <w:rsid w:val="006E3E08"/>
    <w:rsid w:val="00701324"/>
    <w:rsid w:val="00701A99"/>
    <w:rsid w:val="007040DF"/>
    <w:rsid w:val="00715D55"/>
    <w:rsid w:val="007161A4"/>
    <w:rsid w:val="00720FC1"/>
    <w:rsid w:val="00721AED"/>
    <w:rsid w:val="00721C43"/>
    <w:rsid w:val="0072303F"/>
    <w:rsid w:val="00730956"/>
    <w:rsid w:val="00731130"/>
    <w:rsid w:val="007315A7"/>
    <w:rsid w:val="00731720"/>
    <w:rsid w:val="00731B85"/>
    <w:rsid w:val="00735808"/>
    <w:rsid w:val="00735B24"/>
    <w:rsid w:val="00741B7B"/>
    <w:rsid w:val="0074448B"/>
    <w:rsid w:val="00744C9F"/>
    <w:rsid w:val="00746B86"/>
    <w:rsid w:val="0075301D"/>
    <w:rsid w:val="00762F9A"/>
    <w:rsid w:val="00766F5C"/>
    <w:rsid w:val="007672C9"/>
    <w:rsid w:val="00770501"/>
    <w:rsid w:val="00770980"/>
    <w:rsid w:val="00774F8E"/>
    <w:rsid w:val="007751FE"/>
    <w:rsid w:val="0077633D"/>
    <w:rsid w:val="00791FBA"/>
    <w:rsid w:val="00792CE9"/>
    <w:rsid w:val="007A1EC3"/>
    <w:rsid w:val="007A2D27"/>
    <w:rsid w:val="007B0FCF"/>
    <w:rsid w:val="007B1A57"/>
    <w:rsid w:val="007D038C"/>
    <w:rsid w:val="007D4A6F"/>
    <w:rsid w:val="007E49BD"/>
    <w:rsid w:val="007F043A"/>
    <w:rsid w:val="007F6E11"/>
    <w:rsid w:val="00801A3F"/>
    <w:rsid w:val="00802F33"/>
    <w:rsid w:val="008032C6"/>
    <w:rsid w:val="0080368A"/>
    <w:rsid w:val="00807CC7"/>
    <w:rsid w:val="008108C2"/>
    <w:rsid w:val="00813D80"/>
    <w:rsid w:val="0081532D"/>
    <w:rsid w:val="008168D4"/>
    <w:rsid w:val="008221C6"/>
    <w:rsid w:val="00822BFB"/>
    <w:rsid w:val="00823A74"/>
    <w:rsid w:val="008261AC"/>
    <w:rsid w:val="0082798F"/>
    <w:rsid w:val="00831222"/>
    <w:rsid w:val="00831244"/>
    <w:rsid w:val="008369CB"/>
    <w:rsid w:val="00845A83"/>
    <w:rsid w:val="00845D1E"/>
    <w:rsid w:val="00847526"/>
    <w:rsid w:val="00847813"/>
    <w:rsid w:val="00847DE7"/>
    <w:rsid w:val="0085097E"/>
    <w:rsid w:val="00852E37"/>
    <w:rsid w:val="00852F3B"/>
    <w:rsid w:val="008558DA"/>
    <w:rsid w:val="00856BF5"/>
    <w:rsid w:val="008612C0"/>
    <w:rsid w:val="00867FA7"/>
    <w:rsid w:val="00870681"/>
    <w:rsid w:val="0087384A"/>
    <w:rsid w:val="00881E93"/>
    <w:rsid w:val="00883EB1"/>
    <w:rsid w:val="008945C1"/>
    <w:rsid w:val="00894C87"/>
    <w:rsid w:val="008A2EDD"/>
    <w:rsid w:val="008A538F"/>
    <w:rsid w:val="008B563A"/>
    <w:rsid w:val="008B5798"/>
    <w:rsid w:val="008B6EB3"/>
    <w:rsid w:val="008B7ECB"/>
    <w:rsid w:val="008C0974"/>
    <w:rsid w:val="008C45A9"/>
    <w:rsid w:val="008D1EE5"/>
    <w:rsid w:val="008D4A17"/>
    <w:rsid w:val="008D5D94"/>
    <w:rsid w:val="008D67FE"/>
    <w:rsid w:val="008D6C41"/>
    <w:rsid w:val="008E2CE1"/>
    <w:rsid w:val="008F0371"/>
    <w:rsid w:val="008F50F4"/>
    <w:rsid w:val="008F599A"/>
    <w:rsid w:val="008F7AC9"/>
    <w:rsid w:val="00915822"/>
    <w:rsid w:val="00921393"/>
    <w:rsid w:val="00924840"/>
    <w:rsid w:val="00925280"/>
    <w:rsid w:val="00926DDA"/>
    <w:rsid w:val="0093576B"/>
    <w:rsid w:val="00935ED9"/>
    <w:rsid w:val="00947191"/>
    <w:rsid w:val="00947EEE"/>
    <w:rsid w:val="00952B16"/>
    <w:rsid w:val="00955C05"/>
    <w:rsid w:val="0096066C"/>
    <w:rsid w:val="00972224"/>
    <w:rsid w:val="0097298D"/>
    <w:rsid w:val="00972E51"/>
    <w:rsid w:val="00973356"/>
    <w:rsid w:val="00974D91"/>
    <w:rsid w:val="009764B5"/>
    <w:rsid w:val="009817B6"/>
    <w:rsid w:val="0098702E"/>
    <w:rsid w:val="00990378"/>
    <w:rsid w:val="00994DBC"/>
    <w:rsid w:val="009A126F"/>
    <w:rsid w:val="009A1388"/>
    <w:rsid w:val="009A16AD"/>
    <w:rsid w:val="009A5C25"/>
    <w:rsid w:val="009B0748"/>
    <w:rsid w:val="009B53EF"/>
    <w:rsid w:val="009B7CD4"/>
    <w:rsid w:val="009C2CCB"/>
    <w:rsid w:val="009C4F03"/>
    <w:rsid w:val="009C592D"/>
    <w:rsid w:val="009D0AF5"/>
    <w:rsid w:val="009D2B03"/>
    <w:rsid w:val="009E0CEE"/>
    <w:rsid w:val="009E76B5"/>
    <w:rsid w:val="009F20CC"/>
    <w:rsid w:val="009F6330"/>
    <w:rsid w:val="009F6A29"/>
    <w:rsid w:val="00A02135"/>
    <w:rsid w:val="00A024A3"/>
    <w:rsid w:val="00A03A4B"/>
    <w:rsid w:val="00A11C94"/>
    <w:rsid w:val="00A1232E"/>
    <w:rsid w:val="00A12A52"/>
    <w:rsid w:val="00A12F1A"/>
    <w:rsid w:val="00A131EE"/>
    <w:rsid w:val="00A13E1B"/>
    <w:rsid w:val="00A161E1"/>
    <w:rsid w:val="00A16B45"/>
    <w:rsid w:val="00A2088C"/>
    <w:rsid w:val="00A24DFB"/>
    <w:rsid w:val="00A266B1"/>
    <w:rsid w:val="00A279EE"/>
    <w:rsid w:val="00A318A3"/>
    <w:rsid w:val="00A31AA0"/>
    <w:rsid w:val="00A367DC"/>
    <w:rsid w:val="00A36FB9"/>
    <w:rsid w:val="00A46995"/>
    <w:rsid w:val="00A5053A"/>
    <w:rsid w:val="00A537DC"/>
    <w:rsid w:val="00A57E48"/>
    <w:rsid w:val="00A605BB"/>
    <w:rsid w:val="00A64613"/>
    <w:rsid w:val="00A64EA3"/>
    <w:rsid w:val="00A67EF0"/>
    <w:rsid w:val="00A741FA"/>
    <w:rsid w:val="00A80B0B"/>
    <w:rsid w:val="00A829FE"/>
    <w:rsid w:val="00A854EA"/>
    <w:rsid w:val="00A913C1"/>
    <w:rsid w:val="00A9547E"/>
    <w:rsid w:val="00A97BC3"/>
    <w:rsid w:val="00AA7930"/>
    <w:rsid w:val="00AB0B76"/>
    <w:rsid w:val="00AB7080"/>
    <w:rsid w:val="00AC064B"/>
    <w:rsid w:val="00AC39EC"/>
    <w:rsid w:val="00AC48B4"/>
    <w:rsid w:val="00AD0920"/>
    <w:rsid w:val="00AD4E51"/>
    <w:rsid w:val="00AD6533"/>
    <w:rsid w:val="00AE2646"/>
    <w:rsid w:val="00AE3B6D"/>
    <w:rsid w:val="00AE6405"/>
    <w:rsid w:val="00AF0CE1"/>
    <w:rsid w:val="00AF18DF"/>
    <w:rsid w:val="00B00D52"/>
    <w:rsid w:val="00B02F9E"/>
    <w:rsid w:val="00B04579"/>
    <w:rsid w:val="00B10EE0"/>
    <w:rsid w:val="00B203FA"/>
    <w:rsid w:val="00B274FB"/>
    <w:rsid w:val="00B30B8F"/>
    <w:rsid w:val="00B337A2"/>
    <w:rsid w:val="00B3434A"/>
    <w:rsid w:val="00B35C47"/>
    <w:rsid w:val="00B36D89"/>
    <w:rsid w:val="00B471A0"/>
    <w:rsid w:val="00B50BAD"/>
    <w:rsid w:val="00B528E1"/>
    <w:rsid w:val="00B60F62"/>
    <w:rsid w:val="00B60FB6"/>
    <w:rsid w:val="00B61985"/>
    <w:rsid w:val="00B67C2E"/>
    <w:rsid w:val="00B71BEB"/>
    <w:rsid w:val="00B74F39"/>
    <w:rsid w:val="00B8308F"/>
    <w:rsid w:val="00B83A81"/>
    <w:rsid w:val="00B8617C"/>
    <w:rsid w:val="00B930F0"/>
    <w:rsid w:val="00B934A2"/>
    <w:rsid w:val="00B964EE"/>
    <w:rsid w:val="00BA02E3"/>
    <w:rsid w:val="00BA2078"/>
    <w:rsid w:val="00BA524E"/>
    <w:rsid w:val="00BA68DA"/>
    <w:rsid w:val="00BA69D8"/>
    <w:rsid w:val="00BB29D4"/>
    <w:rsid w:val="00BB32B7"/>
    <w:rsid w:val="00BB43C7"/>
    <w:rsid w:val="00BC4F31"/>
    <w:rsid w:val="00BD2F84"/>
    <w:rsid w:val="00BD4930"/>
    <w:rsid w:val="00BE2C1A"/>
    <w:rsid w:val="00BE5FA3"/>
    <w:rsid w:val="00BF0E58"/>
    <w:rsid w:val="00BF2A2E"/>
    <w:rsid w:val="00BF3F43"/>
    <w:rsid w:val="00C04333"/>
    <w:rsid w:val="00C1100E"/>
    <w:rsid w:val="00C119B9"/>
    <w:rsid w:val="00C13507"/>
    <w:rsid w:val="00C23191"/>
    <w:rsid w:val="00C305DE"/>
    <w:rsid w:val="00C357E1"/>
    <w:rsid w:val="00C46E5F"/>
    <w:rsid w:val="00C5189C"/>
    <w:rsid w:val="00C53C39"/>
    <w:rsid w:val="00C65206"/>
    <w:rsid w:val="00C723E9"/>
    <w:rsid w:val="00C72B83"/>
    <w:rsid w:val="00C73DFB"/>
    <w:rsid w:val="00C7521E"/>
    <w:rsid w:val="00C86A0B"/>
    <w:rsid w:val="00C919A2"/>
    <w:rsid w:val="00C91CCE"/>
    <w:rsid w:val="00C92226"/>
    <w:rsid w:val="00C94D9B"/>
    <w:rsid w:val="00C9553D"/>
    <w:rsid w:val="00CA03EE"/>
    <w:rsid w:val="00CA431D"/>
    <w:rsid w:val="00CB4FFD"/>
    <w:rsid w:val="00CB5683"/>
    <w:rsid w:val="00CB5E5D"/>
    <w:rsid w:val="00CC1F0B"/>
    <w:rsid w:val="00CD0507"/>
    <w:rsid w:val="00CD22B7"/>
    <w:rsid w:val="00CD480D"/>
    <w:rsid w:val="00CE22A7"/>
    <w:rsid w:val="00CE2EA5"/>
    <w:rsid w:val="00CE6F87"/>
    <w:rsid w:val="00CF0A70"/>
    <w:rsid w:val="00CF1028"/>
    <w:rsid w:val="00CF4A6F"/>
    <w:rsid w:val="00D03308"/>
    <w:rsid w:val="00D065FF"/>
    <w:rsid w:val="00D1179A"/>
    <w:rsid w:val="00D14846"/>
    <w:rsid w:val="00D15564"/>
    <w:rsid w:val="00D22DEE"/>
    <w:rsid w:val="00D232B1"/>
    <w:rsid w:val="00D27C6D"/>
    <w:rsid w:val="00D34659"/>
    <w:rsid w:val="00D362AB"/>
    <w:rsid w:val="00D379A6"/>
    <w:rsid w:val="00D4303F"/>
    <w:rsid w:val="00D52F19"/>
    <w:rsid w:val="00D54CFB"/>
    <w:rsid w:val="00D57F0D"/>
    <w:rsid w:val="00D617A2"/>
    <w:rsid w:val="00D63037"/>
    <w:rsid w:val="00D6558B"/>
    <w:rsid w:val="00D658BC"/>
    <w:rsid w:val="00D736D3"/>
    <w:rsid w:val="00D73861"/>
    <w:rsid w:val="00D74A3C"/>
    <w:rsid w:val="00D75A5C"/>
    <w:rsid w:val="00D806D4"/>
    <w:rsid w:val="00D81904"/>
    <w:rsid w:val="00D94A23"/>
    <w:rsid w:val="00D966EF"/>
    <w:rsid w:val="00DA012A"/>
    <w:rsid w:val="00DA0672"/>
    <w:rsid w:val="00DB599C"/>
    <w:rsid w:val="00DB6BA0"/>
    <w:rsid w:val="00DB7CD9"/>
    <w:rsid w:val="00DE01A5"/>
    <w:rsid w:val="00DF0D0D"/>
    <w:rsid w:val="00DF25E5"/>
    <w:rsid w:val="00E04A10"/>
    <w:rsid w:val="00E13456"/>
    <w:rsid w:val="00E13E41"/>
    <w:rsid w:val="00E17675"/>
    <w:rsid w:val="00E2155D"/>
    <w:rsid w:val="00E2311A"/>
    <w:rsid w:val="00E23E84"/>
    <w:rsid w:val="00E240AE"/>
    <w:rsid w:val="00E302EF"/>
    <w:rsid w:val="00E35849"/>
    <w:rsid w:val="00E438A5"/>
    <w:rsid w:val="00E46B3C"/>
    <w:rsid w:val="00E4717C"/>
    <w:rsid w:val="00E4721C"/>
    <w:rsid w:val="00E61E9E"/>
    <w:rsid w:val="00E65BF4"/>
    <w:rsid w:val="00E65D9E"/>
    <w:rsid w:val="00E670D4"/>
    <w:rsid w:val="00E70CA1"/>
    <w:rsid w:val="00E81307"/>
    <w:rsid w:val="00E824CA"/>
    <w:rsid w:val="00E82BDE"/>
    <w:rsid w:val="00E86CF0"/>
    <w:rsid w:val="00E95D3C"/>
    <w:rsid w:val="00EA0791"/>
    <w:rsid w:val="00EA0F9A"/>
    <w:rsid w:val="00EA23C3"/>
    <w:rsid w:val="00EA5C2B"/>
    <w:rsid w:val="00EB0998"/>
    <w:rsid w:val="00EB1207"/>
    <w:rsid w:val="00EB230A"/>
    <w:rsid w:val="00EB68C6"/>
    <w:rsid w:val="00EC4B5B"/>
    <w:rsid w:val="00ED1E8A"/>
    <w:rsid w:val="00ED3A3B"/>
    <w:rsid w:val="00ED7664"/>
    <w:rsid w:val="00EE4AB8"/>
    <w:rsid w:val="00EE6DEE"/>
    <w:rsid w:val="00EF3400"/>
    <w:rsid w:val="00F02087"/>
    <w:rsid w:val="00F057D1"/>
    <w:rsid w:val="00F11000"/>
    <w:rsid w:val="00F14889"/>
    <w:rsid w:val="00F21D80"/>
    <w:rsid w:val="00F34A18"/>
    <w:rsid w:val="00F35E20"/>
    <w:rsid w:val="00F36FFF"/>
    <w:rsid w:val="00F418B7"/>
    <w:rsid w:val="00F43700"/>
    <w:rsid w:val="00F43CE1"/>
    <w:rsid w:val="00F459C6"/>
    <w:rsid w:val="00F501A3"/>
    <w:rsid w:val="00F60959"/>
    <w:rsid w:val="00F6150D"/>
    <w:rsid w:val="00F650F4"/>
    <w:rsid w:val="00F73CF4"/>
    <w:rsid w:val="00F77E8C"/>
    <w:rsid w:val="00F85F64"/>
    <w:rsid w:val="00F86CE3"/>
    <w:rsid w:val="00F96C16"/>
    <w:rsid w:val="00F96F49"/>
    <w:rsid w:val="00FA0786"/>
    <w:rsid w:val="00FB2D5D"/>
    <w:rsid w:val="00FB718C"/>
    <w:rsid w:val="00FB7842"/>
    <w:rsid w:val="00FC0372"/>
    <w:rsid w:val="00FE4F40"/>
    <w:rsid w:val="00FE785E"/>
    <w:rsid w:val="00FF0F8E"/>
    <w:rsid w:val="00FF6356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EDE78"/>
  <w15:docId w15:val="{76A2A72C-9611-42C5-837B-23E4A71F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E26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26AF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1E26AF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E26AF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1E26AF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1E26AF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E26AF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E26AF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E26AF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E26AF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1E26AF"/>
    <w:pPr>
      <w:ind w:left="283" w:hanging="283"/>
    </w:pPr>
  </w:style>
  <w:style w:type="paragraph" w:styleId="List2">
    <w:name w:val="List 2"/>
    <w:basedOn w:val="Normal"/>
    <w:semiHidden/>
    <w:rsid w:val="001E26AF"/>
    <w:pPr>
      <w:ind w:left="566" w:hanging="283"/>
    </w:pPr>
  </w:style>
  <w:style w:type="paragraph" w:styleId="BodyText2">
    <w:name w:val="Body Text 2"/>
    <w:basedOn w:val="Normal"/>
    <w:semiHidden/>
    <w:rsid w:val="001E26AF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1E26AF"/>
    <w:pPr>
      <w:ind w:left="2040"/>
    </w:pPr>
  </w:style>
  <w:style w:type="paragraph" w:styleId="BodyText3">
    <w:name w:val="Body Text 3"/>
    <w:basedOn w:val="Normal"/>
    <w:semiHidden/>
    <w:rsid w:val="001E26AF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1E26AF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1E26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E26AF"/>
  </w:style>
  <w:style w:type="paragraph" w:customStyle="1" w:styleId="xl24">
    <w:name w:val="xl2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1E26AF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1E26AF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1E26A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1E26AF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1E26AF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1E26AF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1E26AF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uiPriority w:val="99"/>
    <w:rsid w:val="001E26AF"/>
    <w:rPr>
      <w:vertAlign w:val="superscript"/>
    </w:rPr>
  </w:style>
  <w:style w:type="paragraph" w:styleId="FootnoteText">
    <w:name w:val="footnote text"/>
    <w:basedOn w:val="Normal"/>
    <w:semiHidden/>
    <w:rsid w:val="001E26AF"/>
    <w:rPr>
      <w:sz w:val="20"/>
      <w:szCs w:val="20"/>
    </w:rPr>
  </w:style>
  <w:style w:type="paragraph" w:styleId="BlockText">
    <w:name w:val="Block Text"/>
    <w:basedOn w:val="Normal"/>
    <w:semiHidden/>
    <w:rsid w:val="001E26AF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1E26AF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1E26AF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1E26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26AF"/>
    <w:rPr>
      <w:color w:val="800080"/>
      <w:u w:val="single"/>
    </w:rPr>
  </w:style>
  <w:style w:type="paragraph" w:styleId="CommentText">
    <w:name w:val="annotation text"/>
    <w:basedOn w:val="Normal"/>
    <w:semiHidden/>
    <w:rsid w:val="001E26AF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1E26AF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1E2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E26AF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LightShading-Accent6">
    <w:name w:val="Light Shading Accent 6"/>
    <w:basedOn w:val="TableNormal"/>
    <w:uiPriority w:val="60"/>
    <w:rsid w:val="0032568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3256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59"/>
    <w:rsid w:val="00A5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5F1EBE"/>
    <w:rPr>
      <w:rFonts w:cs="Simplified Arabic"/>
      <w:snapToGrid w:val="0"/>
    </w:rPr>
  </w:style>
  <w:style w:type="paragraph" w:styleId="NoSpacing">
    <w:name w:val="No Spacing"/>
    <w:uiPriority w:val="1"/>
    <w:qFormat/>
    <w:rsid w:val="00690D64"/>
    <w:pPr>
      <w:bidi/>
    </w:pPr>
    <w:rPr>
      <w:sz w:val="24"/>
      <w:szCs w:val="24"/>
      <w:lang w:eastAsia="ar-SA"/>
    </w:rPr>
  </w:style>
  <w:style w:type="character" w:customStyle="1" w:styleId="1H">
    <w:name w:val="1H"/>
    <w:rsid w:val="00A13E1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168243953732904E-2"/>
          <c:y val="5.2184915564799685E-2"/>
          <c:w val="0.81834918900121689"/>
          <c:h val="0.73985017497813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5.8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43-4B07-A215-FA524BC0784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43-4B07-A215-FA524BC0784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فلسطين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43-4B07-A215-FA524BC078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7032192"/>
        <c:axId val="87034112"/>
      </c:barChart>
      <c:catAx>
        <c:axId val="87032192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141210660970232"/>
              <c:y val="0.8791521814490169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7034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7034112"/>
        <c:scaling>
          <c:orientation val="minMax"/>
          <c:max val="7"/>
          <c:min val="1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معدل الخصوبة</a:t>
                </a:r>
              </a:p>
            </c:rich>
          </c:tx>
          <c:layout>
            <c:manualLayout>
              <c:xMode val="edge"/>
              <c:yMode val="edge"/>
              <c:x val="0.9379600420609886"/>
              <c:y val="0.27961669885603935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7032192"/>
        <c:crosses val="autoZero"/>
        <c:crossBetween val="between"/>
        <c:majorUnit val="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3.4048204542255558E-2"/>
          <c:y val="9.4339622641509469E-2"/>
          <c:w val="0.62485804416403812"/>
          <c:h val="0.1137290150051998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323664813463929E-3"/>
          <c:y val="0.10184652028628589"/>
          <c:w val="0.85920857336922363"/>
          <c:h val="0.71280940360923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2000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D-435E-B7C0-5ACE29F51D5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>
                  <c:v>5.0999999999999996</c:v>
                </c:pt>
                <c:pt idx="1">
                  <c:v>4.9000000000000004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DD-435E-B7C0-5ACE29F51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974272"/>
        <c:axId val="87976192"/>
      </c:barChart>
      <c:catAx>
        <c:axId val="87974272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2403360921737832"/>
              <c:y val="0.9132775119617221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7976192"/>
        <c:crosses val="autoZero"/>
        <c:auto val="1"/>
        <c:lblAlgn val="ctr"/>
        <c:lblOffset val="100"/>
        <c:noMultiLvlLbl val="0"/>
      </c:catAx>
      <c:valAx>
        <c:axId val="87976192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فرد</a:t>
                </a:r>
                <a:endParaRPr lang="en-US" sz="1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3173035479191291"/>
              <c:y val="0.4219445697041175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7974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080684358899591"/>
          <c:y val="1.7016588341477241E-2"/>
          <c:w val="0.60751679944808923"/>
          <c:h val="9.5060121094971445E-2"/>
        </c:manualLayout>
      </c:layout>
      <c:overlay val="0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7078-99C4-4C77-A084-C2AEA15D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Hadeel Badran</cp:lastModifiedBy>
  <cp:revision>4</cp:revision>
  <cp:lastPrinted>2020-12-30T12:19:00Z</cp:lastPrinted>
  <dcterms:created xsi:type="dcterms:W3CDTF">2020-12-30T11:11:00Z</dcterms:created>
  <dcterms:modified xsi:type="dcterms:W3CDTF">2020-12-30T12:20:00Z</dcterms:modified>
</cp:coreProperties>
</file>