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07" w:rsidRDefault="00147207" w:rsidP="00147207">
      <w:pPr>
        <w:pStyle w:val="Heading3"/>
        <w:rPr>
          <w:rFonts w:ascii="Simplified Arabic" w:hAnsi="Simplified Arabic"/>
          <w:sz w:val="32"/>
          <w:szCs w:val="32"/>
          <w:rtl/>
        </w:rPr>
      </w:pPr>
    </w:p>
    <w:p w:rsidR="00147207" w:rsidRDefault="00147207" w:rsidP="00147207">
      <w:pPr>
        <w:pStyle w:val="Heading3"/>
        <w:rPr>
          <w:rFonts w:ascii="Simplified Arabic" w:hAnsi="Simplified Arabic"/>
          <w:sz w:val="32"/>
          <w:szCs w:val="32"/>
          <w:rtl/>
        </w:rPr>
      </w:pPr>
      <w:r w:rsidRPr="00147207">
        <w:rPr>
          <w:rFonts w:ascii="Simplified Arabic" w:hAnsi="Simplified Arabic" w:hint="cs"/>
          <w:sz w:val="32"/>
          <w:szCs w:val="32"/>
          <w:rtl/>
        </w:rPr>
        <w:t>الإحصاء</w:t>
      </w:r>
      <w:r w:rsidRPr="00147207">
        <w:rPr>
          <w:rFonts w:ascii="Simplified Arabic" w:hAnsi="Simplified Arabic"/>
          <w:sz w:val="32"/>
          <w:szCs w:val="32"/>
          <w:rtl/>
        </w:rPr>
        <w:t xml:space="preserve"> الفلسطيني يعلن التقديرات </w:t>
      </w:r>
      <w:bookmarkStart w:id="0" w:name="OLE_LINK1"/>
      <w:r w:rsidRPr="00147207">
        <w:rPr>
          <w:rFonts w:ascii="Simplified Arabic" w:hAnsi="Simplified Arabic"/>
          <w:sz w:val="32"/>
          <w:szCs w:val="32"/>
          <w:rtl/>
        </w:rPr>
        <w:t>الأولية</w:t>
      </w:r>
      <w:r w:rsidRPr="00147207">
        <w:rPr>
          <w:rStyle w:val="FootnoteReference"/>
          <w:rFonts w:ascii="Simplified Arabic" w:hAnsi="Simplified Arabic"/>
          <w:sz w:val="32"/>
          <w:szCs w:val="32"/>
          <w:rtl/>
        </w:rPr>
        <w:footnoteReference w:id="1"/>
      </w:r>
      <w:r w:rsidRPr="00147207">
        <w:rPr>
          <w:rFonts w:ascii="Simplified Arabic" w:hAnsi="Simplified Arabic"/>
          <w:sz w:val="32"/>
          <w:szCs w:val="32"/>
          <w:vertAlign w:val="superscript"/>
          <w:rtl/>
        </w:rPr>
        <w:t xml:space="preserve"> </w:t>
      </w:r>
      <w:r w:rsidRPr="00147207">
        <w:rPr>
          <w:rFonts w:ascii="Simplified Arabic" w:hAnsi="Simplified Arabic"/>
          <w:sz w:val="32"/>
          <w:szCs w:val="32"/>
          <w:rtl/>
        </w:rPr>
        <w:t xml:space="preserve"> للحسابات القومية الربعية </w:t>
      </w:r>
      <w:bookmarkEnd w:id="0"/>
    </w:p>
    <w:p w:rsidR="00147207" w:rsidRPr="00147207" w:rsidRDefault="00147207" w:rsidP="0097665D">
      <w:pPr>
        <w:pStyle w:val="Heading3"/>
        <w:rPr>
          <w:rFonts w:ascii="Simplified Arabic" w:hAnsi="Simplified Arabic"/>
          <w:sz w:val="32"/>
          <w:szCs w:val="32"/>
          <w:rtl/>
        </w:rPr>
      </w:pPr>
      <w:r w:rsidRPr="00147207">
        <w:rPr>
          <w:rFonts w:ascii="Simplified Arabic" w:hAnsi="Simplified Arabic" w:hint="cs"/>
          <w:sz w:val="32"/>
          <w:szCs w:val="32"/>
          <w:rtl/>
        </w:rPr>
        <w:t>للربع</w:t>
      </w:r>
      <w:r w:rsidRPr="00147207">
        <w:rPr>
          <w:rFonts w:ascii="Simplified Arabic" w:hAnsi="Simplified Arabic"/>
          <w:sz w:val="32"/>
          <w:szCs w:val="32"/>
          <w:rtl/>
        </w:rPr>
        <w:t xml:space="preserve"> الرابع </w:t>
      </w:r>
      <w:r w:rsidR="0097665D">
        <w:rPr>
          <w:rFonts w:ascii="Simplified Arabic" w:hAnsi="Simplified Arabic" w:hint="cs"/>
          <w:sz w:val="32"/>
          <w:szCs w:val="32"/>
          <w:rtl/>
        </w:rPr>
        <w:t>2020</w:t>
      </w:r>
      <w:bookmarkStart w:id="1" w:name="_GoBack"/>
      <w:bookmarkEnd w:id="1"/>
    </w:p>
    <w:p w:rsidR="00147207" w:rsidRDefault="00147207" w:rsidP="0027331D">
      <w:pPr>
        <w:pStyle w:val="Heading3"/>
        <w:rPr>
          <w:sz w:val="28"/>
          <w:szCs w:val="28"/>
          <w:rtl/>
        </w:rPr>
      </w:pPr>
    </w:p>
    <w:p w:rsidR="0027331D" w:rsidRPr="009D002A" w:rsidRDefault="0027331D" w:rsidP="0027331D">
      <w:pPr>
        <w:spacing w:line="120" w:lineRule="auto"/>
        <w:rPr>
          <w:rtl/>
          <w:lang w:eastAsia="en-US"/>
        </w:rPr>
      </w:pPr>
    </w:p>
    <w:p w:rsidR="0027331D" w:rsidRPr="00147207" w:rsidRDefault="0027331D" w:rsidP="0027331D">
      <w:pPr>
        <w:jc w:val="both"/>
        <w:rPr>
          <w:rFonts w:ascii="Simplified Arabic" w:hAnsi="Simplified Arabic" w:cs="Simplified Arabic"/>
          <w:b/>
          <w:bCs/>
          <w:sz w:val="28"/>
          <w:szCs w:val="28"/>
          <w:rtl/>
        </w:rPr>
      </w:pPr>
      <w:r w:rsidRPr="00147207">
        <w:rPr>
          <w:rFonts w:ascii="Simplified Arabic" w:hAnsi="Simplified Arabic" w:cs="Simplified Arabic"/>
          <w:b/>
          <w:bCs/>
          <w:sz w:val="28"/>
          <w:szCs w:val="28"/>
          <w:rtl/>
        </w:rPr>
        <w:t xml:space="preserve">بالرغم من الارتفاع الطفيف في الناتج المحلي الإجمالي خلال الربع الرابع من عام 2020 بنسبة 1% مقارنة مع الربع السابق، إلا أن الاقتصاد الفلسطيني سجل تراجعاً حاداً نسبته </w:t>
      </w:r>
      <w:r w:rsidRPr="00147207">
        <w:rPr>
          <w:rFonts w:ascii="Simplified Arabic" w:hAnsi="Simplified Arabic" w:cs="Simplified Arabic"/>
          <w:b/>
          <w:bCs/>
          <w:sz w:val="28"/>
          <w:szCs w:val="28"/>
        </w:rPr>
        <w:t>11.5</w:t>
      </w:r>
      <w:r w:rsidRPr="00147207">
        <w:rPr>
          <w:rFonts w:ascii="Simplified Arabic" w:hAnsi="Simplified Arabic" w:cs="Simplified Arabic"/>
          <w:b/>
          <w:bCs/>
          <w:sz w:val="28"/>
          <w:szCs w:val="28"/>
          <w:rtl/>
        </w:rPr>
        <w:t xml:space="preserve">% خلال العام </w:t>
      </w:r>
      <w:r w:rsidRPr="00147207">
        <w:rPr>
          <w:rFonts w:ascii="Simplified Arabic" w:hAnsi="Simplified Arabic" w:cs="Simplified Arabic"/>
          <w:b/>
          <w:bCs/>
          <w:sz w:val="28"/>
          <w:szCs w:val="28"/>
        </w:rPr>
        <w:t>2020</w:t>
      </w:r>
      <w:r w:rsidRPr="00147207">
        <w:rPr>
          <w:rFonts w:ascii="Simplified Arabic" w:hAnsi="Simplified Arabic" w:cs="Simplified Arabic"/>
          <w:b/>
          <w:bCs/>
          <w:sz w:val="28"/>
          <w:szCs w:val="28"/>
          <w:rtl/>
        </w:rPr>
        <w:t xml:space="preserve"> مقارنة بالعام السابق نتيجة التأثر بجائحة </w:t>
      </w:r>
      <w:r w:rsidRPr="00147207">
        <w:rPr>
          <w:rFonts w:ascii="Simplified Arabic" w:hAnsi="Simplified Arabic" w:cs="Simplified Arabic"/>
          <w:b/>
          <w:bCs/>
          <w:sz w:val="28"/>
          <w:szCs w:val="28"/>
        </w:rPr>
        <w:t xml:space="preserve"> </w:t>
      </w:r>
      <w:r w:rsidRPr="00147207">
        <w:rPr>
          <w:rFonts w:ascii="Simplified Arabic" w:hAnsi="Simplified Arabic" w:cs="Simplified Arabic"/>
          <w:b/>
          <w:bCs/>
          <w:sz w:val="28"/>
          <w:szCs w:val="28"/>
          <w:rtl/>
        </w:rPr>
        <w:t xml:space="preserve"> </w:t>
      </w:r>
      <w:r w:rsidRPr="00147207">
        <w:rPr>
          <w:rFonts w:ascii="Simplified Arabic" w:hAnsi="Simplified Arabic" w:cs="Simplified Arabic"/>
          <w:b/>
          <w:bCs/>
          <w:sz w:val="28"/>
          <w:szCs w:val="28"/>
        </w:rPr>
        <w:t>Covid-19</w:t>
      </w:r>
      <w:r w:rsidRPr="00147207">
        <w:rPr>
          <w:rFonts w:ascii="Simplified Arabic" w:hAnsi="Simplified Arabic" w:cs="Simplified Arabic"/>
          <w:b/>
          <w:bCs/>
          <w:sz w:val="28"/>
          <w:szCs w:val="28"/>
          <w:rtl/>
        </w:rPr>
        <w:t xml:space="preserve"> وتداعياتها. </w:t>
      </w:r>
    </w:p>
    <w:p w:rsidR="0027331D" w:rsidRPr="00147207" w:rsidRDefault="0027331D" w:rsidP="0027331D">
      <w:pPr>
        <w:jc w:val="both"/>
        <w:rPr>
          <w:rFonts w:ascii="Simplified Arabic" w:hAnsi="Simplified Arabic" w:cs="Simplified Arabic"/>
          <w:b/>
          <w:bCs/>
          <w:sz w:val="26"/>
          <w:szCs w:val="26"/>
          <w:rtl/>
        </w:rPr>
      </w:pPr>
    </w:p>
    <w:p w:rsidR="0027331D" w:rsidRPr="00147207" w:rsidRDefault="0027331D" w:rsidP="0027331D">
      <w:pPr>
        <w:pStyle w:val="BodyText"/>
        <w:jc w:val="both"/>
        <w:rPr>
          <w:rFonts w:ascii="Simplified Arabic" w:hAnsi="Simplified Arabic"/>
          <w:sz w:val="26"/>
          <w:szCs w:val="26"/>
          <w:rtl/>
        </w:rPr>
      </w:pPr>
      <w:r w:rsidRPr="00147207">
        <w:rPr>
          <w:rFonts w:ascii="Simplified Arabic" w:hAnsi="Simplified Arabic"/>
          <w:sz w:val="26"/>
          <w:szCs w:val="26"/>
          <w:rtl/>
        </w:rPr>
        <w:t xml:space="preserve">تشير التقديرات الأولية بالأسعار الثابتة إلى ارتفاع الناتج المحلي الإجمالي لفلسطين بنسبة 1% خلال الربع الرابع من عام 2020 مقارنة مع الربع الثالث 2020 بالأسعار الثابتة، حيث بلغت أعلى نسبة ارتفاع لنشاط الإدارة العامة والدفاع بواقع 15%، تلاها نشاط الانشاءات بنسبة 8%، ثم المعلومات والاتصالات بنسبة 4%، الزراعة والحراجة وصيد الأسماك بنسبة 2%، ثم التعدين، الصناعة التحويلية والمياه والكهرباء بنسبة 1%، وبالرغم من هذا الارتفاع شهد العام 2020 تراجعا حادا في الناتج المحلي الإجمالي بنسبة </w:t>
      </w:r>
      <w:r w:rsidRPr="00147207">
        <w:rPr>
          <w:rFonts w:ascii="Simplified Arabic" w:hAnsi="Simplified Arabic"/>
          <w:sz w:val="26"/>
          <w:szCs w:val="26"/>
        </w:rPr>
        <w:t>11.5</w:t>
      </w:r>
      <w:r w:rsidRPr="00147207">
        <w:rPr>
          <w:rFonts w:ascii="Simplified Arabic" w:hAnsi="Simplified Arabic"/>
          <w:sz w:val="26"/>
          <w:szCs w:val="26"/>
          <w:rtl/>
        </w:rPr>
        <w:t xml:space="preserve">% مقارنة بالعام 2019 نتيجة التأثر بجائحة </w:t>
      </w:r>
      <w:r w:rsidRPr="00147207">
        <w:rPr>
          <w:rFonts w:ascii="Simplified Arabic" w:hAnsi="Simplified Arabic"/>
          <w:sz w:val="26"/>
          <w:szCs w:val="26"/>
        </w:rPr>
        <w:t>Covid-19</w:t>
      </w:r>
      <w:r w:rsidRPr="00147207">
        <w:rPr>
          <w:rFonts w:ascii="Simplified Arabic" w:hAnsi="Simplified Arabic"/>
          <w:sz w:val="26"/>
          <w:szCs w:val="26"/>
          <w:rtl/>
        </w:rPr>
        <w:t>.</w:t>
      </w:r>
    </w:p>
    <w:p w:rsidR="0027331D" w:rsidRPr="00147207" w:rsidRDefault="0027331D" w:rsidP="0027331D">
      <w:pPr>
        <w:pStyle w:val="BodyText"/>
        <w:spacing w:line="72" w:lineRule="auto"/>
        <w:jc w:val="both"/>
        <w:rPr>
          <w:rFonts w:ascii="Simplified Arabic" w:hAnsi="Simplified Arabic"/>
          <w:sz w:val="26"/>
          <w:szCs w:val="26"/>
          <w:rtl/>
        </w:rPr>
      </w:pPr>
    </w:p>
    <w:p w:rsidR="0027331D" w:rsidRPr="00147207" w:rsidRDefault="0027331D" w:rsidP="0027331D">
      <w:pPr>
        <w:pStyle w:val="BodyText"/>
        <w:jc w:val="both"/>
        <w:rPr>
          <w:rFonts w:ascii="Simplified Arabic" w:hAnsi="Simplified Arabic"/>
          <w:sz w:val="26"/>
          <w:szCs w:val="26"/>
          <w:rtl/>
        </w:rPr>
      </w:pPr>
      <w:r w:rsidRPr="00147207">
        <w:rPr>
          <w:rFonts w:ascii="Simplified Arabic" w:hAnsi="Simplified Arabic"/>
          <w:sz w:val="26"/>
          <w:szCs w:val="26"/>
          <w:rtl/>
        </w:rPr>
        <w:t xml:space="preserve">في المقابل ظهر انخفاضاً في الناتج المحلي الاجمالي خلال الربع الرابع من عام 2020 بنسبة 12% بالمقارنة مع الربع المناظر 2019 والتي تستثني أثر الموسمية، علماً أن سنة الأساس 2015.  حيث بلغت قيمة الناتج المحلي الإجمالي خلال الربع الرابع من العام 2020 بالأسعار الثابتة في الضفة الغربية 2,924 مليون دولار أمريكي، وفي قطاع غزة 616 مليون دولار أمريكي. </w:t>
      </w:r>
    </w:p>
    <w:p w:rsidR="0027331D" w:rsidRPr="00147207" w:rsidRDefault="0027331D" w:rsidP="0027331D">
      <w:pPr>
        <w:pStyle w:val="BodyText"/>
        <w:spacing w:line="192" w:lineRule="auto"/>
        <w:jc w:val="both"/>
        <w:rPr>
          <w:rFonts w:ascii="Simplified Arabic" w:hAnsi="Simplified Arabic"/>
          <w:sz w:val="26"/>
          <w:szCs w:val="26"/>
          <w:rtl/>
        </w:rPr>
      </w:pPr>
    </w:p>
    <w:p w:rsidR="0027331D" w:rsidRDefault="0027331D" w:rsidP="0027331D">
      <w:pPr>
        <w:pStyle w:val="BodyText"/>
        <w:jc w:val="both"/>
        <w:rPr>
          <w:rFonts w:ascii="Simplified Arabic" w:hAnsi="Simplified Arabic"/>
          <w:sz w:val="26"/>
          <w:szCs w:val="26"/>
          <w:rtl/>
        </w:rPr>
      </w:pPr>
      <w:r w:rsidRPr="00147207">
        <w:rPr>
          <w:rFonts w:ascii="Simplified Arabic" w:hAnsi="Simplified Arabic"/>
          <w:sz w:val="26"/>
          <w:szCs w:val="26"/>
          <w:rtl/>
        </w:rPr>
        <w:t>تجدر الاشارة الى أنه تم خلال الربع الأول 2020 اعلان حالة الطوارئ في الضفة الغربية اعتباراً من 05/03/2020، والتي بدأت في محافظة بيت لحم التي سجلت اولى حالات الاصابة بفيروس كوفيد 19، تبعها اعلان الحكومة تقييد حركة التنقل بين المحافظات والمدن بتاريخ 22/03/2020، ليشهد الربع الثاني 2020 ارتفاع في حدة الإغلاقات الشاملة وتوقف شبه كامل للنشاط الاقتصادي، وخلال الربعين الثالث والرابع من عام 2020 بدأت العودة التدريجية للنشاط الاقتصادي ضمن اجراءات الحكومة الفلسطينية لمواجهة جائحة كورونا.</w:t>
      </w:r>
    </w:p>
    <w:p w:rsidR="00147207" w:rsidRPr="00147207" w:rsidRDefault="00147207" w:rsidP="0027331D">
      <w:pPr>
        <w:pStyle w:val="BodyText"/>
        <w:jc w:val="both"/>
        <w:rPr>
          <w:rFonts w:ascii="Simplified Arabic" w:hAnsi="Simplified Arabic"/>
          <w:sz w:val="26"/>
          <w:szCs w:val="26"/>
          <w:rtl/>
        </w:rPr>
      </w:pPr>
    </w:p>
    <w:p w:rsidR="0027331D" w:rsidRPr="00147207" w:rsidRDefault="0027331D" w:rsidP="0027331D">
      <w:pPr>
        <w:pStyle w:val="BodyText"/>
        <w:jc w:val="both"/>
        <w:rPr>
          <w:rFonts w:ascii="Simplified Arabic" w:hAnsi="Simplified Arabic"/>
          <w:b/>
          <w:bCs/>
          <w:sz w:val="26"/>
          <w:szCs w:val="26"/>
          <w:rtl/>
        </w:rPr>
      </w:pPr>
      <w:r w:rsidRPr="00147207">
        <w:rPr>
          <w:rFonts w:ascii="Simplified Arabic" w:hAnsi="Simplified Arabic"/>
          <w:b/>
          <w:bCs/>
          <w:sz w:val="26"/>
          <w:szCs w:val="26"/>
          <w:rtl/>
        </w:rPr>
        <w:t>ارتفاع طفيف في نصيب الفرد من الناتج المحلي الإجمالي خلال الربع الرابع 2020 مقارنة بالربع السابق</w:t>
      </w:r>
    </w:p>
    <w:p w:rsidR="0027331D" w:rsidRDefault="0027331D" w:rsidP="0027331D">
      <w:pPr>
        <w:pStyle w:val="BodyText"/>
        <w:jc w:val="both"/>
        <w:rPr>
          <w:rFonts w:ascii="Simplified Arabic" w:hAnsi="Simplified Arabic"/>
          <w:sz w:val="26"/>
          <w:szCs w:val="26"/>
          <w:rtl/>
        </w:rPr>
      </w:pPr>
      <w:r w:rsidRPr="00147207">
        <w:rPr>
          <w:rFonts w:ascii="Simplified Arabic" w:hAnsi="Simplified Arabic"/>
          <w:sz w:val="26"/>
          <w:szCs w:val="26"/>
          <w:rtl/>
        </w:rPr>
        <w:t xml:space="preserve">بلغ نصيب الفرد من الناتج المحلي الإجمالي في فلسطين بالأسعار الثابتة 729 دولار أمريكي خلال الربع الرابع من العام 2020 مسجلاً ارتفاعاً بنسبة 0.3% بالمقارنة مع الربع الثالث 2020، حيث بلغ نصيب الفرد من الناتج المحلي الإجمالي في الضفة الغربية بالأسعار الثابتة </w:t>
      </w:r>
      <w:r w:rsidRPr="00147207">
        <w:rPr>
          <w:rFonts w:ascii="Simplified Arabic" w:hAnsi="Simplified Arabic"/>
          <w:sz w:val="26"/>
          <w:szCs w:val="26"/>
        </w:rPr>
        <w:t>1,049</w:t>
      </w:r>
      <w:r w:rsidRPr="00147207">
        <w:rPr>
          <w:rFonts w:ascii="Simplified Arabic" w:hAnsi="Simplified Arabic"/>
          <w:sz w:val="26"/>
          <w:szCs w:val="26"/>
          <w:rtl/>
        </w:rPr>
        <w:t xml:space="preserve"> دولار أمريكي خلال الربع ال</w:t>
      </w:r>
      <w:r w:rsidRPr="00147207">
        <w:rPr>
          <w:rFonts w:ascii="Simplified Arabic" w:hAnsi="Simplified Arabic"/>
          <w:sz w:val="26"/>
          <w:szCs w:val="26"/>
          <w:rtl/>
          <w:lang w:bidi="ar-JO"/>
        </w:rPr>
        <w:t>رابع</w:t>
      </w:r>
      <w:r w:rsidRPr="00147207">
        <w:rPr>
          <w:rFonts w:ascii="Simplified Arabic" w:hAnsi="Simplified Arabic"/>
          <w:sz w:val="26"/>
          <w:szCs w:val="26"/>
          <w:rtl/>
        </w:rPr>
        <w:t xml:space="preserve"> من عام 2020، بنسبة ارتفاع بلغت 0.2% مقارنة مع الربع الثالث 2020، أما في قطاع غزة فقد بلغ نصيب الفرد من </w:t>
      </w:r>
      <w:r w:rsidRPr="00147207">
        <w:rPr>
          <w:rFonts w:ascii="Simplified Arabic" w:hAnsi="Simplified Arabic"/>
          <w:sz w:val="26"/>
          <w:szCs w:val="26"/>
          <w:rtl/>
        </w:rPr>
        <w:lastRenderedPageBreak/>
        <w:t>الناتج المحلي الإجمالي 298 دولار أمريكي خلال الربع الرابع من عام 2020، مسجلاً ارتفاعاً بنسبة 1% مقارنة مع الربع الثالث 2020.</w:t>
      </w:r>
    </w:p>
    <w:p w:rsidR="00147207" w:rsidRPr="00147207" w:rsidRDefault="00147207" w:rsidP="0027331D">
      <w:pPr>
        <w:pStyle w:val="BodyText"/>
        <w:jc w:val="both"/>
        <w:rPr>
          <w:rFonts w:ascii="Simplified Arabic" w:hAnsi="Simplified Arabic"/>
          <w:sz w:val="26"/>
          <w:szCs w:val="26"/>
        </w:rPr>
      </w:pPr>
    </w:p>
    <w:p w:rsidR="0027331D" w:rsidRPr="00147207" w:rsidRDefault="0027331D" w:rsidP="0027331D">
      <w:pPr>
        <w:pStyle w:val="BodyText"/>
        <w:jc w:val="center"/>
        <w:rPr>
          <w:b/>
          <w:bCs/>
          <w:sz w:val="26"/>
          <w:szCs w:val="26"/>
          <w:rtl/>
        </w:rPr>
      </w:pPr>
      <w:r w:rsidRPr="00147207">
        <w:rPr>
          <w:rFonts w:hint="cs"/>
          <w:b/>
          <w:bCs/>
          <w:sz w:val="26"/>
          <w:szCs w:val="26"/>
          <w:rtl/>
        </w:rPr>
        <w:t>الاتجاه العام للناتج المحلي الإجمالي حسب الربع في فلسطين بالأسعار الثابتة، 2016-2020</w:t>
      </w:r>
    </w:p>
    <w:tbl>
      <w:tblPr>
        <w:tblStyle w:val="TableGrid"/>
        <w:bidiVisual/>
        <w:tblW w:w="0" w:type="auto"/>
        <w:tblLook w:val="04A0" w:firstRow="1" w:lastRow="0" w:firstColumn="1" w:lastColumn="0" w:noHBand="0" w:noVBand="1"/>
      </w:tblPr>
      <w:tblGrid>
        <w:gridCol w:w="9046"/>
      </w:tblGrid>
      <w:tr w:rsidR="0027331D" w:rsidRPr="009D002A" w:rsidTr="000144D8">
        <w:trPr>
          <w:trHeight w:val="3731"/>
        </w:trPr>
        <w:tc>
          <w:tcPr>
            <w:tcW w:w="9046" w:type="dxa"/>
          </w:tcPr>
          <w:p w:rsidR="0027331D" w:rsidRPr="009D002A" w:rsidRDefault="0027331D" w:rsidP="000144D8">
            <w:pPr>
              <w:pStyle w:val="BodyText"/>
              <w:jc w:val="center"/>
              <w:rPr>
                <w:b/>
                <w:bCs/>
                <w:sz w:val="22"/>
                <w:szCs w:val="22"/>
                <w:rtl/>
              </w:rPr>
            </w:pPr>
            <w:r w:rsidRPr="009D002A">
              <w:rPr>
                <w:rFonts w:hint="cs"/>
                <w:b/>
                <w:bCs/>
                <w:noProof/>
                <w:sz w:val="22"/>
                <w:szCs w:val="22"/>
                <w:rtl/>
              </w:rPr>
              <w:drawing>
                <wp:inline distT="0" distB="0" distL="0" distR="0" wp14:anchorId="05EBB435" wp14:editId="3E6D1578">
                  <wp:extent cx="5482590" cy="2133600"/>
                  <wp:effectExtent l="0" t="0" r="381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757678" w:rsidRDefault="00757678" w:rsidP="0027331D">
      <w:pPr>
        <w:pStyle w:val="Heading3"/>
        <w:jc w:val="left"/>
        <w:rPr>
          <w:sz w:val="22"/>
          <w:szCs w:val="22"/>
          <w:rtl/>
        </w:rPr>
      </w:pPr>
    </w:p>
    <w:sectPr w:rsidR="00757678" w:rsidSect="0027331D">
      <w:headerReference w:type="default" r:id="rId9"/>
      <w:footerReference w:type="default" r:id="rId10"/>
      <w:pgSz w:w="11907" w:h="16840" w:code="9"/>
      <w:pgMar w:top="180" w:right="1418" w:bottom="709" w:left="1418" w:header="709" w:footer="148" w:gutter="0"/>
      <w:pgNumType w:start="7"/>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605" w:rsidRDefault="002D6605" w:rsidP="003C7BB9">
      <w:r>
        <w:separator/>
      </w:r>
    </w:p>
  </w:endnote>
  <w:endnote w:type="continuationSeparator" w:id="0">
    <w:p w:rsidR="002D6605" w:rsidRDefault="002D6605" w:rsidP="003C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605" w:rsidRDefault="002D6605" w:rsidP="003C7BB9">
      <w:r>
        <w:separator/>
      </w:r>
    </w:p>
  </w:footnote>
  <w:footnote w:type="continuationSeparator" w:id="0">
    <w:p w:rsidR="002D6605" w:rsidRDefault="002D6605" w:rsidP="003C7BB9">
      <w:r>
        <w:continuationSeparator/>
      </w:r>
    </w:p>
  </w:footnote>
  <w:footnote w:id="1">
    <w:p w:rsidR="00147207" w:rsidRPr="009D6FC5" w:rsidRDefault="00147207" w:rsidP="00147207">
      <w:pPr>
        <w:pStyle w:val="FootnoteText"/>
        <w:bidi/>
        <w:rPr>
          <w:rtl/>
          <w:lang w:val="en-US" w:bidi="ar-SA"/>
        </w:rPr>
      </w:pPr>
      <w:r>
        <w:rPr>
          <w:lang w:val="en-US"/>
        </w:rPr>
        <w:t xml:space="preserve"> </w:t>
      </w:r>
      <w:r>
        <w:rPr>
          <w:rStyle w:val="FootnoteReference"/>
        </w:rPr>
        <w:footnoteRef/>
      </w:r>
      <w:r>
        <w:t xml:space="preserve"> </w:t>
      </w:r>
      <w:r w:rsidRPr="00064BE0">
        <w:rPr>
          <w:rFonts w:hint="cs"/>
          <w:rtl/>
          <w:lang w:val="en-US"/>
        </w:rPr>
        <w:t xml:space="preserve">البيانات لا تشمل </w:t>
      </w:r>
      <w:r w:rsidRPr="00064BE0">
        <w:rPr>
          <w:rtl/>
        </w:rPr>
        <w:t>ذلك الجزء من محافظة القدس والذي ضم</w:t>
      </w:r>
      <w:r w:rsidRPr="00064BE0">
        <w:rPr>
          <w:rFonts w:hint="cs"/>
          <w:rtl/>
        </w:rPr>
        <w:t>ه</w:t>
      </w:r>
      <w:r w:rsidRPr="00064BE0">
        <w:rPr>
          <w:rtl/>
        </w:rPr>
        <w:t xml:space="preserve"> </w:t>
      </w:r>
      <w:r w:rsidRPr="00064BE0">
        <w:rPr>
          <w:rFonts w:hint="cs"/>
          <w:rtl/>
        </w:rPr>
        <w:t>الاحتلال الإسرائيلي</w:t>
      </w:r>
      <w:r w:rsidRPr="00064BE0">
        <w:rPr>
          <w:rtl/>
        </w:rPr>
        <w:t xml:space="preserve"> </w:t>
      </w:r>
      <w:r w:rsidRPr="00064BE0">
        <w:rPr>
          <w:rFonts w:hint="cs"/>
          <w:rtl/>
        </w:rPr>
        <w:t xml:space="preserve">إليه </w:t>
      </w:r>
      <w:r w:rsidRPr="00064BE0">
        <w:rPr>
          <w:rtl/>
        </w:rPr>
        <w:t>عنوة بعيد احتلاله للضفة الغربية عام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rsidP="00BB2E3F">
    <w:pPr>
      <w:pStyle w:val="Header"/>
      <w:rPr>
        <w:sz w:val="16"/>
        <w:szCs w:val="16"/>
      </w:rPr>
    </w:pPr>
  </w:p>
  <w:p w:rsidR="002B3F6A" w:rsidRDefault="002B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15:restartNumberingAfterBreak="0">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BB9"/>
    <w:rsid w:val="00000C34"/>
    <w:rsid w:val="00000DCE"/>
    <w:rsid w:val="00003532"/>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37BD1"/>
    <w:rsid w:val="0004192D"/>
    <w:rsid w:val="00041BDB"/>
    <w:rsid w:val="0004453F"/>
    <w:rsid w:val="00044C90"/>
    <w:rsid w:val="000528ED"/>
    <w:rsid w:val="00054675"/>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2739"/>
    <w:rsid w:val="000C4031"/>
    <w:rsid w:val="000C4E9E"/>
    <w:rsid w:val="000D0FD5"/>
    <w:rsid w:val="000D19C0"/>
    <w:rsid w:val="000D2B49"/>
    <w:rsid w:val="000D42E8"/>
    <w:rsid w:val="000D5C0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09A8"/>
    <w:rsid w:val="00131532"/>
    <w:rsid w:val="001338F5"/>
    <w:rsid w:val="001377BD"/>
    <w:rsid w:val="001463C6"/>
    <w:rsid w:val="001466AE"/>
    <w:rsid w:val="00147207"/>
    <w:rsid w:val="00147B53"/>
    <w:rsid w:val="001518FC"/>
    <w:rsid w:val="001522F9"/>
    <w:rsid w:val="0015278B"/>
    <w:rsid w:val="00160512"/>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52B"/>
    <w:rsid w:val="00257BE9"/>
    <w:rsid w:val="00260830"/>
    <w:rsid w:val="00261C63"/>
    <w:rsid w:val="00263052"/>
    <w:rsid w:val="00263E99"/>
    <w:rsid w:val="0026577A"/>
    <w:rsid w:val="00265ADE"/>
    <w:rsid w:val="002665C7"/>
    <w:rsid w:val="00266EE0"/>
    <w:rsid w:val="00267DC1"/>
    <w:rsid w:val="00270D99"/>
    <w:rsid w:val="0027331D"/>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2D2E"/>
    <w:rsid w:val="002A5F3F"/>
    <w:rsid w:val="002A6829"/>
    <w:rsid w:val="002B3F6A"/>
    <w:rsid w:val="002B5510"/>
    <w:rsid w:val="002C0866"/>
    <w:rsid w:val="002C0CC9"/>
    <w:rsid w:val="002C70F4"/>
    <w:rsid w:val="002D064B"/>
    <w:rsid w:val="002D3FDD"/>
    <w:rsid w:val="002D466A"/>
    <w:rsid w:val="002D6605"/>
    <w:rsid w:val="002E0EFC"/>
    <w:rsid w:val="002E4D68"/>
    <w:rsid w:val="002E61B6"/>
    <w:rsid w:val="002F21CE"/>
    <w:rsid w:val="002F57C9"/>
    <w:rsid w:val="002F791C"/>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2FD4"/>
    <w:rsid w:val="0036338C"/>
    <w:rsid w:val="00365434"/>
    <w:rsid w:val="003659DA"/>
    <w:rsid w:val="00371E57"/>
    <w:rsid w:val="003723B7"/>
    <w:rsid w:val="003735FA"/>
    <w:rsid w:val="00374E0B"/>
    <w:rsid w:val="00375D1C"/>
    <w:rsid w:val="003771DA"/>
    <w:rsid w:val="0038010B"/>
    <w:rsid w:val="00380866"/>
    <w:rsid w:val="00380E99"/>
    <w:rsid w:val="00383101"/>
    <w:rsid w:val="00384CEE"/>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5D5"/>
    <w:rsid w:val="003C2A56"/>
    <w:rsid w:val="003C3032"/>
    <w:rsid w:val="003C32D7"/>
    <w:rsid w:val="003C7BB9"/>
    <w:rsid w:val="003D66C0"/>
    <w:rsid w:val="003D6FB4"/>
    <w:rsid w:val="003F29D4"/>
    <w:rsid w:val="003F3889"/>
    <w:rsid w:val="00400E47"/>
    <w:rsid w:val="00401AFC"/>
    <w:rsid w:val="00406415"/>
    <w:rsid w:val="0040685B"/>
    <w:rsid w:val="004106EA"/>
    <w:rsid w:val="0042549B"/>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D84"/>
    <w:rsid w:val="004560EF"/>
    <w:rsid w:val="00457CC4"/>
    <w:rsid w:val="00457F26"/>
    <w:rsid w:val="004601E2"/>
    <w:rsid w:val="00462E86"/>
    <w:rsid w:val="00464395"/>
    <w:rsid w:val="004648CC"/>
    <w:rsid w:val="00465357"/>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E7AD2"/>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4509"/>
    <w:rsid w:val="006851C3"/>
    <w:rsid w:val="00687DD7"/>
    <w:rsid w:val="006935F8"/>
    <w:rsid w:val="006964AB"/>
    <w:rsid w:val="00697A98"/>
    <w:rsid w:val="00697C6A"/>
    <w:rsid w:val="006A21BF"/>
    <w:rsid w:val="006A6B86"/>
    <w:rsid w:val="006A7B1A"/>
    <w:rsid w:val="006B4F8A"/>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678"/>
    <w:rsid w:val="00757D65"/>
    <w:rsid w:val="0076008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977F5"/>
    <w:rsid w:val="007A216A"/>
    <w:rsid w:val="007A743E"/>
    <w:rsid w:val="007B002E"/>
    <w:rsid w:val="007B0229"/>
    <w:rsid w:val="007B0CF6"/>
    <w:rsid w:val="007B4E8E"/>
    <w:rsid w:val="007B5ADD"/>
    <w:rsid w:val="007B5DB6"/>
    <w:rsid w:val="007C074F"/>
    <w:rsid w:val="007C1F6A"/>
    <w:rsid w:val="007C2D23"/>
    <w:rsid w:val="007C32C9"/>
    <w:rsid w:val="007C3C14"/>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25B5C"/>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6F5E"/>
    <w:rsid w:val="00957DEE"/>
    <w:rsid w:val="00957E3E"/>
    <w:rsid w:val="009663C1"/>
    <w:rsid w:val="009708B0"/>
    <w:rsid w:val="00971B3B"/>
    <w:rsid w:val="00973D46"/>
    <w:rsid w:val="0097529A"/>
    <w:rsid w:val="009765BD"/>
    <w:rsid w:val="0097665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37DA"/>
    <w:rsid w:val="009E56F0"/>
    <w:rsid w:val="009E5C77"/>
    <w:rsid w:val="009E5D22"/>
    <w:rsid w:val="009E6BAD"/>
    <w:rsid w:val="009E72FB"/>
    <w:rsid w:val="009E7460"/>
    <w:rsid w:val="009E7AC1"/>
    <w:rsid w:val="009F21CC"/>
    <w:rsid w:val="009F2CED"/>
    <w:rsid w:val="009F40C3"/>
    <w:rsid w:val="009F5308"/>
    <w:rsid w:val="009F7F2A"/>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576C5"/>
    <w:rsid w:val="00A61BD8"/>
    <w:rsid w:val="00A631FE"/>
    <w:rsid w:val="00A64508"/>
    <w:rsid w:val="00A706AE"/>
    <w:rsid w:val="00A733AA"/>
    <w:rsid w:val="00A75E93"/>
    <w:rsid w:val="00A808B6"/>
    <w:rsid w:val="00A81DBA"/>
    <w:rsid w:val="00A83E99"/>
    <w:rsid w:val="00A942EC"/>
    <w:rsid w:val="00A94F55"/>
    <w:rsid w:val="00A9512B"/>
    <w:rsid w:val="00A966AD"/>
    <w:rsid w:val="00A97314"/>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058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64EFF"/>
    <w:rsid w:val="00B663DF"/>
    <w:rsid w:val="00B74319"/>
    <w:rsid w:val="00B753F8"/>
    <w:rsid w:val="00B76485"/>
    <w:rsid w:val="00B77FE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708B"/>
    <w:rsid w:val="00C40119"/>
    <w:rsid w:val="00C403C5"/>
    <w:rsid w:val="00C40518"/>
    <w:rsid w:val="00C4538E"/>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1E2"/>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102B"/>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464E"/>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50DE4"/>
    <w:rsid w:val="00E52F7B"/>
    <w:rsid w:val="00E61522"/>
    <w:rsid w:val="00E6156D"/>
    <w:rsid w:val="00E67B66"/>
    <w:rsid w:val="00E73604"/>
    <w:rsid w:val="00E74D19"/>
    <w:rsid w:val="00E74FB1"/>
    <w:rsid w:val="00E77B63"/>
    <w:rsid w:val="00E80640"/>
    <w:rsid w:val="00E81155"/>
    <w:rsid w:val="00E847AE"/>
    <w:rsid w:val="00E92EB7"/>
    <w:rsid w:val="00E97F79"/>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1969"/>
    <w:rsid w:val="00EF5492"/>
    <w:rsid w:val="00EF5C36"/>
    <w:rsid w:val="00EF5F3B"/>
    <w:rsid w:val="00EF6788"/>
    <w:rsid w:val="00F00244"/>
    <w:rsid w:val="00F014F8"/>
    <w:rsid w:val="00F01558"/>
    <w:rsid w:val="00F01CE3"/>
    <w:rsid w:val="00F01E8C"/>
    <w:rsid w:val="00F02C82"/>
    <w:rsid w:val="00F063DF"/>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C1507"/>
    <w:rsid w:val="00FC3536"/>
    <w:rsid w:val="00FC40AD"/>
    <w:rsid w:val="00FC4365"/>
    <w:rsid w:val="00FC4D6B"/>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9DE9E"/>
  <w15:docId w15:val="{BFFAE815-7A65-4BE8-8116-2508361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52054">
      <w:bodyDiv w:val="1"/>
      <w:marLeft w:val="0"/>
      <w:marRight w:val="0"/>
      <w:marTop w:val="0"/>
      <w:marBottom w:val="0"/>
      <w:divBdr>
        <w:top w:val="none" w:sz="0" w:space="0" w:color="auto"/>
        <w:left w:val="none" w:sz="0" w:space="0" w:color="auto"/>
        <w:bottom w:val="none" w:sz="0" w:space="0" w:color="auto"/>
        <w:right w:val="none" w:sz="0" w:space="0" w:color="auto"/>
      </w:divBdr>
    </w:div>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7.0488945114547813E-2"/>
          <c:w val="0.86411075787173586"/>
          <c:h val="0.65874161563147904"/>
        </c:manualLayout>
      </c:layout>
      <c:lineChart>
        <c:grouping val="stacked"/>
        <c:varyColors val="0"/>
        <c:ser>
          <c:idx val="1"/>
          <c:order val="0"/>
          <c:tx>
            <c:strRef>
              <c:f>Sheet1!$C$2</c:f>
              <c:strCache>
                <c:ptCount val="1"/>
                <c:pt idx="0">
                  <c:v>Column3</c:v>
                </c:pt>
              </c:strCache>
            </c:strRef>
          </c:tx>
          <c:dLbls>
            <c:dLbl>
              <c:idx val="0"/>
              <c:layout>
                <c:manualLayout>
                  <c:x val="-2.7797081306462818E-2"/>
                  <c:y val="-8.92193308550186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CB-4441-A9BA-0E5285DEA0B5}"/>
                </c:ext>
              </c:extLst>
            </c:dLbl>
            <c:dLbl>
              <c:idx val="19"/>
              <c:layout>
                <c:manualLayout>
                  <c:x val="-6.9492703266157058E-2"/>
                  <c:y val="-8.8520055325034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CB-4441-A9BA-0E5285DEA0B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Sheet1!$A$3:$B$22</c:f>
              <c:multiLvlStrCache>
                <c:ptCount val="20"/>
                <c:lvl>
                  <c:pt idx="0">
                    <c:v>الربع الرابع</c:v>
                  </c:pt>
                  <c:pt idx="1">
                    <c:v>الربع الثالث</c:v>
                  </c:pt>
                  <c:pt idx="2">
                    <c:v>الربع الثاني </c:v>
                  </c:pt>
                  <c:pt idx="3">
                    <c:v>الربع الأول</c:v>
                  </c:pt>
                  <c:pt idx="4">
                    <c:v>الربع الرابع</c:v>
                  </c:pt>
                  <c:pt idx="5">
                    <c:v>الربع الثالث</c:v>
                  </c:pt>
                  <c:pt idx="6">
                    <c:v>الربع الثاني </c:v>
                  </c:pt>
                  <c:pt idx="7">
                    <c:v>الربع الأول</c:v>
                  </c:pt>
                  <c:pt idx="8">
                    <c:v>الربع الرابع</c:v>
                  </c:pt>
                  <c:pt idx="9">
                    <c:v>الربع الثالث</c:v>
                  </c:pt>
                  <c:pt idx="10">
                    <c:v>الربع الثاني </c:v>
                  </c:pt>
                  <c:pt idx="11">
                    <c:v>الربع الأول</c:v>
                  </c:pt>
                  <c:pt idx="12">
                    <c:v>الربع الرابع</c:v>
                  </c:pt>
                  <c:pt idx="13">
                    <c:v>الربع الثالث</c:v>
                  </c:pt>
                  <c:pt idx="14">
                    <c:v>الربع الثاني </c:v>
                  </c:pt>
                  <c:pt idx="15">
                    <c:v>الربع الأول</c:v>
                  </c:pt>
                  <c:pt idx="16">
                    <c:v>الربع الرابع</c:v>
                  </c:pt>
                  <c:pt idx="17">
                    <c:v>الربع الثالث</c:v>
                  </c:pt>
                  <c:pt idx="18">
                    <c:v>الربع الثاني </c:v>
                  </c:pt>
                  <c:pt idx="19">
                    <c:v>الربع الأول</c:v>
                  </c:pt>
                </c:lvl>
                <c:lvl>
                  <c:pt idx="0">
                    <c:v>2020</c:v>
                  </c:pt>
                  <c:pt idx="4">
                    <c:v>2019</c:v>
                  </c:pt>
                  <c:pt idx="8">
                    <c:v>2018</c:v>
                  </c:pt>
                  <c:pt idx="12">
                    <c:v>2017</c:v>
                  </c:pt>
                  <c:pt idx="16">
                    <c:v>2016</c:v>
                  </c:pt>
                </c:lvl>
              </c:multiLvlStrCache>
            </c:multiLvlStrRef>
          </c:cat>
          <c:val>
            <c:numRef>
              <c:f>Sheet1!$C$3:$C$22</c:f>
              <c:numCache>
                <c:formatCode>#,##0</c:formatCode>
                <c:ptCount val="20"/>
                <c:pt idx="0">
                  <c:v>3540.5999999999995</c:v>
                </c:pt>
                <c:pt idx="1">
                  <c:v>3506.2</c:v>
                </c:pt>
                <c:pt idx="2">
                  <c:v>3134.9000000000005</c:v>
                </c:pt>
                <c:pt idx="3">
                  <c:v>3833.7000000000007</c:v>
                </c:pt>
                <c:pt idx="4">
                  <c:v>4032.3999999999996</c:v>
                </c:pt>
                <c:pt idx="5">
                  <c:v>3930.1000000000004</c:v>
                </c:pt>
                <c:pt idx="6">
                  <c:v>3893.1</c:v>
                </c:pt>
                <c:pt idx="7">
                  <c:v>3973.3999999999996</c:v>
                </c:pt>
                <c:pt idx="8">
                  <c:v>4089.7</c:v>
                </c:pt>
                <c:pt idx="9">
                  <c:v>3938.8</c:v>
                </c:pt>
                <c:pt idx="10">
                  <c:v>3788.1000000000004</c:v>
                </c:pt>
                <c:pt idx="11">
                  <c:v>3799.6000000000004</c:v>
                </c:pt>
                <c:pt idx="12">
                  <c:v>3951.7</c:v>
                </c:pt>
                <c:pt idx="13">
                  <c:v>3952.3999999999996</c:v>
                </c:pt>
                <c:pt idx="14">
                  <c:v>3814.8</c:v>
                </c:pt>
                <c:pt idx="15">
                  <c:v>3708</c:v>
                </c:pt>
                <c:pt idx="16">
                  <c:v>3777.8999999999996</c:v>
                </c:pt>
                <c:pt idx="17">
                  <c:v>3798.6</c:v>
                </c:pt>
                <c:pt idx="18">
                  <c:v>3859.5</c:v>
                </c:pt>
                <c:pt idx="19">
                  <c:v>3775</c:v>
                </c:pt>
              </c:numCache>
            </c:numRef>
          </c:val>
          <c:smooth val="0"/>
          <c:extLst>
            <c:ext xmlns:c16="http://schemas.microsoft.com/office/drawing/2014/chart" uri="{C3380CC4-5D6E-409C-BE32-E72D297353CC}">
              <c16:uniqueId val="{00000002-81CB-4441-A9BA-0E5285DEA0B5}"/>
            </c:ext>
          </c:extLst>
        </c:ser>
        <c:dLbls>
          <c:showLegendKey val="0"/>
          <c:showVal val="0"/>
          <c:showCatName val="0"/>
          <c:showSerName val="0"/>
          <c:showPercent val="0"/>
          <c:showBubbleSize val="0"/>
        </c:dLbls>
        <c:marker val="1"/>
        <c:smooth val="0"/>
        <c:axId val="189264640"/>
        <c:axId val="189266176"/>
      </c:lineChart>
      <c:catAx>
        <c:axId val="189264640"/>
        <c:scaling>
          <c:orientation val="minMax"/>
        </c:scaling>
        <c:delete val="0"/>
        <c:axPos val="b"/>
        <c:numFmt formatCode="General" sourceLinked="1"/>
        <c:majorTickMark val="none"/>
        <c:minorTickMark val="none"/>
        <c:tickLblPos val="nextTo"/>
        <c:txPr>
          <a:bodyPr/>
          <a:lstStyle/>
          <a:p>
            <a:pPr>
              <a:defRPr lang="ar-SA" sz="900"/>
            </a:pPr>
            <a:endParaRPr lang="ar-SA"/>
          </a:p>
        </c:txPr>
        <c:crossAx val="189266176"/>
        <c:crosses val="autoZero"/>
        <c:auto val="1"/>
        <c:lblAlgn val="ctr"/>
        <c:lblOffset val="100"/>
        <c:noMultiLvlLbl val="0"/>
      </c:catAx>
      <c:valAx>
        <c:axId val="189266176"/>
        <c:scaling>
          <c:orientation val="minMax"/>
          <c:max val="7000"/>
          <c:min val="0"/>
        </c:scaling>
        <c:delete val="0"/>
        <c:axPos val="r"/>
        <c:title>
          <c:tx>
            <c:rich>
              <a:bodyPr/>
              <a:lstStyle/>
              <a:p>
                <a:pPr>
                  <a:defRPr lang="ar-SA" sz="900"/>
                </a:pPr>
                <a:r>
                  <a:rPr lang="ar-SA" sz="900" baseline="0"/>
                  <a:t>مليون دولار امريكي</a:t>
                </a:r>
                <a:endParaRPr lang="en-US" sz="900"/>
              </a:p>
            </c:rich>
          </c:tx>
          <c:overlay val="0"/>
        </c:title>
        <c:numFmt formatCode="#,##0" sourceLinked="0"/>
        <c:majorTickMark val="none"/>
        <c:minorTickMark val="none"/>
        <c:tickLblPos val="nextTo"/>
        <c:txPr>
          <a:bodyPr/>
          <a:lstStyle/>
          <a:p>
            <a:pPr>
              <a:defRPr lang="ar-SA"/>
            </a:pPr>
            <a:endParaRPr lang="ar-SA"/>
          </a:p>
        </c:txPr>
        <c:crossAx val="189264640"/>
        <c:crosses val="max"/>
        <c:crossBetween val="between"/>
        <c:majorUnit val="1000"/>
      </c:valAx>
      <c:spPr>
        <a:ln>
          <a:noFill/>
        </a:ln>
      </c:spPr>
    </c:plotArea>
    <c:plotVisOnly val="1"/>
    <c:dispBlanksAs val="zero"/>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A6778-00BC-48DE-86D5-F5F75CF3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LOAY SHEHADEH</cp:lastModifiedBy>
  <cp:revision>26</cp:revision>
  <cp:lastPrinted>2017-09-25T08:46:00Z</cp:lastPrinted>
  <dcterms:created xsi:type="dcterms:W3CDTF">2017-09-25T08:55:00Z</dcterms:created>
  <dcterms:modified xsi:type="dcterms:W3CDTF">2021-03-29T05:03:00Z</dcterms:modified>
</cp:coreProperties>
</file>