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EE" w:rsidRDefault="00D578EE" w:rsidP="00D578EE">
      <w:pPr>
        <w:pStyle w:val="Title"/>
        <w:rPr>
          <w:rFonts w:ascii="Simplified Arabic" w:hAnsi="Simplified Arabic" w:cs="Simplified Arabic" w:hint="cs"/>
          <w:sz w:val="28"/>
          <w:szCs w:val="28"/>
          <w:rtl/>
        </w:rPr>
      </w:pPr>
    </w:p>
    <w:p w:rsidR="00D578EE" w:rsidRDefault="00D578EE" w:rsidP="00D578EE">
      <w:pPr>
        <w:pStyle w:val="Title"/>
        <w:rPr>
          <w:rFonts w:ascii="Simplified Arabic" w:hAnsi="Simplified Arabic" w:cs="Simplified Arabic" w:hint="cs"/>
          <w:sz w:val="28"/>
          <w:szCs w:val="28"/>
          <w:rtl/>
        </w:rPr>
      </w:pPr>
    </w:p>
    <w:p w:rsidR="00D578EE" w:rsidRDefault="00D578EE" w:rsidP="00D578EE">
      <w:pPr>
        <w:pStyle w:val="Title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الإحصاء الفلسطيني وسلطة جودة البيئة يصدران بياناً صحفياً بمناسبة يوم البيئة العالمي </w:t>
      </w:r>
    </w:p>
    <w:p w:rsidR="00D578EE" w:rsidRDefault="00D578EE" w:rsidP="00D578EE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D578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حول </w:t>
      </w:r>
      <w:r w:rsidRPr="00D57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التغلب على تلوث البلاستيك.</w:t>
      </w:r>
    </w:p>
    <w:p w:rsidR="00D578EE" w:rsidRDefault="00D578EE" w:rsidP="00D578EE">
      <w:pPr>
        <w:pStyle w:val="Title"/>
        <w:tabs>
          <w:tab w:val="left" w:pos="791"/>
          <w:tab w:val="center" w:pos="4813"/>
        </w:tabs>
        <w:jc w:val="left"/>
        <w:rPr>
          <w:rFonts w:ascii="Simplified Arabic" w:hAnsi="Simplified Arabic" w:cs="Simplified Arabic" w:hint="cs"/>
          <w:sz w:val="16"/>
          <w:szCs w:val="16"/>
          <w:rtl/>
        </w:rPr>
      </w:pPr>
      <w:r>
        <w:rPr>
          <w:rFonts w:ascii="Simplified Arabic" w:hAnsi="Simplified Arabic" w:cs="Simplified Arabic"/>
          <w:sz w:val="16"/>
          <w:szCs w:val="16"/>
          <w:rtl/>
        </w:rPr>
        <w:tab/>
      </w:r>
      <w:r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</w:p>
    <w:p w:rsidR="00D578EE" w:rsidRPr="00D578EE" w:rsidRDefault="00D578EE" w:rsidP="00D578EE">
      <w:pPr>
        <w:pStyle w:val="Title"/>
        <w:tabs>
          <w:tab w:val="left" w:pos="791"/>
          <w:tab w:val="center" w:pos="4813"/>
        </w:tabs>
        <w:jc w:val="left"/>
        <w:rPr>
          <w:rFonts w:ascii="Simplified Arabic" w:hAnsi="Simplified Arabic" w:cs="Simplified Arabic" w:hint="cs"/>
          <w:sz w:val="16"/>
          <w:szCs w:val="16"/>
          <w:rtl/>
        </w:rPr>
      </w:pPr>
    </w:p>
    <w:p w:rsidR="00D578EE" w:rsidRDefault="00D578EE" w:rsidP="00D578EE">
      <w:pPr>
        <w:jc w:val="both"/>
        <w:rPr>
          <w:rFonts w:ascii="Simplified Arabic" w:hAnsi="Simplified Arabic" w:cs="Simplified Arabic"/>
          <w:rtl/>
        </w:rPr>
      </w:pPr>
      <w:r w:rsidRPr="00F361F4">
        <w:rPr>
          <w:rFonts w:ascii="Simplified Arabic" w:hAnsi="Simplified Arabic" w:cs="Simplified Arabic"/>
          <w:rtl/>
        </w:rPr>
        <w:t xml:space="preserve">يعد يوم البيئة العالمي آلية أساسية للأمم المتحدة لتشجيع الوعي العالمي والعمل من أجل البيئة. </w:t>
      </w:r>
      <w:r>
        <w:rPr>
          <w:rFonts w:ascii="Simplified Arabic" w:hAnsi="Simplified Arabic" w:cs="Simplified Arabic" w:hint="cs"/>
          <w:rtl/>
        </w:rPr>
        <w:t xml:space="preserve">وقد أصبح </w:t>
      </w:r>
      <w:r w:rsidRPr="00F361F4">
        <w:rPr>
          <w:rFonts w:ascii="Simplified Arabic" w:hAnsi="Simplified Arabic" w:cs="Simplified Arabic"/>
          <w:rtl/>
        </w:rPr>
        <w:t xml:space="preserve">هذا اليوم منبرًا عالميًا للتوعية العامة تحتفل </w:t>
      </w:r>
      <w:proofErr w:type="spellStart"/>
      <w:r w:rsidRPr="00F361F4">
        <w:rPr>
          <w:rFonts w:ascii="Simplified Arabic" w:hAnsi="Simplified Arabic" w:cs="Simplified Arabic"/>
          <w:rtl/>
        </w:rPr>
        <w:t>به</w:t>
      </w:r>
      <w:proofErr w:type="spellEnd"/>
      <w:r w:rsidRPr="00F361F4">
        <w:rPr>
          <w:rFonts w:ascii="Simplified Arabic" w:hAnsi="Simplified Arabic" w:cs="Simplified Arabic"/>
          <w:rtl/>
        </w:rPr>
        <w:t xml:space="preserve"> الأطراف المعنية في أكثر من 100 دولة على نطاق </w:t>
      </w:r>
      <w:proofErr w:type="spellStart"/>
      <w:r w:rsidRPr="00F361F4">
        <w:rPr>
          <w:rFonts w:ascii="Simplified Arabic" w:hAnsi="Simplified Arabic" w:cs="Simplified Arabic"/>
          <w:rtl/>
        </w:rPr>
        <w:t>واسع</w:t>
      </w:r>
      <w:r>
        <w:rPr>
          <w:rFonts w:ascii="Simplified Arabic" w:hAnsi="Simplified Arabic" w:cs="Simplified Arabic" w:hint="cs"/>
          <w:rtl/>
        </w:rPr>
        <w:t>،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F361F4">
        <w:rPr>
          <w:rFonts w:ascii="Simplified Arabic" w:hAnsi="Simplified Arabic" w:cs="Simplified Arabic"/>
          <w:rtl/>
        </w:rPr>
        <w:t xml:space="preserve">ويدور موضوع يوم البيئة العالمي هذا العام حول </w:t>
      </w:r>
      <w:r>
        <w:rPr>
          <w:rFonts w:ascii="Simplified Arabic" w:hAnsi="Simplified Arabic" w:cs="Simplified Arabic" w:hint="cs"/>
          <w:rtl/>
        </w:rPr>
        <w:t>التغلب على تلوث البلاستيك</w:t>
      </w:r>
      <w:r w:rsidRPr="00F361F4">
        <w:rPr>
          <w:rFonts w:ascii="Simplified Arabic" w:hAnsi="Simplified Arabic" w:cs="Simplified Arabic" w:hint="cs"/>
          <w:rtl/>
        </w:rPr>
        <w:t>.</w:t>
      </w:r>
    </w:p>
    <w:p w:rsidR="00D578EE" w:rsidRPr="00D578EE" w:rsidRDefault="00D578EE" w:rsidP="00D578E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578EE" w:rsidRDefault="00D578EE" w:rsidP="00D578EE">
      <w:pPr>
        <w:jc w:val="both"/>
        <w:rPr>
          <w:rFonts w:ascii="Simplified Arabic" w:hAnsi="Simplified Arabic" w:cs="Simplified Arabic"/>
        </w:rPr>
      </w:pPr>
      <w:r w:rsidRPr="003B2E13">
        <w:rPr>
          <w:rFonts w:ascii="Simplified Arabic" w:hAnsi="Simplified Arabic" w:cs="Simplified Arabic"/>
          <w:rtl/>
        </w:rPr>
        <w:t xml:space="preserve">يعد </w:t>
      </w:r>
      <w:r>
        <w:rPr>
          <w:rFonts w:ascii="Simplified Arabic" w:hAnsi="Simplified Arabic" w:cs="Simplified Arabic" w:hint="cs"/>
          <w:rtl/>
        </w:rPr>
        <w:t xml:space="preserve">شعار </w:t>
      </w:r>
      <w:r w:rsidRPr="003B2E13">
        <w:rPr>
          <w:rFonts w:ascii="Simplified Arabic" w:hAnsi="Simplified Arabic" w:cs="Simplified Arabic"/>
          <w:rtl/>
        </w:rPr>
        <w:t>"</w:t>
      </w:r>
      <w:r>
        <w:rPr>
          <w:rFonts w:ascii="Simplified Arabic" w:hAnsi="Simplified Arabic" w:cs="Simplified Arabic" w:hint="cs"/>
          <w:rtl/>
        </w:rPr>
        <w:t xml:space="preserve">التغلب على </w:t>
      </w:r>
      <w:r w:rsidRPr="003B2E13">
        <w:rPr>
          <w:rFonts w:ascii="Simplified Arabic" w:hAnsi="Simplified Arabic" w:cs="Simplified Arabic"/>
          <w:rtl/>
        </w:rPr>
        <w:t xml:space="preserve">تلوث </w:t>
      </w:r>
      <w:proofErr w:type="spellStart"/>
      <w:r w:rsidRPr="003B2E13">
        <w:rPr>
          <w:rFonts w:ascii="Simplified Arabic" w:hAnsi="Simplified Arabic" w:cs="Simplified Arabic"/>
          <w:rtl/>
        </w:rPr>
        <w:t>البلاستيك"،</w:t>
      </w:r>
      <w:proofErr w:type="spellEnd"/>
      <w:r w:rsidRPr="003B2E13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ليوم البيئة العالمي 2018 </w:t>
      </w:r>
      <w:r w:rsidRPr="003B2E13">
        <w:rPr>
          <w:rFonts w:ascii="Simplified Arabic" w:hAnsi="Simplified Arabic" w:cs="Simplified Arabic"/>
          <w:rtl/>
        </w:rPr>
        <w:t xml:space="preserve">بمثابة دعوة للعمل </w:t>
      </w:r>
      <w:r>
        <w:rPr>
          <w:rFonts w:ascii="Simplified Arabic" w:hAnsi="Simplified Arabic" w:cs="Simplified Arabic" w:hint="cs"/>
          <w:rtl/>
        </w:rPr>
        <w:t>وا</w:t>
      </w:r>
      <w:r w:rsidRPr="003B2E13">
        <w:rPr>
          <w:rFonts w:ascii="Simplified Arabic" w:hAnsi="Simplified Arabic" w:cs="Simplified Arabic"/>
          <w:rtl/>
        </w:rPr>
        <w:t xml:space="preserve">لالتقاء من أجل مواجهة أحد التحديات البيئية الكبرى في </w:t>
      </w:r>
      <w:proofErr w:type="spellStart"/>
      <w:r w:rsidRPr="003B2E13">
        <w:rPr>
          <w:rFonts w:ascii="Simplified Arabic" w:hAnsi="Simplified Arabic" w:cs="Simplified Arabic"/>
          <w:rtl/>
        </w:rPr>
        <w:t>عصرنا</w:t>
      </w:r>
      <w:r>
        <w:rPr>
          <w:rFonts w:ascii="Simplified Arabic" w:hAnsi="Simplified Arabic" w:cs="Simplified Arabic" w:hint="cs"/>
          <w:rtl/>
        </w:rPr>
        <w:t>،</w:t>
      </w:r>
      <w:proofErr w:type="spellEnd"/>
      <w:r w:rsidRPr="003B2E13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و</w:t>
      </w:r>
      <w:r w:rsidRPr="003B2E13">
        <w:rPr>
          <w:rFonts w:ascii="Simplified Arabic" w:hAnsi="Simplified Arabic" w:cs="Simplified Arabic"/>
          <w:rtl/>
        </w:rPr>
        <w:t xml:space="preserve">كيفية إجراء تغييرات في حياتنا اليومية للحد من العبء الثقيل للتلوث البلاستيكي على أماكننا </w:t>
      </w:r>
      <w:proofErr w:type="spellStart"/>
      <w:r w:rsidRPr="003B2E13">
        <w:rPr>
          <w:rFonts w:ascii="Simplified Arabic" w:hAnsi="Simplified Arabic" w:cs="Simplified Arabic"/>
          <w:rtl/>
        </w:rPr>
        <w:t>الطبيعية،</w:t>
      </w:r>
      <w:proofErr w:type="spellEnd"/>
      <w:r w:rsidRPr="003B2E13">
        <w:rPr>
          <w:rFonts w:ascii="Simplified Arabic" w:hAnsi="Simplified Arabic" w:cs="Simplified Arabic"/>
          <w:rtl/>
        </w:rPr>
        <w:t xml:space="preserve"> وحياة الحيوانات البرية </w:t>
      </w:r>
      <w:r>
        <w:rPr>
          <w:rFonts w:ascii="Simplified Arabic" w:hAnsi="Simplified Arabic" w:cs="Simplified Arabic"/>
          <w:rtl/>
        </w:rPr>
        <w:t>وصحتنا</w:t>
      </w:r>
      <w:r>
        <w:rPr>
          <w:rFonts w:ascii="Simplified Arabic" w:hAnsi="Simplified Arabic" w:cs="Simplified Arabic" w:hint="cs"/>
          <w:rtl/>
        </w:rPr>
        <w:t xml:space="preserve"> وصحة </w:t>
      </w:r>
      <w:proofErr w:type="spellStart"/>
      <w:r>
        <w:rPr>
          <w:rFonts w:ascii="Simplified Arabic" w:hAnsi="Simplified Arabic" w:cs="Simplified Arabic" w:hint="cs"/>
          <w:rtl/>
        </w:rPr>
        <w:t>أطفالنا،</w:t>
      </w:r>
      <w:proofErr w:type="spellEnd"/>
      <w:r>
        <w:rPr>
          <w:rFonts w:ascii="Simplified Arabic" w:hAnsi="Simplified Arabic" w:cs="Simplified Arabic" w:hint="cs"/>
          <w:rtl/>
        </w:rPr>
        <w:t xml:space="preserve"> وصحة بيئتنا المستنزفة أصلا بفعل الإجراءات الإسرائيلية </w:t>
      </w:r>
      <w:proofErr w:type="spellStart"/>
      <w:r>
        <w:rPr>
          <w:rFonts w:ascii="Simplified Arabic" w:hAnsi="Simplified Arabic" w:cs="Simplified Arabic" w:hint="cs"/>
          <w:rtl/>
        </w:rPr>
        <w:t>الممنهجة</w:t>
      </w:r>
      <w:proofErr w:type="spellEnd"/>
      <w:r w:rsidRPr="003B2E13">
        <w:rPr>
          <w:rFonts w:ascii="Simplified Arabic" w:hAnsi="Simplified Arabic" w:cs="Simplified Arabic"/>
          <w:rtl/>
        </w:rPr>
        <w:t>.</w:t>
      </w:r>
    </w:p>
    <w:p w:rsidR="00D578EE" w:rsidRPr="00D578EE" w:rsidRDefault="00D578EE" w:rsidP="00D578E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578EE" w:rsidRPr="00D578EE" w:rsidRDefault="00D578EE" w:rsidP="00D578EE">
      <w:pPr>
        <w:autoSpaceDE w:val="0"/>
        <w:autoSpaceDN w:val="0"/>
        <w:adjustRightInd w:val="0"/>
        <w:jc w:val="both"/>
        <w:rPr>
          <w:color w:val="000000"/>
          <w:sz w:val="6"/>
          <w:szCs w:val="6"/>
          <w:rtl/>
        </w:rPr>
      </w:pPr>
      <w:r w:rsidRPr="00B05837">
        <w:rPr>
          <w:rFonts w:cs="Simplified Arabic" w:hint="cs"/>
          <w:color w:val="000000"/>
          <w:rtl/>
          <w:lang w:eastAsia="en-US"/>
        </w:rPr>
        <w:t xml:space="preserve">فيما يلي ابرز الملامح </w:t>
      </w:r>
      <w:r>
        <w:rPr>
          <w:rFonts w:cs="Simplified Arabic" w:hint="cs"/>
          <w:color w:val="000000"/>
          <w:rtl/>
          <w:lang w:eastAsia="en-US"/>
        </w:rPr>
        <w:t xml:space="preserve">والحقائق البيئية </w:t>
      </w:r>
      <w:r w:rsidRPr="00B05837">
        <w:rPr>
          <w:rFonts w:cs="Simplified Arabic" w:hint="cs"/>
          <w:color w:val="000000"/>
          <w:rtl/>
          <w:lang w:eastAsia="en-US"/>
        </w:rPr>
        <w:t>في فلسطين</w:t>
      </w:r>
      <w:r>
        <w:rPr>
          <w:rFonts w:cs="Simplified Arabic" w:hint="cs"/>
          <w:color w:val="000000"/>
          <w:rtl/>
          <w:lang w:eastAsia="en-US"/>
        </w:rPr>
        <w:t>:</w:t>
      </w:r>
    </w:p>
    <w:p w:rsidR="00D578EE" w:rsidRPr="00D578EE" w:rsidRDefault="00D578EE" w:rsidP="00D578EE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كميات النفايات الصلبة المتولدة في فلسطين</w:t>
      </w:r>
    </w:p>
    <w:p w:rsidR="00D578EE" w:rsidRDefault="00D578EE" w:rsidP="00D578EE">
      <w:pPr>
        <w:jc w:val="lowKashida"/>
        <w:rPr>
          <w:rFonts w:ascii="Simplified Arabic" w:hAnsi="Simplified Arabic" w:cs="Simplified Arabic"/>
          <w:rtl/>
        </w:rPr>
      </w:pPr>
      <w:r w:rsidRPr="00660FF5">
        <w:rPr>
          <w:rFonts w:cs="Simplified Arabic"/>
          <w:rtl/>
        </w:rPr>
        <w:t xml:space="preserve">بلغ متوسط إنتاج الأسرة اليومي من النفايات المنزلية في فلسطين لعام 2015 حوالي 2.9 </w:t>
      </w:r>
      <w:proofErr w:type="spellStart"/>
      <w:r w:rsidRPr="00660FF5">
        <w:rPr>
          <w:rFonts w:cs="Simplified Arabic"/>
          <w:rtl/>
        </w:rPr>
        <w:t>كغم،</w:t>
      </w:r>
      <w:proofErr w:type="spellEnd"/>
      <w:r w:rsidRPr="00660FF5">
        <w:rPr>
          <w:rFonts w:cs="Simplified Arabic"/>
          <w:rtl/>
        </w:rPr>
        <w:t xml:space="preserve"> وقد تباين هذا المتوسط ما بين الضفة الغربية وقطاع </w:t>
      </w:r>
      <w:proofErr w:type="spellStart"/>
      <w:r w:rsidRPr="00660FF5">
        <w:rPr>
          <w:rFonts w:cs="Simplified Arabic"/>
          <w:rtl/>
        </w:rPr>
        <w:t>غزة،</w:t>
      </w:r>
      <w:proofErr w:type="spellEnd"/>
      <w:r w:rsidRPr="00660FF5">
        <w:rPr>
          <w:rFonts w:cs="Simplified Arabic"/>
          <w:rtl/>
        </w:rPr>
        <w:t xml:space="preserve"> إذ بلغ المتوسط 3.2 كغم في الضفة الغربية مقابل 2.4 كغم في قطاع غزة.  هذا وقد بلغت الكمية التقديرية من النفايات المنزلية المنتجة في فلسطين</w:t>
      </w:r>
      <w:r w:rsidRPr="00210FC0">
        <w:rPr>
          <w:rFonts w:ascii="Simplified Arabic" w:hAnsi="Simplified Arabic" w:cs="Simplified Arabic"/>
          <w:rtl/>
        </w:rPr>
        <w:t xml:space="preserve"> حوالي </w:t>
      </w:r>
      <w:r w:rsidRPr="00210FC0">
        <w:rPr>
          <w:rFonts w:ascii="Simplified Arabic" w:hAnsi="Simplified Arabic" w:cs="Simplified Arabic"/>
        </w:rPr>
        <w:t>2,551.0</w:t>
      </w:r>
      <w:r w:rsidRPr="00210FC0">
        <w:rPr>
          <w:rFonts w:ascii="Simplified Arabic" w:hAnsi="Simplified Arabic" w:cs="Simplified Arabic"/>
          <w:rtl/>
        </w:rPr>
        <w:t xml:space="preserve"> طن يومياً لعام </w:t>
      </w:r>
      <w:proofErr w:type="spellStart"/>
      <w:r w:rsidRPr="00210FC0">
        <w:rPr>
          <w:rFonts w:ascii="Simplified Arabic" w:hAnsi="Simplified Arabic" w:cs="Simplified Arabic"/>
          <w:rtl/>
        </w:rPr>
        <w:t>2015،</w:t>
      </w:r>
      <w:proofErr w:type="spellEnd"/>
      <w:r w:rsidRPr="00210FC0">
        <w:rPr>
          <w:rFonts w:ascii="Simplified Arabic" w:hAnsi="Simplified Arabic" w:cs="Simplified Arabic"/>
          <w:rtl/>
        </w:rPr>
        <w:t xml:space="preserve"> بواقع </w:t>
      </w:r>
      <w:r w:rsidRPr="00210FC0">
        <w:rPr>
          <w:rFonts w:ascii="Simplified Arabic" w:hAnsi="Simplified Arabic" w:cs="Simplified Arabic"/>
        </w:rPr>
        <w:t>1,835.0</w:t>
      </w:r>
      <w:r w:rsidRPr="00210FC0">
        <w:rPr>
          <w:rFonts w:ascii="Simplified Arabic" w:hAnsi="Simplified Arabic" w:cs="Simplified Arabic"/>
          <w:rtl/>
        </w:rPr>
        <w:t xml:space="preserve"> طن في الضفة </w:t>
      </w:r>
      <w:proofErr w:type="spellStart"/>
      <w:r w:rsidRPr="00210FC0">
        <w:rPr>
          <w:rFonts w:ascii="Simplified Arabic" w:hAnsi="Simplified Arabic" w:cs="Simplified Arabic"/>
          <w:rtl/>
        </w:rPr>
        <w:t>الغربية،</w:t>
      </w:r>
      <w:proofErr w:type="spellEnd"/>
      <w:r w:rsidRPr="00210FC0">
        <w:rPr>
          <w:rFonts w:ascii="Simplified Arabic" w:hAnsi="Simplified Arabic" w:cs="Simplified Arabic"/>
          <w:rtl/>
        </w:rPr>
        <w:t xml:space="preserve"> و</w:t>
      </w:r>
      <w:r w:rsidRPr="00210FC0">
        <w:rPr>
          <w:rFonts w:ascii="Simplified Arabic" w:hAnsi="Simplified Arabic" w:cs="Simplified Arabic"/>
        </w:rPr>
        <w:t>716.0</w:t>
      </w:r>
      <w:r w:rsidRPr="00210FC0">
        <w:rPr>
          <w:rFonts w:ascii="Simplified Arabic" w:hAnsi="Simplified Arabic" w:cs="Simplified Arabic"/>
          <w:rtl/>
        </w:rPr>
        <w:t xml:space="preserve"> طن في قطاع غزة</w:t>
      </w:r>
      <w:r>
        <w:rPr>
          <w:rFonts w:ascii="Simplified Arabic" w:hAnsi="Simplified Arabic" w:cs="Simplified Arabic" w:hint="cs"/>
          <w:rtl/>
        </w:rPr>
        <w:t>.</w:t>
      </w:r>
    </w:p>
    <w:p w:rsidR="00D578EE" w:rsidRPr="00D578EE" w:rsidRDefault="00D578EE" w:rsidP="00D578EE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D578EE" w:rsidRPr="007272DB" w:rsidRDefault="00D578EE" w:rsidP="00D578EE">
      <w:pPr>
        <w:ind w:left="-1" w:right="57" w:firstLine="1"/>
        <w:jc w:val="both"/>
        <w:rPr>
          <w:rFonts w:cs="Simplified Arabic"/>
          <w:b/>
          <w:bCs/>
          <w:rtl/>
        </w:rPr>
      </w:pPr>
      <w:r w:rsidRPr="007272DB">
        <w:rPr>
          <w:rFonts w:cs="Simplified Arabic" w:hint="cs"/>
          <w:b/>
          <w:bCs/>
          <w:rtl/>
        </w:rPr>
        <w:t xml:space="preserve">أكثر من </w:t>
      </w:r>
      <w:proofErr w:type="spellStart"/>
      <w:r w:rsidRPr="007272DB">
        <w:rPr>
          <w:rFonts w:cs="Simplified Arabic" w:hint="cs"/>
          <w:b/>
          <w:bCs/>
          <w:rtl/>
        </w:rPr>
        <w:t>96%</w:t>
      </w:r>
      <w:proofErr w:type="spellEnd"/>
      <w:r w:rsidRPr="007272DB">
        <w:rPr>
          <w:rFonts w:cs="Simplified Arabic" w:hint="cs"/>
          <w:b/>
          <w:bCs/>
          <w:rtl/>
        </w:rPr>
        <w:t xml:space="preserve"> من المساكن في فلسطين تتخلص من النفايات المنزلية عن طريق إلقاءها في اقرب حاوية</w:t>
      </w:r>
    </w:p>
    <w:p w:rsidR="00D578EE" w:rsidRPr="007C27B5" w:rsidRDefault="00D578EE" w:rsidP="00D578EE">
      <w:pPr>
        <w:jc w:val="both"/>
        <w:rPr>
          <w:rFonts w:cs="Simplified Arabic"/>
          <w:rtl/>
        </w:rPr>
      </w:pPr>
      <w:r w:rsidRPr="007C27B5">
        <w:rPr>
          <w:rFonts w:cs="Simplified Arabic" w:hint="cs"/>
          <w:rtl/>
        </w:rPr>
        <w:t>تفيد</w:t>
      </w:r>
      <w:r w:rsidRPr="007C27B5">
        <w:rPr>
          <w:rFonts w:cs="Simplified Arabic"/>
          <w:rtl/>
        </w:rPr>
        <w:t xml:space="preserve"> </w:t>
      </w:r>
      <w:r w:rsidRPr="007C27B5">
        <w:rPr>
          <w:rFonts w:cs="Simplified Arabic" w:hint="cs"/>
          <w:rtl/>
        </w:rPr>
        <w:t xml:space="preserve">بيانات التعداد العام للسكان والمساكن والمنشآت 2017 </w:t>
      </w:r>
      <w:r>
        <w:rPr>
          <w:rFonts w:cs="Simplified Arabic" w:hint="cs"/>
          <w:rtl/>
        </w:rPr>
        <w:t>أ</w:t>
      </w:r>
      <w:r w:rsidRPr="007C27B5">
        <w:rPr>
          <w:rFonts w:cs="Simplified Arabic" w:hint="cs"/>
          <w:rtl/>
        </w:rPr>
        <w:t xml:space="preserve">ن </w:t>
      </w:r>
      <w:proofErr w:type="spellStart"/>
      <w:r w:rsidRPr="007C27B5">
        <w:rPr>
          <w:rFonts w:cs="Simplified Arabic" w:hint="cs"/>
          <w:rtl/>
        </w:rPr>
        <w:t>96.2</w:t>
      </w:r>
      <w:r w:rsidRPr="007C27B5">
        <w:rPr>
          <w:rFonts w:cs="Simplified Arabic"/>
          <w:rtl/>
        </w:rPr>
        <w:t>%</w:t>
      </w:r>
      <w:proofErr w:type="spellEnd"/>
      <w:r w:rsidRPr="007C27B5">
        <w:rPr>
          <w:rFonts w:cs="Simplified Arabic"/>
          <w:rtl/>
        </w:rPr>
        <w:t xml:space="preserve"> من </w:t>
      </w:r>
      <w:r w:rsidRPr="007C27B5">
        <w:rPr>
          <w:rFonts w:cs="Simplified Arabic" w:hint="cs"/>
          <w:rtl/>
        </w:rPr>
        <w:t xml:space="preserve">المساكن المأهولة في فلسطين تتخلص من النفايات المنزلية عن طريق إلقاءها في اقرب </w:t>
      </w:r>
      <w:proofErr w:type="spellStart"/>
      <w:r w:rsidRPr="007C27B5">
        <w:rPr>
          <w:rFonts w:cs="Simplified Arabic" w:hint="cs"/>
          <w:rtl/>
        </w:rPr>
        <w:t>حاوية،</w:t>
      </w:r>
      <w:proofErr w:type="spellEnd"/>
      <w:r w:rsidRPr="007C27B5">
        <w:rPr>
          <w:rFonts w:cs="Simplified Arabic" w:hint="cs"/>
          <w:rtl/>
        </w:rPr>
        <w:t xml:space="preserve"> حيث بلغت</w:t>
      </w:r>
      <w:r w:rsidRPr="007C27B5">
        <w:rPr>
          <w:rFonts w:cs="Simplified Arabic"/>
          <w:rtl/>
        </w:rPr>
        <w:t xml:space="preserve"> هذه النسبة في </w:t>
      </w:r>
      <w:r>
        <w:rPr>
          <w:rFonts w:cs="Simplified Arabic" w:hint="cs"/>
          <w:rtl/>
        </w:rPr>
        <w:t>الضفة الغربية</w:t>
      </w:r>
      <w:r w:rsidRPr="007C27B5"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94.7</w:t>
      </w:r>
      <w:r w:rsidRPr="007C27B5">
        <w:rPr>
          <w:rFonts w:cs="Simplified Arabic"/>
          <w:rtl/>
        </w:rPr>
        <w:t>%</w:t>
      </w:r>
      <w:proofErr w:type="spellEnd"/>
      <w:r w:rsidRPr="007C27B5">
        <w:rPr>
          <w:rFonts w:cs="Simplified Arabic"/>
          <w:rtl/>
        </w:rPr>
        <w:t xml:space="preserve"> </w:t>
      </w:r>
      <w:r w:rsidRPr="007C27B5">
        <w:rPr>
          <w:rFonts w:cs="Simplified Arabic" w:hint="cs"/>
          <w:rtl/>
        </w:rPr>
        <w:t>و</w:t>
      </w:r>
      <w:r w:rsidRPr="007C27B5">
        <w:rPr>
          <w:rFonts w:cs="Simplified Arabic"/>
          <w:rtl/>
        </w:rPr>
        <w:t>في</w:t>
      </w:r>
      <w:r>
        <w:rPr>
          <w:rFonts w:cs="Simplified Arabic" w:hint="cs"/>
          <w:rtl/>
        </w:rPr>
        <w:t xml:space="preserve"> قطاع غزة </w:t>
      </w:r>
      <w:proofErr w:type="spellStart"/>
      <w:r>
        <w:rPr>
          <w:rFonts w:cs="Simplified Arabic" w:hint="cs"/>
          <w:rtl/>
        </w:rPr>
        <w:t>98.7%.</w:t>
      </w:r>
      <w:proofErr w:type="spellEnd"/>
      <w:r w:rsidRPr="007C27B5">
        <w:rPr>
          <w:rFonts w:cs="Simplified Arabic" w:hint="cs"/>
          <w:rtl/>
        </w:rPr>
        <w:t xml:space="preserve"> </w:t>
      </w:r>
    </w:p>
    <w:p w:rsidR="00D578EE" w:rsidRPr="00D578EE" w:rsidRDefault="00D578EE" w:rsidP="00D578E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578EE" w:rsidRDefault="00D578EE" w:rsidP="00D578EE">
      <w:pPr>
        <w:pStyle w:val="Title"/>
        <w:tabs>
          <w:tab w:val="center" w:pos="4536"/>
        </w:tabs>
        <w:rPr>
          <w:rFonts w:ascii="Simplified Arabic" w:hAnsi="Simplified Arabic" w:cs="Simplified Arabic" w:hint="cs"/>
          <w:sz w:val="25"/>
          <w:szCs w:val="25"/>
          <w:rtl/>
        </w:rPr>
      </w:pPr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المساكن المأهولة في </w:t>
      </w:r>
      <w:proofErr w:type="spellStart"/>
      <w:r w:rsidRPr="00D578EE">
        <w:rPr>
          <w:rFonts w:ascii="Simplified Arabic" w:hAnsi="Simplified Arabic" w:cs="Simplified Arabic"/>
          <w:sz w:val="25"/>
          <w:szCs w:val="25"/>
          <w:rtl/>
        </w:rPr>
        <w:t>فلسطين</w:t>
      </w:r>
      <w:r w:rsidRPr="00D578EE">
        <w:rPr>
          <w:rFonts w:ascii="Simplified Arabic" w:hAnsi="Simplified Arabic" w:cs="Simplified Arabic" w:hint="cs"/>
          <w:sz w:val="25"/>
          <w:szCs w:val="25"/>
          <w:rtl/>
        </w:rPr>
        <w:t>*</w:t>
      </w:r>
      <w:proofErr w:type="spellEnd"/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D578EE">
        <w:rPr>
          <w:rFonts w:ascii="Simplified Arabic" w:hAnsi="Simplified Arabic" w:cs="Simplified Arabic" w:hint="cs"/>
          <w:sz w:val="25"/>
          <w:szCs w:val="25"/>
          <w:rtl/>
        </w:rPr>
        <w:t xml:space="preserve">التي تتخلص من النفايات المنزلية عن طريق إلقاءها في اقرب حاوية </w:t>
      </w:r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حسب </w:t>
      </w:r>
      <w:proofErr w:type="spellStart"/>
      <w:r w:rsidRPr="00D578EE">
        <w:rPr>
          <w:rFonts w:ascii="Simplified Arabic" w:hAnsi="Simplified Arabic" w:cs="Simplified Arabic"/>
          <w:sz w:val="25"/>
          <w:szCs w:val="25"/>
          <w:rtl/>
        </w:rPr>
        <w:t>المنطقة،</w:t>
      </w:r>
      <w:proofErr w:type="spellEnd"/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 2017</w:t>
      </w:r>
    </w:p>
    <w:p w:rsidR="00D578EE" w:rsidRPr="00D578EE" w:rsidRDefault="00D578EE" w:rsidP="00D578EE">
      <w:pPr>
        <w:pStyle w:val="Title"/>
        <w:tabs>
          <w:tab w:val="center" w:pos="4536"/>
        </w:tabs>
        <w:rPr>
          <w:rFonts w:ascii="Simplified Arabic" w:hAnsi="Simplified Arabic" w:cs="Simplified Arabic"/>
          <w:sz w:val="6"/>
          <w:szCs w:val="6"/>
          <w:rtl/>
        </w:rPr>
      </w:pPr>
    </w:p>
    <w:p w:rsidR="00D578EE" w:rsidRDefault="00D578EE" w:rsidP="00D578E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36"/>
        </w:tabs>
        <w:ind w:left="685" w:hanging="685"/>
        <w:rPr>
          <w:rFonts w:ascii="Simplified Arabic" w:hAnsi="Simplified Arabic" w:cs="Simplified Arabic"/>
          <w:rtl/>
        </w:rPr>
      </w:pPr>
      <w:r w:rsidRPr="007272DB">
        <w:rPr>
          <w:rFonts w:ascii="Simplified Arabic" w:hAnsi="Simplified Arabic" w:cs="Simplified Arabic"/>
          <w:noProof/>
          <w:rtl/>
          <w:lang w:eastAsia="en-US"/>
        </w:rPr>
        <w:drawing>
          <wp:inline distT="0" distB="0" distL="0" distR="0">
            <wp:extent cx="3533775" cy="2200275"/>
            <wp:effectExtent l="0" t="0" r="0" b="0"/>
            <wp:docPr id="7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578EE" w:rsidRPr="006649A4" w:rsidRDefault="00D578EE" w:rsidP="00D578EE">
      <w:pPr>
        <w:ind w:left="-1" w:right="57" w:firstLine="1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proofErr w:type="spellStart"/>
      <w:r w:rsidRPr="006649A4">
        <w:rPr>
          <w:rFonts w:ascii="Simplified Arabic" w:hAnsi="Simplified Arabic" w:cs="Simplified Arabic"/>
          <w:sz w:val="20"/>
          <w:szCs w:val="20"/>
          <w:rtl/>
          <w:lang w:eastAsia="en-US"/>
        </w:rPr>
        <w:t>*</w:t>
      </w:r>
      <w:proofErr w:type="spellEnd"/>
      <w:r w:rsidRPr="006649A4">
        <w:rPr>
          <w:rFonts w:ascii="Simplified Arabic" w:hAnsi="Simplified Arabic" w:cs="Simplified Arabic"/>
          <w:sz w:val="20"/>
          <w:szCs w:val="20"/>
          <w:rtl/>
          <w:lang w:eastAsia="en-US"/>
        </w:rPr>
        <w:t xml:space="preserve"> البيانات لا تشمل ذلك الجزء من محافظة القدس والذي ضمه الاحتلال الإسرائيلي إليه عنوة بعيد احتلاله للضفة الغربية عام 1967.</w:t>
      </w:r>
    </w:p>
    <w:p w:rsidR="00D578EE" w:rsidRPr="00D578EE" w:rsidRDefault="00D578EE" w:rsidP="00D578EE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578EE" w:rsidRDefault="00D578EE" w:rsidP="00D578EE">
      <w:pPr>
        <w:jc w:val="lowKashida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578EE" w:rsidRDefault="00D578EE" w:rsidP="00D578EE">
      <w:pPr>
        <w:jc w:val="lowKashida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578EE" w:rsidRDefault="00D578EE" w:rsidP="00D578EE">
      <w:pPr>
        <w:jc w:val="lowKashida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578EE" w:rsidRDefault="00D578EE" w:rsidP="00D578EE">
      <w:pPr>
        <w:jc w:val="lowKashida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D578EE" w:rsidRPr="00D578EE" w:rsidRDefault="00D578EE" w:rsidP="00D578EE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أكثر من </w:t>
      </w:r>
      <w:proofErr w:type="spellStart"/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>50%</w:t>
      </w:r>
      <w:proofErr w:type="spellEnd"/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من مكونات النفايات الصلبة عبارة عن مواد عضوية</w:t>
      </w:r>
    </w:p>
    <w:p w:rsidR="00D578EE" w:rsidRDefault="00D578EE" w:rsidP="00D578EE">
      <w:pPr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9C7775">
        <w:rPr>
          <w:rFonts w:cs="Simplified Arabic" w:hint="cs"/>
          <w:rtl/>
        </w:rPr>
        <w:t>أظهر تقرير تقييم الوضع الحالي لإدارة النفايات الصلبة في فلسطين والذي تم نشره من قبل وزارة الحكم المحلي خلال شهر آب</w:t>
      </w:r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-</w:t>
      </w:r>
      <w:proofErr w:type="spellEnd"/>
      <w:r w:rsidRPr="009C7775">
        <w:rPr>
          <w:rFonts w:cs="Simplified Arabic" w:hint="cs"/>
          <w:rtl/>
        </w:rPr>
        <w:t xml:space="preserve"> </w:t>
      </w:r>
      <w:proofErr w:type="spellStart"/>
      <w:r w:rsidRPr="009C7775">
        <w:rPr>
          <w:rFonts w:cs="Simplified Arabic" w:hint="cs"/>
          <w:rtl/>
        </w:rPr>
        <w:t>2017</w:t>
      </w:r>
      <w:r>
        <w:rPr>
          <w:rFonts w:cs="Simplified Arabic" w:hint="cs"/>
          <w:rtl/>
        </w:rPr>
        <w:t>،</w:t>
      </w:r>
      <w:proofErr w:type="spellEnd"/>
      <w:r w:rsidRPr="009C7775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مكونات ا</w:t>
      </w:r>
      <w:r w:rsidRPr="00BF63E7">
        <w:rPr>
          <w:rFonts w:cs="Simplified Arabic" w:hint="cs"/>
          <w:rtl/>
        </w:rPr>
        <w:t>لنف</w:t>
      </w:r>
      <w:r>
        <w:rPr>
          <w:rFonts w:cs="Simplified Arabic" w:hint="cs"/>
          <w:rtl/>
        </w:rPr>
        <w:t xml:space="preserve">ايات الصلبة في فلسطين كما هي موضحة في الشكل </w:t>
      </w:r>
      <w:proofErr w:type="spellStart"/>
      <w:r>
        <w:rPr>
          <w:rFonts w:cs="Simplified Arabic" w:hint="cs"/>
          <w:rtl/>
        </w:rPr>
        <w:t>ادناه</w:t>
      </w:r>
      <w:r w:rsidRPr="00BF63E7">
        <w:rPr>
          <w:rFonts w:cs="Simplified Arabic" w:hint="cs"/>
          <w:rtl/>
        </w:rPr>
        <w:t>،</w:t>
      </w:r>
      <w:proofErr w:type="spellEnd"/>
      <w:r w:rsidRPr="00BF63E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حيث أن </w:t>
      </w:r>
      <w:r w:rsidRPr="00BF63E7">
        <w:rPr>
          <w:rFonts w:cs="Simplified Arabic" w:hint="cs"/>
          <w:rtl/>
        </w:rPr>
        <w:t>بمعرفة مكونات النفايات الصلبة ومصادرها المختلفة تعزز فرص معرفة الجدوى من فصل أو تقليل النفايات الصلبة المنتجة مثل فصل البلاستيك</w:t>
      </w:r>
      <w:r>
        <w:rPr>
          <w:rFonts w:cs="Simplified Arabic" w:hint="cs"/>
          <w:rtl/>
        </w:rPr>
        <w:t xml:space="preserve"> والمواد الأخرى </w:t>
      </w:r>
      <w:r w:rsidRPr="00BF63E7">
        <w:rPr>
          <w:rFonts w:cs="Simplified Arabic" w:hint="cs"/>
          <w:rtl/>
        </w:rPr>
        <w:t>لإعادة تدويرها.</w:t>
      </w:r>
    </w:p>
    <w:p w:rsidR="00D578EE" w:rsidRPr="00D578EE" w:rsidRDefault="00D578EE" w:rsidP="00D578EE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578EE" w:rsidRPr="00D578EE" w:rsidRDefault="00D578EE" w:rsidP="00D578EE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مكونات النفايات الصلبة في </w:t>
      </w:r>
      <w:proofErr w:type="spellStart"/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فلسطين،</w:t>
      </w:r>
      <w:proofErr w:type="spellEnd"/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2017</w:t>
      </w:r>
    </w:p>
    <w:p w:rsidR="00D578EE" w:rsidRDefault="00D578EE" w:rsidP="00D578EE">
      <w:pPr>
        <w:jc w:val="center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noProof/>
          <w:rtl/>
          <w:lang w:eastAsia="en-US"/>
        </w:rPr>
        <w:drawing>
          <wp:inline distT="0" distB="0" distL="0" distR="0">
            <wp:extent cx="3190875" cy="2066925"/>
            <wp:effectExtent l="19050" t="0" r="9525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78EE" w:rsidRPr="0015089E" w:rsidRDefault="00D578EE" w:rsidP="00D578EE">
      <w:pPr>
        <w:jc w:val="lowKashida"/>
        <w:rPr>
          <w:rFonts w:ascii="Simplified Arabic" w:hAnsi="Simplified Arabic" w:cs="Simplified Arabic"/>
          <w:sz w:val="12"/>
          <w:szCs w:val="12"/>
          <w:rtl/>
        </w:rPr>
      </w:pPr>
    </w:p>
    <w:p w:rsidR="00D578EE" w:rsidRPr="00D578EE" w:rsidRDefault="00D578EE" w:rsidP="00D578EE">
      <w:pPr>
        <w:jc w:val="mediumKashida"/>
        <w:rPr>
          <w:rFonts w:cs="Simplified Arabic" w:hint="cs"/>
          <w:b/>
          <w:bCs/>
          <w:sz w:val="16"/>
          <w:szCs w:val="16"/>
          <w:rtl/>
        </w:rPr>
      </w:pPr>
    </w:p>
    <w:p w:rsidR="00D578EE" w:rsidRPr="00D578EE" w:rsidRDefault="00D578EE" w:rsidP="00D578EE">
      <w:pPr>
        <w:jc w:val="mediumKashida"/>
        <w:rPr>
          <w:rFonts w:cs="Simplified Arabic"/>
          <w:b/>
          <w:bCs/>
          <w:sz w:val="25"/>
          <w:szCs w:val="25"/>
          <w:rtl/>
        </w:rPr>
      </w:pPr>
      <w:r w:rsidRPr="00D578EE">
        <w:rPr>
          <w:rFonts w:cs="Simplified Arabic" w:hint="cs"/>
          <w:b/>
          <w:bCs/>
          <w:sz w:val="25"/>
          <w:szCs w:val="25"/>
          <w:rtl/>
        </w:rPr>
        <w:t>نصيب الفرد من الانبعاث لعام 2016 يعتبر الأقل مقارنة مع نظيره في الدول المجاورة</w:t>
      </w:r>
    </w:p>
    <w:p w:rsidR="00D578EE" w:rsidRPr="002568D4" w:rsidRDefault="00D578EE" w:rsidP="00D578EE">
      <w:pPr>
        <w:jc w:val="mediumKashida"/>
        <w:rPr>
          <w:rFonts w:cs="Simplified Arabic"/>
          <w:rtl/>
        </w:rPr>
      </w:pPr>
      <w:r w:rsidRPr="002568D4">
        <w:rPr>
          <w:rFonts w:cs="Simplified Arabic" w:hint="cs"/>
          <w:rtl/>
        </w:rPr>
        <w:t xml:space="preserve">قدرت كمية </w:t>
      </w:r>
      <w:proofErr w:type="spellStart"/>
      <w:r w:rsidRPr="002568D4">
        <w:rPr>
          <w:rFonts w:cs="Simplified Arabic" w:hint="cs"/>
          <w:rtl/>
        </w:rPr>
        <w:t>المنبعثات</w:t>
      </w:r>
      <w:proofErr w:type="spellEnd"/>
      <w:r w:rsidRPr="002568D4">
        <w:rPr>
          <w:rFonts w:cs="Simplified Arabic" w:hint="cs"/>
          <w:rtl/>
        </w:rPr>
        <w:t xml:space="preserve"> الناتجة من قطاعات الطاقة والزراعة والنفايات في فلسطين خلال العام 2016 حوالي 4,645.5 طن مكافئ من غاز ثاني أكسيد الكربون </w:t>
      </w:r>
      <w:proofErr w:type="spellStart"/>
      <w:r w:rsidRPr="002568D4">
        <w:rPr>
          <w:rFonts w:cs="Simplified Arabic" w:hint="cs"/>
          <w:rtl/>
        </w:rPr>
        <w:t>(</w:t>
      </w:r>
      <w:proofErr w:type="spellEnd"/>
      <w:r w:rsidRPr="002568D4">
        <w:rPr>
          <w:rFonts w:cs="Simplified Arabic"/>
        </w:rPr>
        <w:t>CO</w:t>
      </w:r>
      <w:r w:rsidRPr="002568D4">
        <w:rPr>
          <w:rFonts w:cs="Simplified Arabic"/>
          <w:vertAlign w:val="subscript"/>
        </w:rPr>
        <w:t>2</w:t>
      </w:r>
      <w:proofErr w:type="spellStart"/>
      <w:r w:rsidRPr="002568D4">
        <w:rPr>
          <w:rFonts w:cs="Simplified Arabic" w:hint="cs"/>
          <w:rtl/>
        </w:rPr>
        <w:t>)،</w:t>
      </w:r>
      <w:proofErr w:type="spellEnd"/>
      <w:r w:rsidRPr="002568D4">
        <w:rPr>
          <w:rFonts w:cs="Simplified Arabic" w:hint="cs"/>
          <w:rtl/>
        </w:rPr>
        <w:t xml:space="preserve"> وتوزعت مساهمة القطاعات في </w:t>
      </w:r>
      <w:proofErr w:type="spellStart"/>
      <w:r w:rsidRPr="002568D4">
        <w:rPr>
          <w:rFonts w:cs="Simplified Arabic" w:hint="cs"/>
          <w:rtl/>
        </w:rPr>
        <w:t>المنبعثات</w:t>
      </w:r>
      <w:proofErr w:type="spellEnd"/>
      <w:r w:rsidRPr="002568D4">
        <w:rPr>
          <w:rFonts w:cs="Simplified Arabic" w:hint="cs"/>
          <w:rtl/>
        </w:rPr>
        <w:t xml:space="preserve"> بنسب تتراوح بين </w:t>
      </w:r>
      <w:proofErr w:type="spellStart"/>
      <w:r w:rsidRPr="002568D4">
        <w:rPr>
          <w:rFonts w:cs="Simplified Arabic" w:hint="cs"/>
          <w:rtl/>
        </w:rPr>
        <w:t>72.8%</w:t>
      </w:r>
      <w:proofErr w:type="spellEnd"/>
      <w:r w:rsidRPr="002568D4">
        <w:rPr>
          <w:rFonts w:cs="Simplified Arabic" w:hint="cs"/>
          <w:rtl/>
        </w:rPr>
        <w:t xml:space="preserve"> لقطاع </w:t>
      </w:r>
      <w:proofErr w:type="spellStart"/>
      <w:r w:rsidRPr="002568D4">
        <w:rPr>
          <w:rFonts w:cs="Simplified Arabic" w:hint="cs"/>
          <w:rtl/>
        </w:rPr>
        <w:t>الطاقة،</w:t>
      </w:r>
      <w:proofErr w:type="spellEnd"/>
      <w:r w:rsidRPr="002568D4">
        <w:rPr>
          <w:rFonts w:cs="Simplified Arabic" w:hint="cs"/>
          <w:rtl/>
        </w:rPr>
        <w:t xml:space="preserve"> </w:t>
      </w:r>
      <w:proofErr w:type="spellStart"/>
      <w:r w:rsidRPr="002568D4">
        <w:rPr>
          <w:rFonts w:cs="Simplified Arabic" w:hint="cs"/>
          <w:rtl/>
        </w:rPr>
        <w:t>و19.2%</w:t>
      </w:r>
      <w:proofErr w:type="spellEnd"/>
      <w:r w:rsidRPr="002568D4">
        <w:rPr>
          <w:rFonts w:cs="Simplified Arabic" w:hint="cs"/>
          <w:rtl/>
        </w:rPr>
        <w:t xml:space="preserve"> لقطاع </w:t>
      </w:r>
      <w:proofErr w:type="spellStart"/>
      <w:r w:rsidRPr="002568D4">
        <w:rPr>
          <w:rFonts w:cs="Simplified Arabic" w:hint="cs"/>
          <w:rtl/>
        </w:rPr>
        <w:t>النفايات،</w:t>
      </w:r>
      <w:proofErr w:type="spellEnd"/>
      <w:r w:rsidRPr="002568D4">
        <w:rPr>
          <w:rFonts w:cs="Simplified Arabic" w:hint="cs"/>
          <w:rtl/>
        </w:rPr>
        <w:t xml:space="preserve"> فيما بلغت مساهمة قطاع الزراعة في إحداث </w:t>
      </w:r>
      <w:proofErr w:type="spellStart"/>
      <w:r w:rsidRPr="002568D4">
        <w:rPr>
          <w:rFonts w:cs="Simplified Arabic" w:hint="cs"/>
          <w:rtl/>
        </w:rPr>
        <w:t>المنبعثات</w:t>
      </w:r>
      <w:proofErr w:type="spellEnd"/>
      <w:r w:rsidRPr="002568D4">
        <w:rPr>
          <w:rFonts w:cs="Simplified Arabic" w:hint="cs"/>
          <w:rtl/>
        </w:rPr>
        <w:t xml:space="preserve"> حوالي </w:t>
      </w:r>
      <w:proofErr w:type="spellStart"/>
      <w:r w:rsidRPr="002568D4">
        <w:rPr>
          <w:rFonts w:cs="Simplified Arabic" w:hint="cs"/>
          <w:rtl/>
        </w:rPr>
        <w:t>8.0%.</w:t>
      </w:r>
      <w:proofErr w:type="spellEnd"/>
      <w:r w:rsidRPr="002568D4">
        <w:rPr>
          <w:rFonts w:cs="Simplified Arabic" w:hint="cs"/>
          <w:rtl/>
        </w:rPr>
        <w:t xml:space="preserve">  هذا وقد قدر إجمالي نصيب الفرد من </w:t>
      </w:r>
      <w:proofErr w:type="spellStart"/>
      <w:r w:rsidRPr="002568D4">
        <w:rPr>
          <w:rFonts w:cs="Simplified Arabic" w:hint="cs"/>
          <w:rtl/>
        </w:rPr>
        <w:t>انبعاثات</w:t>
      </w:r>
      <w:proofErr w:type="spellEnd"/>
      <w:r w:rsidRPr="002568D4">
        <w:rPr>
          <w:rFonts w:cs="Simplified Arabic" w:hint="cs"/>
          <w:rtl/>
        </w:rPr>
        <w:t xml:space="preserve"> </w:t>
      </w:r>
      <w:r w:rsidRPr="002568D4">
        <w:rPr>
          <w:rFonts w:cs="Simplified Arabic"/>
        </w:rPr>
        <w:t>CO</w:t>
      </w:r>
      <w:r w:rsidRPr="002568D4">
        <w:rPr>
          <w:rFonts w:cs="Simplified Arabic"/>
          <w:vertAlign w:val="subscript"/>
        </w:rPr>
        <w:t>2</w:t>
      </w:r>
      <w:r w:rsidRPr="002568D4">
        <w:rPr>
          <w:rFonts w:cs="Simplified Arabic" w:hint="cs"/>
          <w:rtl/>
        </w:rPr>
        <w:t xml:space="preserve"> للعام 2016 في فلسطين حوالي 0.964  </w:t>
      </w:r>
      <w:proofErr w:type="spellStart"/>
      <w:r w:rsidRPr="002568D4">
        <w:rPr>
          <w:rFonts w:cs="Simplified Arabic" w:hint="cs"/>
          <w:rtl/>
        </w:rPr>
        <w:t>طن/فرد،</w:t>
      </w:r>
      <w:proofErr w:type="spellEnd"/>
      <w:r w:rsidRPr="002568D4">
        <w:rPr>
          <w:rFonts w:cs="Simplified Arabic" w:hint="cs"/>
          <w:rtl/>
        </w:rPr>
        <w:t xml:space="preserve"> ويعتبر هذا المعدل هو الأدنى مقارنة مع نظراءه في الدول المجاورة </w:t>
      </w:r>
      <w:proofErr w:type="spellStart"/>
      <w:r w:rsidRPr="002568D4">
        <w:rPr>
          <w:rFonts w:cs="Simplified Arabic" w:hint="cs"/>
          <w:rtl/>
        </w:rPr>
        <w:t>.</w:t>
      </w:r>
      <w:proofErr w:type="spellEnd"/>
    </w:p>
    <w:p w:rsidR="00D578EE" w:rsidRPr="00D578EE" w:rsidRDefault="00D578EE" w:rsidP="00D578EE">
      <w:pPr>
        <w:jc w:val="mediumKashida"/>
        <w:rPr>
          <w:rFonts w:cs="Simplified Arabic"/>
          <w:sz w:val="16"/>
          <w:szCs w:val="16"/>
          <w:rtl/>
        </w:rPr>
      </w:pPr>
    </w:p>
    <w:p w:rsidR="00D578EE" w:rsidRPr="00D578EE" w:rsidRDefault="00D578EE" w:rsidP="00D578EE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proofErr w:type="spellStart"/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>انبعاثات</w:t>
      </w:r>
      <w:proofErr w:type="spellEnd"/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غازات الدفيئة حسب</w:t>
      </w: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القطاع</w:t>
      </w:r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و</w:t>
      </w:r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>نوع المنبعث (</w:t>
      </w: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ألف</w:t>
      </w:r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طن مكافئ </w:t>
      </w:r>
      <w:r w:rsidRPr="00D578EE">
        <w:rPr>
          <w:rFonts w:ascii="Simplified Arabic" w:hAnsi="Simplified Arabic" w:cs="Simplified Arabic"/>
          <w:b/>
          <w:bCs/>
          <w:sz w:val="25"/>
          <w:szCs w:val="25"/>
        </w:rPr>
        <w:t>CO</w:t>
      </w:r>
      <w:r w:rsidRPr="00D578EE">
        <w:rPr>
          <w:rFonts w:ascii="Simplified Arabic" w:hAnsi="Simplified Arabic" w:cs="Simplified Arabic"/>
          <w:b/>
          <w:bCs/>
          <w:sz w:val="25"/>
          <w:szCs w:val="25"/>
          <w:vertAlign w:val="subscript"/>
        </w:rPr>
        <w:t>2</w:t>
      </w:r>
      <w:proofErr w:type="spellStart"/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،</w:t>
      </w:r>
      <w:proofErr w:type="spellEnd"/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2016</w:t>
      </w:r>
    </w:p>
    <w:tbl>
      <w:tblPr>
        <w:tblStyle w:val="TableGrid"/>
        <w:bidiVisual/>
        <w:tblW w:w="6001" w:type="dxa"/>
        <w:jc w:val="center"/>
        <w:tblInd w:w="-827" w:type="dxa"/>
        <w:tblLook w:val="04A0"/>
      </w:tblPr>
      <w:tblGrid>
        <w:gridCol w:w="1855"/>
        <w:gridCol w:w="2126"/>
        <w:gridCol w:w="2020"/>
      </w:tblGrid>
      <w:tr w:rsidR="00D578EE" w:rsidRPr="00D578EE" w:rsidTr="00D578EE">
        <w:trPr>
          <w:trHeight w:val="587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>القطاع/نوع المنبعث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 xml:space="preserve">كمية </w:t>
            </w:r>
            <w:proofErr w:type="spellStart"/>
            <w:r w:rsidRPr="00D578EE">
              <w:rPr>
                <w:rFonts w:asciiTheme="majorBidi" w:hAnsiTheme="majorBidi" w:cstheme="majorBidi"/>
                <w:b/>
                <w:bCs/>
                <w:rtl/>
              </w:rPr>
              <w:t>المنبعثات</w:t>
            </w:r>
            <w:proofErr w:type="spellEnd"/>
          </w:p>
          <w:p w:rsidR="00D578EE" w:rsidRPr="00D578EE" w:rsidRDefault="00D578EE" w:rsidP="00E82CB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 xml:space="preserve">الف طن مكافئ </w:t>
            </w:r>
            <w:r w:rsidRPr="00D578EE">
              <w:rPr>
                <w:rFonts w:asciiTheme="majorBidi" w:hAnsiTheme="majorBidi" w:cstheme="majorBidi"/>
                <w:b/>
                <w:bCs/>
              </w:rPr>
              <w:t>CO</w:t>
            </w:r>
            <w:r w:rsidRPr="00D578EE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 xml:space="preserve">مساهمة القطاعات في </w:t>
            </w:r>
            <w:proofErr w:type="spellStart"/>
            <w:r w:rsidRPr="00D578EE">
              <w:rPr>
                <w:rFonts w:asciiTheme="majorBidi" w:hAnsiTheme="majorBidi" w:cstheme="majorBidi"/>
                <w:b/>
                <w:bCs/>
                <w:rtl/>
              </w:rPr>
              <w:t>المنبعثات،</w:t>
            </w:r>
            <w:proofErr w:type="spellEnd"/>
            <w:r w:rsidRPr="00D578E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Pr="00D578EE">
              <w:rPr>
                <w:rFonts w:asciiTheme="majorBidi" w:hAnsiTheme="majorBidi" w:cstheme="majorBidi"/>
                <w:b/>
                <w:bCs/>
                <w:rtl/>
              </w:rPr>
              <w:t>%</w:t>
            </w:r>
            <w:proofErr w:type="spellEnd"/>
          </w:p>
        </w:tc>
      </w:tr>
      <w:tr w:rsidR="00D578EE" w:rsidRPr="00D578EE" w:rsidTr="00D578EE">
        <w:trPr>
          <w:trHeight w:val="25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>القطاع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D578EE" w:rsidRPr="00D578EE" w:rsidTr="00D578EE">
        <w:trPr>
          <w:trHeight w:val="27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 xml:space="preserve">الطاقة 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</w:rPr>
            </w:pPr>
            <w:r w:rsidRPr="00D578EE">
              <w:rPr>
                <w:rFonts w:asciiTheme="majorBidi" w:hAnsiTheme="majorBidi" w:cstheme="majorBidi"/>
              </w:rPr>
              <w:t>3,381.8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>72.8</w:t>
            </w:r>
          </w:p>
        </w:tc>
      </w:tr>
      <w:tr w:rsidR="00D578EE" w:rsidRPr="00D578EE" w:rsidTr="00D578EE">
        <w:trPr>
          <w:trHeight w:val="25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 xml:space="preserve">الزراعة 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</w:rPr>
            </w:pPr>
            <w:r w:rsidRPr="00D578EE">
              <w:rPr>
                <w:rFonts w:asciiTheme="majorBidi" w:hAnsiTheme="majorBidi" w:cstheme="majorBidi"/>
              </w:rPr>
              <w:t>369.6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>8.0</w:t>
            </w:r>
          </w:p>
        </w:tc>
      </w:tr>
      <w:tr w:rsidR="00D578EE" w:rsidRPr="00D578EE" w:rsidTr="00D578EE">
        <w:trPr>
          <w:trHeight w:val="27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 xml:space="preserve">النفايات 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</w:rPr>
            </w:pPr>
            <w:r w:rsidRPr="00D578EE">
              <w:rPr>
                <w:rFonts w:asciiTheme="majorBidi" w:hAnsiTheme="majorBidi" w:cstheme="majorBidi"/>
              </w:rPr>
              <w:t>894.1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>19.2</w:t>
            </w:r>
          </w:p>
        </w:tc>
      </w:tr>
      <w:tr w:rsidR="00D578EE" w:rsidRPr="00D578EE" w:rsidTr="00D578EE">
        <w:trPr>
          <w:trHeight w:val="27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  <w:b/>
                <w:bCs/>
              </w:rPr>
            </w:pPr>
            <w:r w:rsidRPr="00D578EE">
              <w:rPr>
                <w:rFonts w:asciiTheme="majorBidi" w:hAnsiTheme="majorBidi" w:cstheme="majorBidi"/>
                <w:b/>
                <w:bCs/>
              </w:rPr>
              <w:t>4,645.5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  <w:tr w:rsidR="00D578EE" w:rsidRPr="00D578EE" w:rsidTr="00D578EE">
        <w:trPr>
          <w:trHeight w:val="27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>نوع المنبعث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D578EE" w:rsidRPr="00D578EE" w:rsidTr="00D578EE">
        <w:trPr>
          <w:trHeight w:val="27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D578EE">
              <w:rPr>
                <w:rFonts w:asciiTheme="majorBidi" w:hAnsiTheme="majorBidi" w:cstheme="majorBidi"/>
              </w:rPr>
              <w:t>CO</w:t>
            </w:r>
            <w:r w:rsidRPr="00D578EE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</w:rPr>
            </w:pPr>
            <w:r w:rsidRPr="00D578EE">
              <w:rPr>
                <w:rFonts w:asciiTheme="majorBidi" w:hAnsiTheme="majorBidi" w:cstheme="majorBidi"/>
              </w:rPr>
              <w:t>3,254.5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>74.0</w:t>
            </w:r>
          </w:p>
        </w:tc>
      </w:tr>
      <w:tr w:rsidR="00D578EE" w:rsidRPr="00D578EE" w:rsidTr="00D578EE">
        <w:trPr>
          <w:trHeight w:val="25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</w:rPr>
              <w:t>CH</w:t>
            </w:r>
            <w:r w:rsidRPr="00D578EE">
              <w:rPr>
                <w:rFonts w:asciiTheme="majorBidi" w:hAnsiTheme="majorBidi" w:cstheme="majorBidi"/>
                <w:vertAlign w:val="subscript"/>
              </w:rPr>
              <w:t>4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</w:rPr>
            </w:pPr>
            <w:r w:rsidRPr="00D578EE">
              <w:rPr>
                <w:rFonts w:asciiTheme="majorBidi" w:hAnsiTheme="majorBidi" w:cstheme="majorBidi"/>
              </w:rPr>
              <w:t>927.6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>17.3</w:t>
            </w:r>
          </w:p>
        </w:tc>
      </w:tr>
      <w:tr w:rsidR="00D578EE" w:rsidRPr="00D578EE" w:rsidTr="00D578EE">
        <w:trPr>
          <w:trHeight w:val="27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</w:rPr>
              <w:t>N</w:t>
            </w:r>
            <w:r w:rsidRPr="00D578EE">
              <w:rPr>
                <w:rFonts w:asciiTheme="majorBidi" w:hAnsiTheme="majorBidi" w:cstheme="majorBidi"/>
                <w:vertAlign w:val="subscript"/>
              </w:rPr>
              <w:t>2</w:t>
            </w:r>
            <w:r w:rsidRPr="00D578EE">
              <w:rPr>
                <w:rFonts w:asciiTheme="majorBidi" w:hAnsiTheme="majorBidi" w:cstheme="majorBidi"/>
              </w:rPr>
              <w:t>O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</w:rPr>
            </w:pPr>
            <w:r w:rsidRPr="00D578EE">
              <w:rPr>
                <w:rFonts w:asciiTheme="majorBidi" w:hAnsiTheme="majorBidi" w:cstheme="majorBidi"/>
              </w:rPr>
              <w:t>463.4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D578EE">
              <w:rPr>
                <w:rFonts w:asciiTheme="majorBidi" w:hAnsiTheme="majorBidi" w:cstheme="majorBidi"/>
                <w:rtl/>
              </w:rPr>
              <w:t>8.7</w:t>
            </w:r>
          </w:p>
        </w:tc>
      </w:tr>
      <w:tr w:rsidR="00D578EE" w:rsidRPr="00D578EE" w:rsidTr="00D578EE">
        <w:trPr>
          <w:trHeight w:val="274"/>
          <w:jc w:val="center"/>
        </w:trPr>
        <w:tc>
          <w:tcPr>
            <w:tcW w:w="1855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2126" w:type="dxa"/>
          </w:tcPr>
          <w:p w:rsidR="00D578EE" w:rsidRPr="00D578EE" w:rsidRDefault="00D578EE" w:rsidP="00E82CBC">
            <w:pPr>
              <w:ind w:firstLine="212"/>
              <w:rPr>
                <w:rFonts w:asciiTheme="majorBidi" w:hAnsiTheme="majorBidi" w:cstheme="majorBidi"/>
                <w:b/>
                <w:bCs/>
              </w:rPr>
            </w:pPr>
            <w:r w:rsidRPr="00D578EE">
              <w:rPr>
                <w:rFonts w:asciiTheme="majorBidi" w:hAnsiTheme="majorBidi" w:cstheme="majorBidi"/>
                <w:b/>
                <w:bCs/>
              </w:rPr>
              <w:t>4,645.5</w:t>
            </w:r>
          </w:p>
        </w:tc>
        <w:tc>
          <w:tcPr>
            <w:tcW w:w="2020" w:type="dxa"/>
          </w:tcPr>
          <w:p w:rsidR="00D578EE" w:rsidRPr="00D578EE" w:rsidRDefault="00D578EE" w:rsidP="00E82CB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D578EE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</w:tbl>
    <w:p w:rsidR="00D578EE" w:rsidRDefault="00D578EE" w:rsidP="00D578EE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D578EE" w:rsidRDefault="00D578EE" w:rsidP="00D578EE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D578EE" w:rsidRDefault="00D578EE" w:rsidP="00D578EE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D578EE" w:rsidRDefault="00D578EE" w:rsidP="00D578EE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D578EE" w:rsidRDefault="00D578EE" w:rsidP="00D578EE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D578EE" w:rsidRDefault="00D578EE" w:rsidP="00D578EE">
      <w:pPr>
        <w:jc w:val="both"/>
        <w:rPr>
          <w:rFonts w:cs="Simplified Arabic" w:hint="cs"/>
          <w:b/>
          <w:bCs/>
          <w:sz w:val="16"/>
          <w:szCs w:val="16"/>
          <w:rtl/>
        </w:rPr>
      </w:pPr>
    </w:p>
    <w:p w:rsidR="00D578EE" w:rsidRPr="00D578EE" w:rsidRDefault="00D578EE" w:rsidP="00D578EE">
      <w:pPr>
        <w:jc w:val="both"/>
        <w:rPr>
          <w:rFonts w:cs="Simplified Arabic"/>
          <w:b/>
          <w:bCs/>
          <w:sz w:val="16"/>
          <w:szCs w:val="16"/>
        </w:rPr>
      </w:pPr>
    </w:p>
    <w:p w:rsidR="00D578EE" w:rsidRPr="00D578EE" w:rsidRDefault="00D578EE" w:rsidP="00D578EE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lastRenderedPageBreak/>
        <w:t>83</w:t>
      </w:r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proofErr w:type="spellStart"/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>لتر/</w:t>
      </w:r>
      <w:proofErr w:type="spellEnd"/>
      <w:r w:rsidRPr="00D578EE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r w:rsidRPr="00D578EE">
        <w:rPr>
          <w:rFonts w:ascii="Simplified Arabic" w:hAnsi="Simplified Arabic" w:cs="Simplified Arabic"/>
          <w:b/>
          <w:bCs/>
          <w:sz w:val="25"/>
          <w:szCs w:val="25"/>
          <w:rtl/>
        </w:rPr>
        <w:t>يوم معدل استهلاك الفرد الفلسطيني من المياه</w:t>
      </w:r>
    </w:p>
    <w:p w:rsidR="00D578EE" w:rsidRPr="007C27B5" w:rsidRDefault="00D578EE" w:rsidP="00D578EE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بلغ </w:t>
      </w:r>
      <w:r w:rsidRPr="007C27B5">
        <w:rPr>
          <w:rFonts w:ascii="Simplified Arabic" w:hAnsi="Simplified Arabic" w:cs="Simplified Arabic"/>
          <w:rtl/>
        </w:rPr>
        <w:t xml:space="preserve">معدل استهلاك الفرد الفلسطيني من المياه في </w:t>
      </w:r>
      <w:r w:rsidRPr="007C27B5">
        <w:rPr>
          <w:rFonts w:ascii="Simplified Arabic" w:hAnsi="Simplified Arabic" w:cs="Simplified Arabic" w:hint="cs"/>
          <w:rtl/>
        </w:rPr>
        <w:t>فلسطين</w:t>
      </w:r>
      <w:r>
        <w:rPr>
          <w:rFonts w:ascii="Simplified Arabic" w:hAnsi="Simplified Arabic" w:cs="Simplified Arabic" w:hint="cs"/>
          <w:rtl/>
        </w:rPr>
        <w:t xml:space="preserve"> خلال عام 2016 حوالي </w:t>
      </w:r>
      <w:r w:rsidRPr="007C27B5">
        <w:rPr>
          <w:rFonts w:ascii="Simplified Arabic" w:hAnsi="Simplified Arabic" w:cs="Simplified Arabic" w:hint="cs"/>
          <w:rtl/>
        </w:rPr>
        <w:t>83</w:t>
      </w:r>
      <w:r w:rsidRPr="007C27B5">
        <w:rPr>
          <w:rFonts w:ascii="Simplified Arabic" w:hAnsi="Simplified Arabic" w:cs="Simplified Arabic"/>
          <w:rtl/>
        </w:rPr>
        <w:t xml:space="preserve"> لتر</w:t>
      </w:r>
      <w:r w:rsidRPr="007C27B5">
        <w:rPr>
          <w:rFonts w:ascii="Simplified Arabic" w:hAnsi="Simplified Arabic" w:cs="Simplified Arabic"/>
        </w:rPr>
        <w:t xml:space="preserve"> /</w:t>
      </w:r>
      <w:proofErr w:type="spellStart"/>
      <w:r w:rsidRPr="007C27B5">
        <w:rPr>
          <w:rFonts w:ascii="Simplified Arabic" w:hAnsi="Simplified Arabic" w:cs="Simplified Arabic"/>
          <w:rtl/>
        </w:rPr>
        <w:t>يوم،</w:t>
      </w:r>
      <w:proofErr w:type="spellEnd"/>
      <w:r w:rsidRPr="007C27B5">
        <w:rPr>
          <w:rFonts w:ascii="Simplified Arabic" w:hAnsi="Simplified Arabic" w:cs="Simplified Arabic"/>
          <w:rtl/>
        </w:rPr>
        <w:t xml:space="preserve"> ويتراوح هذا المعدل بين 8</w:t>
      </w:r>
      <w:r w:rsidRPr="007C27B5">
        <w:rPr>
          <w:rFonts w:ascii="Simplified Arabic" w:hAnsi="Simplified Arabic" w:cs="Simplified Arabic" w:hint="cs"/>
          <w:rtl/>
        </w:rPr>
        <w:t>2</w:t>
      </w:r>
      <w:r w:rsidRPr="007C27B5">
        <w:rPr>
          <w:rFonts w:ascii="Simplified Arabic" w:hAnsi="Simplified Arabic" w:cs="Simplified Arabic"/>
          <w:rtl/>
        </w:rPr>
        <w:t xml:space="preserve">.3 </w:t>
      </w:r>
      <w:proofErr w:type="spellStart"/>
      <w:r w:rsidRPr="007C27B5">
        <w:rPr>
          <w:rFonts w:ascii="Simplified Arabic" w:hAnsi="Simplified Arabic" w:cs="Simplified Arabic"/>
          <w:rtl/>
        </w:rPr>
        <w:t>لتر/</w:t>
      </w:r>
      <w:proofErr w:type="spellEnd"/>
      <w:r w:rsidRPr="007C27B5">
        <w:rPr>
          <w:rFonts w:ascii="Simplified Arabic" w:hAnsi="Simplified Arabic" w:cs="Simplified Arabic" w:hint="cs"/>
          <w:rtl/>
        </w:rPr>
        <w:t xml:space="preserve"> </w:t>
      </w:r>
      <w:r w:rsidRPr="007C27B5">
        <w:rPr>
          <w:rFonts w:ascii="Simplified Arabic" w:hAnsi="Simplified Arabic" w:cs="Simplified Arabic"/>
          <w:rtl/>
        </w:rPr>
        <w:t xml:space="preserve">يوم في الضفة </w:t>
      </w:r>
      <w:proofErr w:type="spellStart"/>
      <w:r w:rsidRPr="007C27B5">
        <w:rPr>
          <w:rFonts w:ascii="Simplified Arabic" w:hAnsi="Simplified Arabic" w:cs="Simplified Arabic"/>
          <w:rtl/>
        </w:rPr>
        <w:t>الغربية,</w:t>
      </w:r>
      <w:proofErr w:type="spellEnd"/>
      <w:r w:rsidRPr="007C27B5">
        <w:rPr>
          <w:rFonts w:ascii="Simplified Arabic" w:hAnsi="Simplified Arabic" w:cs="Simplified Arabic"/>
          <w:rtl/>
        </w:rPr>
        <w:t xml:space="preserve"> </w:t>
      </w:r>
      <w:proofErr w:type="spellStart"/>
      <w:r w:rsidRPr="007C27B5">
        <w:rPr>
          <w:rFonts w:ascii="Simplified Arabic" w:hAnsi="Simplified Arabic" w:cs="Simplified Arabic"/>
          <w:rtl/>
        </w:rPr>
        <w:t>و</w:t>
      </w:r>
      <w:r w:rsidRPr="007C27B5">
        <w:rPr>
          <w:rFonts w:ascii="Simplified Arabic" w:hAnsi="Simplified Arabic" w:cs="Simplified Arabic" w:hint="cs"/>
          <w:rtl/>
        </w:rPr>
        <w:t>84</w:t>
      </w:r>
      <w:proofErr w:type="spellEnd"/>
      <w:r w:rsidRPr="007C27B5">
        <w:rPr>
          <w:rFonts w:ascii="Simplified Arabic" w:hAnsi="Simplified Arabic" w:cs="Simplified Arabic"/>
          <w:rtl/>
        </w:rPr>
        <w:t xml:space="preserve"> لتر/يوم في قطاع غزة.</w:t>
      </w:r>
      <w:r>
        <w:rPr>
          <w:rFonts w:ascii="Simplified Arabic" w:hAnsi="Simplified Arabic" w:cs="Simplified Arabic" w:hint="cs"/>
          <w:rtl/>
        </w:rPr>
        <w:t xml:space="preserve">  </w:t>
      </w:r>
      <w:r w:rsidRPr="009F41D3">
        <w:rPr>
          <w:rFonts w:cs="Simplified Arabic" w:hint="cs"/>
          <w:sz w:val="26"/>
          <w:szCs w:val="26"/>
          <w:rtl/>
        </w:rPr>
        <w:t xml:space="preserve">علماً بأن ما يزيد عن </w:t>
      </w:r>
      <w:proofErr w:type="spellStart"/>
      <w:r w:rsidRPr="009F41D3">
        <w:rPr>
          <w:rFonts w:cs="Simplified Arabic" w:hint="cs"/>
          <w:sz w:val="26"/>
          <w:szCs w:val="26"/>
          <w:rtl/>
        </w:rPr>
        <w:t>97%</w:t>
      </w:r>
      <w:proofErr w:type="spellEnd"/>
      <w:r w:rsidRPr="009F41D3">
        <w:rPr>
          <w:rFonts w:cs="Simplified Arabic" w:hint="cs"/>
          <w:sz w:val="26"/>
          <w:szCs w:val="26"/>
          <w:rtl/>
        </w:rPr>
        <w:t xml:space="preserve"> من مياه قطاع غزة لا تنطبق عليها معايي</w:t>
      </w:r>
      <w:r w:rsidRPr="009F41D3">
        <w:rPr>
          <w:rFonts w:cs="Simplified Arabic" w:hint="eastAsia"/>
          <w:sz w:val="26"/>
          <w:szCs w:val="26"/>
          <w:rtl/>
        </w:rPr>
        <w:t>ر</w:t>
      </w:r>
      <w:r w:rsidRPr="009F41D3">
        <w:rPr>
          <w:rFonts w:cs="Simplified Arabic" w:hint="cs"/>
          <w:sz w:val="26"/>
          <w:szCs w:val="26"/>
          <w:rtl/>
        </w:rPr>
        <w:t xml:space="preserve"> منظمة الصحة العالمية لمياه الشرب</w:t>
      </w:r>
      <w:proofErr w:type="spellStart"/>
      <w:r w:rsidRPr="009F41D3">
        <w:rPr>
          <w:rFonts w:cs="Simplified Arabic" w:hint="cs"/>
          <w:sz w:val="26"/>
          <w:szCs w:val="26"/>
          <w:rtl/>
          <w:lang w:bidi="ar-JO"/>
        </w:rPr>
        <w:t>،</w:t>
      </w:r>
      <w:proofErr w:type="spellEnd"/>
      <w:r w:rsidRPr="009F41D3">
        <w:rPr>
          <w:rFonts w:cs="Simplified Arabic" w:hint="cs"/>
          <w:sz w:val="26"/>
          <w:szCs w:val="26"/>
          <w:rtl/>
          <w:lang w:bidi="ar-JO"/>
        </w:rPr>
        <w:t xml:space="preserve"> وهي من حيث الكمية أقل من الحد الأدنى الذي توصي </w:t>
      </w:r>
      <w:proofErr w:type="spellStart"/>
      <w:r w:rsidRPr="009F41D3">
        <w:rPr>
          <w:rFonts w:cs="Simplified Arabic" w:hint="cs"/>
          <w:sz w:val="26"/>
          <w:szCs w:val="26"/>
          <w:rtl/>
          <w:lang w:bidi="ar-JO"/>
        </w:rPr>
        <w:t>به</w:t>
      </w:r>
      <w:proofErr w:type="spellEnd"/>
      <w:r w:rsidRPr="009F41D3">
        <w:rPr>
          <w:rFonts w:cs="Simplified Arabic" w:hint="cs"/>
          <w:sz w:val="26"/>
          <w:szCs w:val="26"/>
          <w:rtl/>
          <w:lang w:bidi="ar-JO"/>
        </w:rPr>
        <w:t xml:space="preserve"> المنظمة ذاتها وهو (100 لتر/فرد/يوم</w:t>
      </w:r>
      <w:proofErr w:type="spellStart"/>
      <w:r w:rsidRPr="009F41D3">
        <w:rPr>
          <w:rFonts w:cs="Simplified Arabic" w:hint="cs"/>
          <w:sz w:val="26"/>
          <w:szCs w:val="26"/>
          <w:rtl/>
          <w:lang w:bidi="ar-JO"/>
        </w:rPr>
        <w:t>)</w:t>
      </w:r>
      <w:proofErr w:type="spellEnd"/>
      <w:r w:rsidRPr="009F41D3">
        <w:rPr>
          <w:rFonts w:cs="Simplified Arabic" w:hint="cs"/>
          <w:sz w:val="26"/>
          <w:szCs w:val="26"/>
          <w:rtl/>
          <w:lang w:bidi="ar-JO"/>
        </w:rPr>
        <w:t xml:space="preserve"> كحد أدنى</w:t>
      </w:r>
      <w:r>
        <w:rPr>
          <w:rFonts w:cs="Simplified Arabic" w:hint="cs"/>
          <w:sz w:val="26"/>
          <w:szCs w:val="26"/>
          <w:rtl/>
          <w:lang w:bidi="ar-JO"/>
        </w:rPr>
        <w:t>.</w:t>
      </w:r>
    </w:p>
    <w:p w:rsidR="00D578EE" w:rsidRPr="00D578EE" w:rsidRDefault="00D578EE" w:rsidP="00D578EE">
      <w:pPr>
        <w:jc w:val="both"/>
        <w:rPr>
          <w:rFonts w:cs="Simplified Arabic"/>
          <w:b/>
          <w:bCs/>
          <w:sz w:val="16"/>
          <w:szCs w:val="16"/>
        </w:rPr>
      </w:pPr>
    </w:p>
    <w:p w:rsidR="00D578EE" w:rsidRPr="00D578EE" w:rsidRDefault="00D578EE" w:rsidP="00D578EE">
      <w:pPr>
        <w:jc w:val="both"/>
        <w:rPr>
          <w:rFonts w:cs="Simplified Arabic"/>
          <w:b/>
          <w:bCs/>
          <w:color w:val="FF0000"/>
          <w:sz w:val="25"/>
          <w:szCs w:val="25"/>
        </w:rPr>
      </w:pPr>
      <w:r w:rsidRPr="00D578EE">
        <w:rPr>
          <w:rFonts w:cs="Simplified Arabic" w:hint="cs"/>
          <w:b/>
          <w:bCs/>
          <w:sz w:val="25"/>
          <w:szCs w:val="25"/>
          <w:rtl/>
        </w:rPr>
        <w:t xml:space="preserve">أكثر من </w:t>
      </w:r>
      <w:proofErr w:type="spellStart"/>
      <w:r w:rsidRPr="00D578EE">
        <w:rPr>
          <w:rFonts w:cs="Simplified Arabic" w:hint="cs"/>
          <w:b/>
          <w:bCs/>
          <w:sz w:val="25"/>
          <w:szCs w:val="25"/>
          <w:rtl/>
        </w:rPr>
        <w:t>60%</w:t>
      </w:r>
      <w:proofErr w:type="spellEnd"/>
      <w:r w:rsidRPr="00D578EE">
        <w:rPr>
          <w:rFonts w:cs="Simplified Arabic" w:hint="cs"/>
          <w:b/>
          <w:bCs/>
          <w:sz w:val="25"/>
          <w:szCs w:val="25"/>
          <w:rtl/>
        </w:rPr>
        <w:t xml:space="preserve"> من الأفراد يستخدمون مياه الشرب الآمنة</w:t>
      </w:r>
    </w:p>
    <w:p w:rsidR="00D578EE" w:rsidRPr="007C27B5" w:rsidRDefault="00D578EE" w:rsidP="00D578EE">
      <w:pPr>
        <w:jc w:val="both"/>
        <w:rPr>
          <w:rFonts w:cs="Simplified Arabic"/>
          <w:rtl/>
        </w:rPr>
      </w:pPr>
      <w:r w:rsidRPr="007C27B5">
        <w:rPr>
          <w:rFonts w:cs="Simplified Arabic" w:hint="cs"/>
          <w:rtl/>
        </w:rPr>
        <w:t>تفيد</w:t>
      </w:r>
      <w:r w:rsidRPr="007C27B5">
        <w:rPr>
          <w:rFonts w:cs="Simplified Arabic"/>
          <w:rtl/>
        </w:rPr>
        <w:t xml:space="preserve"> </w:t>
      </w:r>
      <w:r w:rsidRPr="007C27B5">
        <w:rPr>
          <w:rFonts w:cs="Simplified Arabic" w:hint="cs"/>
          <w:rtl/>
        </w:rPr>
        <w:t xml:space="preserve">بيانات التعداد العام للسكان والمساكن والمنشآت 2017 </w:t>
      </w:r>
      <w:r w:rsidRPr="007C27B5">
        <w:rPr>
          <w:rFonts w:cs="Simplified Arabic"/>
          <w:rtl/>
        </w:rPr>
        <w:t xml:space="preserve">أن </w:t>
      </w:r>
      <w:proofErr w:type="spellStart"/>
      <w:r>
        <w:rPr>
          <w:rFonts w:cs="Simplified Arabic" w:hint="cs"/>
          <w:rtl/>
        </w:rPr>
        <w:t>62.4</w:t>
      </w:r>
      <w:r w:rsidRPr="007C27B5">
        <w:rPr>
          <w:rFonts w:cs="Simplified Arabic"/>
          <w:rtl/>
        </w:rPr>
        <w:t>%</w:t>
      </w:r>
      <w:proofErr w:type="spellEnd"/>
      <w:r w:rsidRPr="007C27B5">
        <w:rPr>
          <w:rFonts w:cs="Simplified Arabic"/>
          <w:rtl/>
        </w:rPr>
        <w:t xml:space="preserve"> من </w:t>
      </w:r>
      <w:r>
        <w:rPr>
          <w:rFonts w:cs="Simplified Arabic" w:hint="cs"/>
          <w:rtl/>
        </w:rPr>
        <w:t xml:space="preserve">الأفراد في </w:t>
      </w:r>
      <w:r w:rsidRPr="007C27B5">
        <w:rPr>
          <w:rFonts w:cs="Simplified Arabic"/>
          <w:rtl/>
        </w:rPr>
        <w:t xml:space="preserve">فلسطين </w:t>
      </w:r>
      <w:r>
        <w:rPr>
          <w:rFonts w:cs="Simplified Arabic" w:hint="cs"/>
          <w:rtl/>
        </w:rPr>
        <w:t xml:space="preserve">يستخدمون مياه الشرب الآمنة وذلك </w:t>
      </w:r>
      <w:r w:rsidRPr="007C27B5">
        <w:rPr>
          <w:rFonts w:cs="Simplified Arabic" w:hint="cs"/>
          <w:rtl/>
        </w:rPr>
        <w:t xml:space="preserve">حسب تعريف مؤشرات أهداف التنمية </w:t>
      </w:r>
      <w:proofErr w:type="spellStart"/>
      <w:r w:rsidRPr="007C27B5">
        <w:rPr>
          <w:rFonts w:cs="Simplified Arabic" w:hint="cs"/>
          <w:rtl/>
        </w:rPr>
        <w:t>المستدامة،</w:t>
      </w:r>
      <w:proofErr w:type="spellEnd"/>
      <w:r w:rsidRPr="007C27B5">
        <w:rPr>
          <w:rFonts w:cs="Simplified Arabic" w:hint="cs"/>
          <w:rtl/>
        </w:rPr>
        <w:t xml:space="preserve"> حيث بلغت</w:t>
      </w:r>
      <w:r w:rsidRPr="007C27B5">
        <w:rPr>
          <w:rFonts w:cs="Simplified Arabic"/>
          <w:rtl/>
        </w:rPr>
        <w:t xml:space="preserve"> هذه النسبة في </w:t>
      </w:r>
      <w:r>
        <w:rPr>
          <w:rFonts w:cs="Simplified Arabic" w:hint="cs"/>
          <w:rtl/>
        </w:rPr>
        <w:t xml:space="preserve">الضفة الغربية </w:t>
      </w:r>
      <w:proofErr w:type="spellStart"/>
      <w:r>
        <w:rPr>
          <w:rFonts w:cs="Simplified Arabic" w:hint="cs"/>
          <w:rtl/>
        </w:rPr>
        <w:t>95.1%</w:t>
      </w:r>
      <w:proofErr w:type="spellEnd"/>
      <w:r w:rsidRPr="007C27B5">
        <w:rPr>
          <w:rFonts w:cs="Simplified Arabic"/>
          <w:rtl/>
        </w:rPr>
        <w:t xml:space="preserve"> </w:t>
      </w:r>
      <w:r w:rsidRPr="007C27B5">
        <w:rPr>
          <w:rFonts w:cs="Simplified Arabic" w:hint="cs"/>
          <w:rtl/>
        </w:rPr>
        <w:t>و</w:t>
      </w:r>
      <w:r w:rsidRPr="007C27B5">
        <w:rPr>
          <w:rFonts w:cs="Simplified Arabic"/>
          <w:rtl/>
        </w:rPr>
        <w:t>في</w:t>
      </w:r>
      <w:r w:rsidRPr="007C27B5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قطاع غزة </w:t>
      </w:r>
      <w:proofErr w:type="spellStart"/>
      <w:r>
        <w:rPr>
          <w:rFonts w:cs="Simplified Arabic" w:hint="cs"/>
          <w:rtl/>
        </w:rPr>
        <w:t>11.4%</w:t>
      </w:r>
      <w:r w:rsidRPr="007C27B5">
        <w:rPr>
          <w:rFonts w:cs="Simplified Arabic" w:hint="cs"/>
          <w:rtl/>
        </w:rPr>
        <w:t>.</w:t>
      </w:r>
      <w:proofErr w:type="spellEnd"/>
      <w:r w:rsidRPr="007C27B5">
        <w:rPr>
          <w:rFonts w:cs="Simplified Arabic"/>
          <w:rtl/>
        </w:rPr>
        <w:t xml:space="preserve"> </w:t>
      </w:r>
      <w:r w:rsidRPr="007C27B5">
        <w:rPr>
          <w:rFonts w:cs="Simplified Arabic" w:hint="cs"/>
          <w:rtl/>
        </w:rPr>
        <w:t xml:space="preserve"> </w:t>
      </w:r>
    </w:p>
    <w:p w:rsidR="00D578EE" w:rsidRPr="00D578EE" w:rsidRDefault="00D578EE" w:rsidP="00D578EE">
      <w:pPr>
        <w:pStyle w:val="Title"/>
        <w:tabs>
          <w:tab w:val="center" w:pos="4536"/>
        </w:tabs>
        <w:rPr>
          <w:rFonts w:ascii="Simplified Arabic" w:hAnsi="Simplified Arabic" w:cs="Simplified Arabic"/>
          <w:sz w:val="25"/>
          <w:szCs w:val="25"/>
          <w:rtl/>
        </w:rPr>
      </w:pPr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نسبة </w:t>
      </w:r>
      <w:r w:rsidRPr="00D578EE">
        <w:rPr>
          <w:rFonts w:ascii="Simplified Arabic" w:hAnsi="Simplified Arabic" w:cs="Simplified Arabic" w:hint="cs"/>
          <w:sz w:val="25"/>
          <w:szCs w:val="25"/>
          <w:rtl/>
        </w:rPr>
        <w:t xml:space="preserve">الأفراد الذين يستخدمون مياه الشرب الآمنة </w:t>
      </w:r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في </w:t>
      </w:r>
      <w:proofErr w:type="spellStart"/>
      <w:r w:rsidRPr="00D578EE">
        <w:rPr>
          <w:rFonts w:ascii="Simplified Arabic" w:hAnsi="Simplified Arabic" w:cs="Simplified Arabic" w:hint="cs"/>
          <w:sz w:val="25"/>
          <w:szCs w:val="25"/>
          <w:rtl/>
        </w:rPr>
        <w:t>فلسطين*</w:t>
      </w:r>
      <w:proofErr w:type="spellEnd"/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 حسب </w:t>
      </w:r>
      <w:proofErr w:type="spellStart"/>
      <w:r w:rsidRPr="00D578EE">
        <w:rPr>
          <w:rFonts w:ascii="Simplified Arabic" w:hAnsi="Simplified Arabic" w:cs="Simplified Arabic"/>
          <w:sz w:val="25"/>
          <w:szCs w:val="25"/>
          <w:rtl/>
        </w:rPr>
        <w:t>المنطقة،</w:t>
      </w:r>
      <w:proofErr w:type="spellEnd"/>
      <w:r w:rsidRPr="00D578EE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D578EE">
        <w:rPr>
          <w:rFonts w:ascii="Simplified Arabic" w:hAnsi="Simplified Arabic" w:cs="Simplified Arabic" w:hint="cs"/>
          <w:sz w:val="25"/>
          <w:szCs w:val="25"/>
          <w:rtl/>
        </w:rPr>
        <w:t>2017</w:t>
      </w:r>
    </w:p>
    <w:p w:rsidR="00D578EE" w:rsidRDefault="00D578EE" w:rsidP="00D578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" w:right="57" w:firstLine="1"/>
        <w:jc w:val="center"/>
        <w:rPr>
          <w:rFonts w:cs="Simplified Arabic"/>
          <w:b/>
          <w:bCs/>
          <w:rtl/>
        </w:rPr>
      </w:pPr>
      <w:r w:rsidRPr="002B7398">
        <w:rPr>
          <w:rFonts w:cs="Simplified Arabic"/>
          <w:b/>
          <w:bCs/>
          <w:noProof/>
          <w:rtl/>
          <w:lang w:eastAsia="en-US"/>
        </w:rPr>
        <w:drawing>
          <wp:inline distT="0" distB="0" distL="0" distR="0">
            <wp:extent cx="2943225" cy="1762125"/>
            <wp:effectExtent l="0" t="0" r="0" b="0"/>
            <wp:docPr id="3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78EE" w:rsidRDefault="00D578EE" w:rsidP="00D578EE">
      <w:pPr>
        <w:ind w:left="-1" w:right="57" w:firstLine="1"/>
        <w:jc w:val="both"/>
        <w:rPr>
          <w:rFonts w:ascii="Simplified Arabic" w:hAnsi="Simplified Arabic" w:cs="Simplified Arabic" w:hint="cs"/>
          <w:sz w:val="20"/>
          <w:szCs w:val="20"/>
          <w:rtl/>
          <w:lang w:eastAsia="en-US"/>
        </w:rPr>
      </w:pPr>
    </w:p>
    <w:p w:rsidR="00D578EE" w:rsidRPr="006649A4" w:rsidRDefault="00D578EE" w:rsidP="00D578EE">
      <w:pPr>
        <w:ind w:left="-1" w:right="57" w:firstLine="1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proofErr w:type="spellStart"/>
      <w:r w:rsidRPr="006649A4">
        <w:rPr>
          <w:rFonts w:ascii="Simplified Arabic" w:hAnsi="Simplified Arabic" w:cs="Simplified Arabic"/>
          <w:sz w:val="20"/>
          <w:szCs w:val="20"/>
          <w:rtl/>
          <w:lang w:eastAsia="en-US"/>
        </w:rPr>
        <w:t>*</w:t>
      </w:r>
      <w:proofErr w:type="spellEnd"/>
      <w:r w:rsidRPr="006649A4">
        <w:rPr>
          <w:rFonts w:ascii="Simplified Arabic" w:hAnsi="Simplified Arabic" w:cs="Simplified Arabic"/>
          <w:sz w:val="20"/>
          <w:szCs w:val="20"/>
          <w:rtl/>
          <w:lang w:eastAsia="en-US"/>
        </w:rPr>
        <w:t xml:space="preserve"> البيانات لا تشمل ذلك الجزء من محافظة القدس والذي ضمه الاحتلال الإسرائيلي إليه عنوة بعيد احتلاله للضفة الغربية عام 1967.</w:t>
      </w:r>
    </w:p>
    <w:p w:rsidR="00D578EE" w:rsidRPr="00D578EE" w:rsidRDefault="00D578EE" w:rsidP="00D578EE">
      <w:pPr>
        <w:ind w:left="-1" w:right="57" w:firstLine="1"/>
        <w:jc w:val="both"/>
        <w:rPr>
          <w:rFonts w:cs="Simplified Arabic"/>
          <w:b/>
          <w:bCs/>
          <w:sz w:val="16"/>
          <w:szCs w:val="16"/>
          <w:rtl/>
        </w:rPr>
      </w:pPr>
    </w:p>
    <w:p w:rsidR="00D578EE" w:rsidRPr="00D578EE" w:rsidRDefault="00D578EE" w:rsidP="00D578EE">
      <w:pPr>
        <w:jc w:val="both"/>
        <w:rPr>
          <w:rFonts w:cs="Simplified Arabic"/>
          <w:b/>
          <w:bCs/>
          <w:color w:val="FF0000"/>
          <w:sz w:val="25"/>
          <w:szCs w:val="25"/>
        </w:rPr>
      </w:pPr>
      <w:r w:rsidRPr="00D578EE">
        <w:rPr>
          <w:rFonts w:cs="Simplified Arabic" w:hint="cs"/>
          <w:b/>
          <w:bCs/>
          <w:sz w:val="25"/>
          <w:szCs w:val="25"/>
          <w:rtl/>
        </w:rPr>
        <w:t xml:space="preserve">أكثر من </w:t>
      </w:r>
      <w:proofErr w:type="spellStart"/>
      <w:r w:rsidRPr="00D578EE">
        <w:rPr>
          <w:rFonts w:cs="Simplified Arabic" w:hint="cs"/>
          <w:b/>
          <w:bCs/>
          <w:sz w:val="25"/>
          <w:szCs w:val="25"/>
          <w:rtl/>
        </w:rPr>
        <w:t>99%</w:t>
      </w:r>
      <w:proofErr w:type="spellEnd"/>
      <w:r w:rsidRPr="00D578EE">
        <w:rPr>
          <w:rFonts w:cs="Simplified Arabic" w:hint="cs"/>
          <w:b/>
          <w:bCs/>
          <w:sz w:val="25"/>
          <w:szCs w:val="25"/>
          <w:rtl/>
        </w:rPr>
        <w:t xml:space="preserve"> من الأفراد يستخدمون الصرف الصحي المحسن </w:t>
      </w:r>
    </w:p>
    <w:p w:rsidR="00D578EE" w:rsidRDefault="00D578EE" w:rsidP="00D578EE">
      <w:pPr>
        <w:jc w:val="both"/>
        <w:rPr>
          <w:rFonts w:cs="Simplified Arabic"/>
          <w:rtl/>
        </w:rPr>
      </w:pPr>
      <w:r w:rsidRPr="005563F2">
        <w:rPr>
          <w:rFonts w:cs="Simplified Arabic" w:hint="cs"/>
          <w:rtl/>
        </w:rPr>
        <w:t>تفيد</w:t>
      </w:r>
      <w:r w:rsidRPr="005563F2">
        <w:rPr>
          <w:rFonts w:cs="Simplified Arabic"/>
          <w:rtl/>
        </w:rPr>
        <w:t xml:space="preserve"> </w:t>
      </w:r>
      <w:r w:rsidRPr="005563F2">
        <w:rPr>
          <w:rFonts w:cs="Simplified Arabic" w:hint="cs"/>
          <w:rtl/>
        </w:rPr>
        <w:t xml:space="preserve">بيانات التعداد العام للسكان والمساكن والمنشآت 2017 </w:t>
      </w:r>
      <w:r w:rsidRPr="005563F2">
        <w:rPr>
          <w:rFonts w:cs="Simplified Arabic"/>
          <w:rtl/>
        </w:rPr>
        <w:t xml:space="preserve">أن </w:t>
      </w:r>
      <w:proofErr w:type="spellStart"/>
      <w:r w:rsidRPr="005563F2">
        <w:rPr>
          <w:rFonts w:cs="Simplified Arabic" w:hint="cs"/>
          <w:rtl/>
        </w:rPr>
        <w:t>99.7</w:t>
      </w:r>
      <w:r w:rsidRPr="005563F2">
        <w:rPr>
          <w:rFonts w:cs="Simplified Arabic"/>
          <w:rtl/>
        </w:rPr>
        <w:t>%</w:t>
      </w:r>
      <w:proofErr w:type="spellEnd"/>
      <w:r w:rsidRPr="005563F2">
        <w:rPr>
          <w:rFonts w:cs="Simplified Arabic"/>
          <w:rtl/>
        </w:rPr>
        <w:t xml:space="preserve"> من </w:t>
      </w:r>
      <w:r w:rsidRPr="005563F2">
        <w:rPr>
          <w:rFonts w:cs="Simplified Arabic" w:hint="cs"/>
          <w:rtl/>
        </w:rPr>
        <w:t xml:space="preserve">الأفراد في </w:t>
      </w:r>
      <w:r w:rsidRPr="005563F2">
        <w:rPr>
          <w:rFonts w:cs="Simplified Arabic"/>
          <w:rtl/>
        </w:rPr>
        <w:t xml:space="preserve">فلسطين </w:t>
      </w:r>
      <w:r w:rsidRPr="005563F2">
        <w:rPr>
          <w:rFonts w:cs="Simplified Arabic" w:hint="cs"/>
          <w:rtl/>
        </w:rPr>
        <w:t>يستخدمون الصرف الصحي المحسن</w:t>
      </w:r>
      <w:r>
        <w:rPr>
          <w:rFonts w:cs="Simplified Arabic" w:hint="cs"/>
          <w:rtl/>
        </w:rPr>
        <w:t xml:space="preserve"> ويشمل (شبكة الصرف </w:t>
      </w:r>
      <w:proofErr w:type="spellStart"/>
      <w:r>
        <w:rPr>
          <w:rFonts w:cs="Simplified Arabic" w:hint="cs"/>
          <w:rtl/>
        </w:rPr>
        <w:t>الصحي،</w:t>
      </w:r>
      <w:proofErr w:type="spellEnd"/>
      <w:r>
        <w:rPr>
          <w:rFonts w:cs="Simplified Arabic" w:hint="cs"/>
          <w:rtl/>
        </w:rPr>
        <w:t xml:space="preserve"> والحفر الامتصاصية والصماء</w:t>
      </w:r>
      <w:proofErr w:type="spellStart"/>
      <w:r>
        <w:rPr>
          <w:rFonts w:cs="Simplified Arabic" w:hint="cs"/>
          <w:rtl/>
        </w:rPr>
        <w:t>)</w:t>
      </w:r>
      <w:proofErr w:type="spellEnd"/>
      <w:r>
        <w:rPr>
          <w:rFonts w:cs="Simplified Arabic" w:hint="cs"/>
          <w:rtl/>
        </w:rPr>
        <w:t xml:space="preserve"> </w:t>
      </w:r>
      <w:r w:rsidRPr="005563F2">
        <w:rPr>
          <w:rFonts w:cs="Simplified Arabic" w:hint="cs"/>
          <w:rtl/>
        </w:rPr>
        <w:t xml:space="preserve">حسب تعريف مؤشرات أهداف التنمية </w:t>
      </w:r>
      <w:proofErr w:type="spellStart"/>
      <w:r w:rsidRPr="005563F2">
        <w:rPr>
          <w:rFonts w:cs="Simplified Arabic" w:hint="cs"/>
          <w:rtl/>
        </w:rPr>
        <w:t>المستدامة،</w:t>
      </w:r>
      <w:proofErr w:type="spellEnd"/>
      <w:r w:rsidRPr="005563F2">
        <w:rPr>
          <w:rFonts w:cs="Simplified Arabic" w:hint="cs"/>
          <w:rtl/>
        </w:rPr>
        <w:t xml:space="preserve"> حيث بلغت</w:t>
      </w:r>
      <w:r w:rsidRPr="005563F2">
        <w:rPr>
          <w:rFonts w:cs="Simplified Arabic"/>
          <w:rtl/>
        </w:rPr>
        <w:t xml:space="preserve"> هذه النسبة في </w:t>
      </w:r>
      <w:r w:rsidRPr="005563F2">
        <w:rPr>
          <w:rFonts w:cs="Simplified Arabic" w:hint="cs"/>
          <w:rtl/>
        </w:rPr>
        <w:t xml:space="preserve">الضفة الغربية </w:t>
      </w:r>
      <w:proofErr w:type="spellStart"/>
      <w:r w:rsidRPr="005563F2">
        <w:rPr>
          <w:rFonts w:cs="Simplified Arabic" w:hint="cs"/>
          <w:rtl/>
        </w:rPr>
        <w:t>99.6%</w:t>
      </w:r>
      <w:proofErr w:type="spellEnd"/>
      <w:r w:rsidRPr="005563F2">
        <w:rPr>
          <w:rFonts w:cs="Simplified Arabic"/>
          <w:rtl/>
        </w:rPr>
        <w:t xml:space="preserve"> </w:t>
      </w:r>
      <w:r w:rsidRPr="005563F2">
        <w:rPr>
          <w:rFonts w:cs="Simplified Arabic" w:hint="cs"/>
          <w:rtl/>
        </w:rPr>
        <w:t>و</w:t>
      </w:r>
      <w:r w:rsidRPr="005563F2">
        <w:rPr>
          <w:rFonts w:cs="Simplified Arabic"/>
          <w:rtl/>
        </w:rPr>
        <w:t>في</w:t>
      </w:r>
      <w:r w:rsidRPr="005563F2">
        <w:rPr>
          <w:rFonts w:cs="Simplified Arabic" w:hint="cs"/>
          <w:rtl/>
        </w:rPr>
        <w:t xml:space="preserve"> قطاع غزة </w:t>
      </w:r>
      <w:proofErr w:type="spellStart"/>
      <w:r w:rsidRPr="005563F2">
        <w:rPr>
          <w:rFonts w:cs="Simplified Arabic" w:hint="cs"/>
          <w:rtl/>
        </w:rPr>
        <w:t>99.9</w:t>
      </w:r>
      <w:r>
        <w:rPr>
          <w:rFonts w:cs="Simplified Arabic" w:hint="cs"/>
          <w:rtl/>
        </w:rPr>
        <w:t>%،</w:t>
      </w:r>
      <w:proofErr w:type="spellEnd"/>
      <w:r>
        <w:rPr>
          <w:rFonts w:cs="Simplified Arabic" w:hint="cs"/>
          <w:rtl/>
        </w:rPr>
        <w:t xml:space="preserve"> </w:t>
      </w:r>
      <w:r w:rsidRPr="007E5D76">
        <w:rPr>
          <w:rFonts w:cs="Simplified Arabic" w:hint="cs"/>
          <w:rtl/>
        </w:rPr>
        <w:t xml:space="preserve">علما بان </w:t>
      </w:r>
      <w:r w:rsidRPr="007E5D76">
        <w:rPr>
          <w:rFonts w:cs="Simplified Arabic"/>
          <w:rtl/>
        </w:rPr>
        <w:t>البيانات لا تشمل ذلك الجزء من محافظة القدس والذي ضمه الاحتلال الإسرائيلي إليه عنوة بعيد احتلاله للضفة الغربية عام 1967.</w:t>
      </w:r>
    </w:p>
    <w:p w:rsidR="00D578EE" w:rsidRPr="00D578EE" w:rsidRDefault="00D578EE" w:rsidP="00D578EE">
      <w:pPr>
        <w:jc w:val="both"/>
        <w:rPr>
          <w:rFonts w:cs="Simplified Arabic"/>
          <w:sz w:val="16"/>
          <w:szCs w:val="16"/>
          <w:rtl/>
        </w:rPr>
      </w:pPr>
    </w:p>
    <w:p w:rsidR="00D578EE" w:rsidRPr="00D578EE" w:rsidRDefault="00D578EE" w:rsidP="00D578EE">
      <w:pPr>
        <w:jc w:val="both"/>
        <w:rPr>
          <w:rFonts w:cs="Simplified Arabic"/>
          <w:b/>
          <w:bCs/>
          <w:sz w:val="25"/>
          <w:szCs w:val="25"/>
        </w:rPr>
      </w:pPr>
      <w:r w:rsidRPr="00D578EE">
        <w:rPr>
          <w:rFonts w:cs="Simplified Arabic" w:hint="cs"/>
          <w:b/>
          <w:bCs/>
          <w:sz w:val="25"/>
          <w:szCs w:val="25"/>
          <w:rtl/>
        </w:rPr>
        <w:t>اقتصاديات قطاع البلاستيك</w:t>
      </w:r>
    </w:p>
    <w:p w:rsidR="00D578EE" w:rsidRPr="009C7775" w:rsidRDefault="00D578EE" w:rsidP="00D578EE">
      <w:pPr>
        <w:jc w:val="both"/>
        <w:rPr>
          <w:rFonts w:cs="Simplified Arabic"/>
          <w:rtl/>
        </w:rPr>
      </w:pPr>
      <w:r w:rsidRPr="009C7775">
        <w:rPr>
          <w:rFonts w:cs="Simplified Arabic" w:hint="cs"/>
          <w:rtl/>
        </w:rPr>
        <w:t>أظهر</w:t>
      </w:r>
      <w:r>
        <w:rPr>
          <w:rFonts w:cs="Simplified Arabic" w:hint="cs"/>
          <w:rtl/>
        </w:rPr>
        <w:t xml:space="preserve">ت بيانات </w:t>
      </w:r>
      <w:r w:rsidRPr="009C7775">
        <w:rPr>
          <w:rFonts w:cs="Simplified Arabic" w:hint="cs"/>
          <w:rtl/>
        </w:rPr>
        <w:t xml:space="preserve">وزارة الحكم المحلي </w:t>
      </w:r>
      <w:r>
        <w:rPr>
          <w:rFonts w:cs="Simplified Arabic" w:hint="cs"/>
          <w:rtl/>
        </w:rPr>
        <w:t xml:space="preserve">أن </w:t>
      </w:r>
      <w:r w:rsidRPr="009C7775">
        <w:rPr>
          <w:rFonts w:cs="Simplified Arabic" w:hint="cs"/>
          <w:rtl/>
        </w:rPr>
        <w:t xml:space="preserve">البلاستيك يشكل ما نسبته </w:t>
      </w:r>
      <w:proofErr w:type="spellStart"/>
      <w:r w:rsidRPr="009C7775">
        <w:rPr>
          <w:rFonts w:cs="Simplified Arabic" w:hint="cs"/>
          <w:rtl/>
        </w:rPr>
        <w:t>14.6%</w:t>
      </w:r>
      <w:proofErr w:type="spellEnd"/>
      <w:r w:rsidRPr="009C7775">
        <w:rPr>
          <w:rFonts w:cs="Simplified Arabic" w:hint="cs"/>
          <w:rtl/>
        </w:rPr>
        <w:t xml:space="preserve"> من النفايات الصلبة البلدية في الضفة الغربية </w:t>
      </w:r>
      <w:proofErr w:type="spellStart"/>
      <w:r w:rsidRPr="009C7775">
        <w:rPr>
          <w:rFonts w:cs="Simplified Arabic" w:hint="cs"/>
          <w:rtl/>
        </w:rPr>
        <w:t>و12.0%</w:t>
      </w:r>
      <w:proofErr w:type="spellEnd"/>
      <w:r w:rsidRPr="009C7775">
        <w:rPr>
          <w:rFonts w:cs="Simplified Arabic" w:hint="cs"/>
          <w:rtl/>
        </w:rPr>
        <w:t xml:space="preserve"> في قطاع غزة.</w:t>
      </w:r>
    </w:p>
    <w:p w:rsidR="00D578EE" w:rsidRPr="00D578EE" w:rsidRDefault="00D578EE" w:rsidP="00D578EE">
      <w:pPr>
        <w:jc w:val="both"/>
        <w:rPr>
          <w:rFonts w:cs="Simplified Arabic"/>
          <w:sz w:val="16"/>
          <w:szCs w:val="16"/>
        </w:rPr>
      </w:pPr>
    </w:p>
    <w:p w:rsidR="00D578EE" w:rsidRPr="009C7775" w:rsidRDefault="00D578EE" w:rsidP="00D578EE">
      <w:pPr>
        <w:jc w:val="both"/>
        <w:rPr>
          <w:rFonts w:cs="Simplified Arabic"/>
          <w:rtl/>
        </w:rPr>
      </w:pPr>
      <w:r w:rsidRPr="009C7775">
        <w:rPr>
          <w:rFonts w:cs="Simplified Arabic" w:hint="cs"/>
          <w:rtl/>
        </w:rPr>
        <w:t xml:space="preserve">وتشير بيانات التعداد العام للسكان والمساكن والمنشآت 2017 إلى إن </w:t>
      </w:r>
      <w:r w:rsidRPr="009C7775">
        <w:rPr>
          <w:rFonts w:cs="Simplified Arabic"/>
          <w:rtl/>
        </w:rPr>
        <w:t xml:space="preserve">عدد المنشات العاملة </w:t>
      </w:r>
      <w:r w:rsidRPr="009C7775">
        <w:rPr>
          <w:rFonts w:cs="Simplified Arabic" w:hint="cs"/>
          <w:rtl/>
        </w:rPr>
        <w:t xml:space="preserve">في مجال تصنيع وبيع البلاستيك </w:t>
      </w:r>
      <w:r w:rsidRPr="009C7775">
        <w:rPr>
          <w:rFonts w:cs="Simplified Arabic"/>
          <w:rtl/>
        </w:rPr>
        <w:t xml:space="preserve">في القطاع الخاص والقطاع </w:t>
      </w:r>
      <w:r w:rsidRPr="009C7775">
        <w:rPr>
          <w:rFonts w:cs="Simplified Arabic" w:hint="cs"/>
          <w:rtl/>
        </w:rPr>
        <w:t>الأهلي</w:t>
      </w:r>
      <w:r w:rsidRPr="009C7775">
        <w:rPr>
          <w:rFonts w:cs="Simplified Arabic"/>
          <w:rtl/>
        </w:rPr>
        <w:t xml:space="preserve"> والشركات الحكومية في فلسطين </w:t>
      </w:r>
      <w:r w:rsidRPr="009C7775">
        <w:rPr>
          <w:rFonts w:cs="Simplified Arabic" w:hint="cs"/>
          <w:rtl/>
        </w:rPr>
        <w:t>خلال العام 2017 بلغ 327 منشأة من إجمالي المنشآت الاقتصادية العاملة (158,573</w:t>
      </w:r>
      <w:proofErr w:type="spellStart"/>
      <w:r w:rsidRPr="009C7775">
        <w:rPr>
          <w:rFonts w:cs="Simplified Arabic" w:hint="cs"/>
          <w:rtl/>
        </w:rPr>
        <w:t>)</w:t>
      </w:r>
      <w:proofErr w:type="spellEnd"/>
      <w:r w:rsidRPr="009C7775">
        <w:rPr>
          <w:rFonts w:cs="Simplified Arabic" w:hint="cs"/>
          <w:rtl/>
        </w:rPr>
        <w:t xml:space="preserve"> في </w:t>
      </w:r>
      <w:proofErr w:type="spellStart"/>
      <w:r w:rsidRPr="009C7775">
        <w:rPr>
          <w:rFonts w:cs="Simplified Arabic" w:hint="cs"/>
          <w:rtl/>
        </w:rPr>
        <w:t>فلسطين،</w:t>
      </w:r>
      <w:proofErr w:type="spellEnd"/>
      <w:r w:rsidRPr="009C7775">
        <w:rPr>
          <w:rFonts w:cs="Simplified Arabic" w:hint="cs"/>
          <w:rtl/>
        </w:rPr>
        <w:t xml:space="preserve"> </w:t>
      </w:r>
      <w:proofErr w:type="spellStart"/>
      <w:r w:rsidRPr="009C7775">
        <w:rPr>
          <w:rFonts w:cs="Simplified Arabic" w:hint="cs"/>
          <w:rtl/>
        </w:rPr>
        <w:t>ويشتغل</w:t>
      </w:r>
      <w:proofErr w:type="spellEnd"/>
      <w:r w:rsidRPr="009C7775">
        <w:rPr>
          <w:rFonts w:cs="Simplified Arabic" w:hint="cs"/>
          <w:rtl/>
        </w:rPr>
        <w:t xml:space="preserve"> في هذا القطاع 2,361 عامل من إجمالي العاملين (444,034</w:t>
      </w:r>
      <w:proofErr w:type="spellStart"/>
      <w:r w:rsidRPr="009C7775">
        <w:rPr>
          <w:rFonts w:cs="Simplified Arabic" w:hint="cs"/>
          <w:rtl/>
        </w:rPr>
        <w:t>).</w:t>
      </w:r>
      <w:proofErr w:type="spellEnd"/>
    </w:p>
    <w:p w:rsidR="00D578EE" w:rsidRPr="00D578EE" w:rsidRDefault="00D578EE" w:rsidP="00D578EE">
      <w:pPr>
        <w:ind w:left="-1" w:right="57" w:firstLine="1"/>
        <w:jc w:val="both"/>
        <w:rPr>
          <w:rFonts w:cs="Simplified Arabic"/>
          <w:sz w:val="16"/>
          <w:szCs w:val="16"/>
          <w:rtl/>
        </w:rPr>
      </w:pPr>
    </w:p>
    <w:p w:rsidR="00D578EE" w:rsidRDefault="00D578EE" w:rsidP="00D578EE">
      <w:pPr>
        <w:ind w:left="-1" w:right="57" w:firstLine="1"/>
        <w:jc w:val="both"/>
        <w:rPr>
          <w:rFonts w:cs="Simplified Arabic"/>
          <w:rtl/>
        </w:rPr>
      </w:pPr>
      <w:r w:rsidRPr="009C7775">
        <w:rPr>
          <w:rFonts w:cs="Simplified Arabic" w:hint="cs"/>
          <w:rtl/>
        </w:rPr>
        <w:t xml:space="preserve">هذا وبلغت القيمة المضافة للمنشآت العاملة في مجال البلاستيك </w:t>
      </w:r>
      <w:r>
        <w:rPr>
          <w:rFonts w:cs="Simplified Arabic" w:hint="cs"/>
          <w:rtl/>
        </w:rPr>
        <w:t>56,931.8</w:t>
      </w:r>
      <w:r w:rsidRPr="009C7775">
        <w:rPr>
          <w:rFonts w:cs="Simplified Arabic" w:hint="cs"/>
          <w:rtl/>
        </w:rPr>
        <w:t xml:space="preserve"> ألف دولار أمريكي خلال العام 2016 من إجمالي القيمة المضافة لقطاع الصناعة والتي بلغت 1,776,667.2 ألف دولار أمريكي.</w:t>
      </w:r>
    </w:p>
    <w:p w:rsidR="00D578EE" w:rsidRPr="00D578EE" w:rsidRDefault="00D578EE" w:rsidP="00D578EE">
      <w:pPr>
        <w:ind w:left="-1" w:right="57" w:firstLine="1"/>
        <w:jc w:val="both"/>
        <w:rPr>
          <w:rFonts w:cs="Simplified Arabic"/>
          <w:sz w:val="16"/>
          <w:szCs w:val="16"/>
          <w:rtl/>
        </w:rPr>
      </w:pPr>
    </w:p>
    <w:p w:rsidR="00623904" w:rsidRPr="00D578EE" w:rsidRDefault="00D578EE" w:rsidP="00D578EE">
      <w:pPr>
        <w:ind w:left="-1" w:right="57" w:firstLine="1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أما بخصوص </w:t>
      </w:r>
      <w:r>
        <w:rPr>
          <w:rFonts w:cs="Simplified Arabic"/>
          <w:rtl/>
        </w:rPr>
        <w:t>إجمالي قيمة الواردات الفلسطينية</w:t>
      </w:r>
      <w:r w:rsidRPr="00BE7B63">
        <w:rPr>
          <w:rFonts w:cs="Simplified Arabic"/>
          <w:rtl/>
        </w:rPr>
        <w:t xml:space="preserve"> المرص</w:t>
      </w:r>
      <w:r>
        <w:rPr>
          <w:rFonts w:cs="Simplified Arabic"/>
          <w:rtl/>
        </w:rPr>
        <w:t xml:space="preserve">ودة من البلاستيك الخام </w:t>
      </w:r>
      <w:r>
        <w:rPr>
          <w:rFonts w:cs="Simplified Arabic" w:hint="cs"/>
          <w:rtl/>
        </w:rPr>
        <w:t xml:space="preserve">فقد بلغت 15.1 مليون دولار أمريكي خلال العام 2016 مقارنة </w:t>
      </w:r>
      <w:proofErr w:type="spellStart"/>
      <w:r>
        <w:rPr>
          <w:rFonts w:cs="Simplified Arabic" w:hint="cs"/>
          <w:rtl/>
        </w:rPr>
        <w:t>بـ</w:t>
      </w:r>
      <w:proofErr w:type="spellEnd"/>
      <w:r>
        <w:rPr>
          <w:rFonts w:cs="Simplified Arabic" w:hint="cs"/>
          <w:rtl/>
        </w:rPr>
        <w:t xml:space="preserve"> 16.4 مليون دولار أمريكي خلال العام </w:t>
      </w:r>
      <w:proofErr w:type="spellStart"/>
      <w:r>
        <w:rPr>
          <w:rFonts w:cs="Simplified Arabic" w:hint="cs"/>
          <w:rtl/>
        </w:rPr>
        <w:t>2015،</w:t>
      </w:r>
      <w:proofErr w:type="spellEnd"/>
      <w:r>
        <w:rPr>
          <w:rFonts w:cs="Simplified Arabic" w:hint="cs"/>
          <w:rtl/>
        </w:rPr>
        <w:t xml:space="preserve"> </w:t>
      </w:r>
      <w:r w:rsidRPr="007E5D76">
        <w:rPr>
          <w:rFonts w:cs="Simplified Arabic" w:hint="cs"/>
          <w:rtl/>
        </w:rPr>
        <w:t xml:space="preserve">علما بان </w:t>
      </w:r>
      <w:r w:rsidRPr="007E5D76">
        <w:rPr>
          <w:rFonts w:cs="Simplified Arabic"/>
          <w:rtl/>
        </w:rPr>
        <w:t>البيانات لا تشمل ذلك الجزء من محافظة القدس والذي ضمه الاحتلال الإسرائيلي إليه عنوة بعيد احتلاله للضفة الغربية عام 1967.</w:t>
      </w:r>
    </w:p>
    <w:sectPr w:rsidR="00623904" w:rsidRPr="00D578EE" w:rsidSect="00D578EE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26" w:rsidRDefault="008A7026" w:rsidP="00D578EE">
      <w:r>
        <w:separator/>
      </w:r>
    </w:p>
  </w:endnote>
  <w:endnote w:type="continuationSeparator" w:id="0">
    <w:p w:rsidR="008A7026" w:rsidRDefault="008A7026" w:rsidP="00D5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1E" w:rsidRDefault="008A702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77C1E" w:rsidRDefault="008A7026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1E" w:rsidRDefault="008A702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578E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77C1E" w:rsidRDefault="008A7026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26" w:rsidRDefault="008A7026" w:rsidP="00D578EE">
      <w:r>
        <w:separator/>
      </w:r>
    </w:p>
  </w:footnote>
  <w:footnote w:type="continuationSeparator" w:id="0">
    <w:p w:rsidR="008A7026" w:rsidRDefault="008A7026" w:rsidP="00D57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8EE"/>
    <w:rsid w:val="004C7DB1"/>
    <w:rsid w:val="00623904"/>
    <w:rsid w:val="00846238"/>
    <w:rsid w:val="008A7026"/>
    <w:rsid w:val="00D5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8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78E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578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D578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D578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D578EE"/>
  </w:style>
  <w:style w:type="table" w:styleId="TableGrid">
    <w:name w:val="Table Grid"/>
    <w:basedOn w:val="TableNormal"/>
    <w:rsid w:val="00D578E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578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2020092316047"/>
          <c:y val="0.10363185371059402"/>
          <c:w val="0.84656457597972656"/>
          <c:h val="0.5852170401776479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6530">
              <a:solidFill>
                <a:srgbClr val="000000"/>
              </a:solidFill>
              <a:prstDash val="solid"/>
            </a:ln>
          </c:spPr>
          <c:dLbls>
            <c:spPr>
              <a:noFill/>
              <a:ln w="25366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الضفة الغربية</c:v>
                </c:pt>
                <c:pt idx="1">
                  <c:v>قطاع غزة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 formatCode="General">
                  <c:v>94.7</c:v>
                </c:pt>
                <c:pt idx="1">
                  <c:v>98.7</c:v>
                </c:pt>
              </c:numCache>
            </c:numRef>
          </c:val>
        </c:ser>
        <c:dLbls>
          <c:showVal val="1"/>
        </c:dLbls>
        <c:axId val="104045952"/>
        <c:axId val="107680896"/>
      </c:barChart>
      <c:catAx>
        <c:axId val="1040459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المنطقة</a:t>
                </a:r>
              </a:p>
            </c:rich>
          </c:tx>
          <c:layout>
            <c:manualLayout>
              <c:xMode val="edge"/>
              <c:yMode val="edge"/>
              <c:x val="0.4628918454158748"/>
              <c:y val="0.9088015921086936"/>
            </c:manualLayout>
          </c:layout>
          <c:spPr>
            <a:noFill/>
            <a:ln w="25366">
              <a:noFill/>
            </a:ln>
          </c:spPr>
        </c:title>
        <c:numFmt formatCode="General" sourceLinked="1"/>
        <c:tickLblPos val="nextTo"/>
        <c:spPr>
          <a:ln w="16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7680896"/>
        <c:crosses val="autoZero"/>
        <c:auto val="1"/>
        <c:lblAlgn val="ctr"/>
        <c:lblOffset val="100"/>
        <c:tickLblSkip val="1"/>
        <c:tickMarkSkip val="1"/>
      </c:catAx>
      <c:valAx>
        <c:axId val="107680896"/>
        <c:scaling>
          <c:orientation val="minMax"/>
          <c:max val="10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%</a:t>
                </a:r>
              </a:p>
            </c:rich>
          </c:tx>
        </c:title>
        <c:numFmt formatCode="0" sourceLinked="0"/>
        <c:tickLblPos val="nextTo"/>
        <c:spPr>
          <a:ln w="16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4045952"/>
        <c:crosses val="autoZero"/>
        <c:crossBetween val="between"/>
        <c:majorUnit val="25"/>
        <c:minorUnit val="5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43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3547282317865567"/>
          <c:y val="8.2119228439640313E-2"/>
          <c:w val="0.80791682593073433"/>
          <c:h val="0.4830033080184503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 </c:v>
                </c:pt>
              </c:strCache>
            </c:strRef>
          </c:tx>
          <c:spPr>
            <a:noFill/>
            <a:ln w="12700" cmpd="sng">
              <a:solidFill>
                <a:srgbClr val="4F81BD"/>
              </a:solidFill>
            </a:ln>
          </c:spPr>
          <c:cat>
            <c:strRef>
              <c:f>Sheet1!$A$2:$A$7</c:f>
              <c:strCache>
                <c:ptCount val="6"/>
                <c:pt idx="0">
                  <c:v>مواد عضوية</c:v>
                </c:pt>
                <c:pt idx="1">
                  <c:v>ورق وكرتون</c:v>
                </c:pt>
                <c:pt idx="2">
                  <c:v>بلاستيك</c:v>
                </c:pt>
                <c:pt idx="3">
                  <c:v>زجاج</c:v>
                </c:pt>
                <c:pt idx="4">
                  <c:v>معادن</c:v>
                </c:pt>
                <c:pt idx="5">
                  <c:v>مواد اخرى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50</c:v>
                </c:pt>
                <c:pt idx="1">
                  <c:v>12.5</c:v>
                </c:pt>
                <c:pt idx="2">
                  <c:v>14.6</c:v>
                </c:pt>
                <c:pt idx="3">
                  <c:v>1.9000000000000001</c:v>
                </c:pt>
                <c:pt idx="4">
                  <c:v>2.4</c:v>
                </c:pt>
                <c:pt idx="5">
                  <c:v>18.600000000000001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مواد عضوية</c:v>
                </c:pt>
                <c:pt idx="1">
                  <c:v>ورق وكرتون</c:v>
                </c:pt>
                <c:pt idx="2">
                  <c:v>بلاستيك</c:v>
                </c:pt>
                <c:pt idx="3">
                  <c:v>زجاج</c:v>
                </c:pt>
                <c:pt idx="4">
                  <c:v>معادن</c:v>
                </c:pt>
                <c:pt idx="5">
                  <c:v>مواد اخرى 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59</c:v>
                </c:pt>
                <c:pt idx="1">
                  <c:v>15</c:v>
                </c:pt>
                <c:pt idx="2">
                  <c:v>12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</c:numCache>
            </c:numRef>
          </c:val>
        </c:ser>
        <c:axId val="113843584"/>
        <c:axId val="113961600"/>
      </c:barChart>
      <c:catAx>
        <c:axId val="1138435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النفايات</a:t>
                </a:r>
                <a:endParaRPr lang="en-US"/>
              </a:p>
            </c:rich>
          </c:tx>
        </c:title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13961600"/>
        <c:crosses val="autoZero"/>
        <c:auto val="1"/>
        <c:lblAlgn val="ctr"/>
        <c:lblOffset val="100"/>
      </c:catAx>
      <c:valAx>
        <c:axId val="11396160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13843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045545277714081"/>
          <c:y val="9.9978451288263798E-2"/>
          <c:w val="0.61324465509772463"/>
          <c:h val="0.16394842286726363"/>
        </c:manualLayout>
      </c:layout>
      <c:txPr>
        <a:bodyPr/>
        <a:lstStyle/>
        <a:p>
          <a:pPr>
            <a:defRPr sz="900"/>
          </a:pPr>
          <a:endParaRPr lang="ar-SA"/>
        </a:p>
      </c:txPr>
    </c:legend>
    <c:plotVisOnly val="1"/>
  </c:chart>
  <c:spPr>
    <a:ln>
      <a:solidFill>
        <a:schemeClr val="accent1"/>
      </a:solidFill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2020092316047"/>
          <c:y val="0.10363185371059402"/>
          <c:w val="0.84656457597972656"/>
          <c:h val="0.5852170401776488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6530">
              <a:solidFill>
                <a:srgbClr val="000000"/>
              </a:solidFill>
              <a:prstDash val="solid"/>
            </a:ln>
          </c:spPr>
          <c:dLbls>
            <c:spPr>
              <a:noFill/>
              <a:ln w="25366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الضفة الغربية</c:v>
                </c:pt>
                <c:pt idx="1">
                  <c:v>قطاع غزة</c:v>
                </c:pt>
              </c:strCache>
            </c:strRef>
          </c:cat>
          <c:val>
            <c:numRef>
              <c:f>Sheet1!$B$2:$C$2</c:f>
              <c:numCache>
                <c:formatCode>0.0</c:formatCode>
                <c:ptCount val="2"/>
                <c:pt idx="0" formatCode="General">
                  <c:v>95.1</c:v>
                </c:pt>
                <c:pt idx="1">
                  <c:v>11.4</c:v>
                </c:pt>
              </c:numCache>
            </c:numRef>
          </c:val>
        </c:ser>
        <c:dLbls>
          <c:showVal val="1"/>
        </c:dLbls>
        <c:axId val="117047680"/>
        <c:axId val="117050368"/>
      </c:barChart>
      <c:catAx>
        <c:axId val="1170476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المنطقة</a:t>
                </a:r>
              </a:p>
            </c:rich>
          </c:tx>
          <c:layout>
            <c:manualLayout>
              <c:xMode val="edge"/>
              <c:yMode val="edge"/>
              <c:x val="0.4628918454158748"/>
              <c:y val="0.90880159210869293"/>
            </c:manualLayout>
          </c:layout>
          <c:spPr>
            <a:noFill/>
            <a:ln w="25366">
              <a:noFill/>
            </a:ln>
          </c:spPr>
        </c:title>
        <c:numFmt formatCode="General" sourceLinked="1"/>
        <c:tickLblPos val="nextTo"/>
        <c:spPr>
          <a:ln w="16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7050368"/>
        <c:crosses val="autoZero"/>
        <c:auto val="1"/>
        <c:lblAlgn val="ctr"/>
        <c:lblOffset val="100"/>
        <c:tickLblSkip val="1"/>
        <c:tickMarkSkip val="1"/>
      </c:catAx>
      <c:valAx>
        <c:axId val="117050368"/>
        <c:scaling>
          <c:orientation val="minMax"/>
          <c:max val="10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%</a:t>
                </a:r>
              </a:p>
            </c:rich>
          </c:tx>
        </c:title>
        <c:numFmt formatCode="0" sourceLinked="0"/>
        <c:tickLblPos val="nextTo"/>
        <c:spPr>
          <a:ln w="16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7047680"/>
        <c:crosses val="autoZero"/>
        <c:crossBetween val="between"/>
        <c:majorUnit val="25"/>
        <c:minorUnit val="5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43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2018-06-03T10:05:00Z</dcterms:created>
  <dcterms:modified xsi:type="dcterms:W3CDTF">2018-06-03T10:16:00Z</dcterms:modified>
</cp:coreProperties>
</file>