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99" w:rsidRPr="009B4499" w:rsidRDefault="009B4499" w:rsidP="009B4499">
      <w:pPr>
        <w:pStyle w:val="Header"/>
        <w:tabs>
          <w:tab w:val="left" w:pos="5925"/>
        </w:tabs>
        <w:bidi/>
        <w:rPr>
          <w:rFonts w:ascii="Simplified Arabic" w:hAnsi="Simplified Arabic" w:cs="Simplified Arabic" w:hint="cs"/>
          <w:b/>
          <w:bCs/>
          <w:sz w:val="22"/>
          <w:szCs w:val="22"/>
          <w:rtl/>
        </w:rPr>
      </w:pPr>
      <w:bookmarkStart w:id="0" w:name="OLE_LINK3"/>
      <w:bookmarkStart w:id="1" w:name="OLE_LINK4"/>
    </w:p>
    <w:p w:rsidR="009B4499" w:rsidRPr="009B4499" w:rsidRDefault="00580294" w:rsidP="009B4499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44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الإحصاء</w:t>
      </w:r>
      <w:r w:rsidR="009B4499" w:rsidRPr="009B44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الفلسطيني: انخفاض</w:t>
      </w:r>
      <w:r w:rsidR="009B449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</w:t>
      </w:r>
      <w:r w:rsidR="009B44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الصناعي</w:t>
      </w:r>
      <w:r w:rsidR="009B4499" w:rsidRPr="009B449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فلسطين خلال شهر </w:t>
      </w:r>
      <w:r w:rsidR="009B4499" w:rsidRPr="009B44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كانون ثاني</w:t>
      </w:r>
      <w:r w:rsidR="009B4499" w:rsidRPr="009B449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9B4499" w:rsidRPr="009B44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C762B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0</w:t>
      </w:r>
      <w:r w:rsidR="009B4499" w:rsidRPr="009B44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1/</w:t>
      </w:r>
      <w:r w:rsidR="009B4499" w:rsidRPr="009B4499">
        <w:rPr>
          <w:rFonts w:ascii="Simplified Arabic" w:hAnsi="Simplified Arabic" w:cs="Simplified Arabic"/>
          <w:b/>
          <w:bCs/>
          <w:sz w:val="32"/>
          <w:szCs w:val="32"/>
          <w:rtl/>
        </w:rPr>
        <w:t>201</w:t>
      </w:r>
      <w:r w:rsidR="009B4499" w:rsidRPr="009B44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8</w:t>
      </w:r>
    </w:p>
    <w:p w:rsidR="00113C6E" w:rsidRDefault="00113C6E" w:rsidP="009B4499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567A3" w:rsidRPr="007F7D6B" w:rsidRDefault="003567A3" w:rsidP="000522D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لكميات الإنتاج الصناعي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7.</w:t>
      </w:r>
      <w:r w:rsidR="000522D9">
        <w:rPr>
          <w:rFonts w:ascii="Simplified Arabic" w:hAnsi="Simplified Arabic" w:cs="Simplified Arabic" w:hint="cs"/>
          <w:sz w:val="24"/>
          <w:szCs w:val="24"/>
          <w:rtl/>
        </w:rPr>
        <w:t>29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0F70AD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2017، إذ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لكميات الإنتاج الصناعي إلى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101.</w:t>
      </w:r>
      <w:r w:rsidR="000522D9">
        <w:rPr>
          <w:rFonts w:ascii="Simplified Arabic" w:hAnsi="Simplified Arabic" w:cs="Simplified Arabic" w:hint="cs"/>
          <w:sz w:val="24"/>
          <w:szCs w:val="24"/>
          <w:rtl/>
        </w:rPr>
        <w:t>38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مقارنة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ب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ــ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ـ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109.35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(شهر الأساس كانون أول 2015 = 100)</w:t>
      </w:r>
      <w:r w:rsidRPr="007F7D6B">
        <w:rPr>
          <w:rFonts w:ascii="Simplified Arabic" w:hAnsi="Simplified Arabic" w:cs="Simplified Arabic"/>
          <w:sz w:val="24"/>
          <w:szCs w:val="24"/>
        </w:rPr>
        <w:t>.</w:t>
      </w:r>
    </w:p>
    <w:p w:rsidR="003567A3" w:rsidRPr="009B4499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7F7D6B" w:rsidRDefault="003567A3" w:rsidP="007F7D6B">
      <w:pPr>
        <w:pStyle w:val="Heading9"/>
        <w:jc w:val="both"/>
        <w:rPr>
          <w:rFonts w:ascii="Simplified Arabic" w:hAnsi="Simplified Arabic"/>
          <w:rtl/>
        </w:rPr>
      </w:pPr>
      <w:r w:rsidRPr="007F7D6B">
        <w:rPr>
          <w:rFonts w:ascii="Simplified Arabic" w:hAnsi="Simplified Arabic"/>
          <w:rtl/>
        </w:rPr>
        <w:t>حركة كميات الإنتاج الصناعي على مستوى الأنشطة الاقتصادية الرئيسية</w:t>
      </w:r>
    </w:p>
    <w:p w:rsidR="00B966D1" w:rsidRPr="007F7D6B" w:rsidRDefault="00B966D1" w:rsidP="00B966D1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التعدين واستغلال المحاجر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 مقداره 10.81</w:t>
      </w:r>
      <w:r>
        <w:rPr>
          <w:rFonts w:ascii="Simplified Arabic" w:hAnsi="Simplified Arabic" w:cs="Simplified Arabic"/>
          <w:sz w:val="24"/>
          <w:szCs w:val="24"/>
          <w:rtl/>
        </w:rPr>
        <w:t>% وال</w:t>
      </w:r>
      <w:r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4.06% من إجمالي أنشطة الصناعة.</w:t>
      </w:r>
    </w:p>
    <w:p w:rsidR="00B966D1" w:rsidRPr="009B4499" w:rsidRDefault="00B966D1" w:rsidP="00B966D1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966D1" w:rsidRPr="007F7D6B" w:rsidRDefault="00B966D1" w:rsidP="000522D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سجلت أنشطة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الصناعات التحويلية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7.</w:t>
      </w:r>
      <w:r w:rsidR="000522D9">
        <w:rPr>
          <w:rFonts w:ascii="Simplified Arabic" w:hAnsi="Simplified Arabic" w:cs="Simplified Arabic" w:hint="cs"/>
          <w:sz w:val="24"/>
          <w:szCs w:val="24"/>
          <w:rtl/>
        </w:rPr>
        <w:t>93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كانون ثاني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</w:t>
      </w:r>
      <w:r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مقارنة بالشهر السابق والتي تشكل أهميتها النسبية 83.19% من إجمالي أنشطة الصناعة.</w:t>
      </w:r>
    </w:p>
    <w:p w:rsidR="00B966D1" w:rsidRPr="009B4499" w:rsidRDefault="00B966D1" w:rsidP="00B966D1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966D1" w:rsidRPr="007F7D6B" w:rsidRDefault="00B966D1" w:rsidP="00B966D1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0.22</w:t>
      </w:r>
      <w:r>
        <w:rPr>
          <w:rFonts w:ascii="Simplified Arabic" w:hAnsi="Simplified Arabic" w:cs="Simplified Arabic"/>
          <w:sz w:val="24"/>
          <w:szCs w:val="24"/>
          <w:rtl/>
        </w:rPr>
        <w:t>% وال</w:t>
      </w:r>
      <w:r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11.98% من إجمالي أنشطة الصناعة.</w:t>
      </w:r>
    </w:p>
    <w:p w:rsidR="00B966D1" w:rsidRPr="009B4499" w:rsidRDefault="00B966D1" w:rsidP="00B966D1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65149" w:rsidRDefault="00984B7A" w:rsidP="00B966D1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حين 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إمدادات المياه </w:t>
      </w:r>
      <w:r w:rsidR="0076514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</w:t>
      </w:r>
      <w:r w:rsidR="00765149"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الصرف الصحي وإدارة النفايات ومعالجتها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9.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="00765149">
        <w:rPr>
          <w:rFonts w:ascii="Simplified Arabic" w:hAnsi="Simplified Arabic" w:cs="Simplified Arabic"/>
          <w:sz w:val="24"/>
          <w:szCs w:val="24"/>
          <w:rtl/>
        </w:rPr>
        <w:t>% وال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0.78% من إجمالي أنشطة الصناعة.</w:t>
      </w:r>
    </w:p>
    <w:p w:rsidR="00765149" w:rsidRPr="009B4499" w:rsidRDefault="00765149" w:rsidP="0076514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54CE" w:rsidRPr="007F7D6B" w:rsidRDefault="003567A3" w:rsidP="0049119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أما على صعيد الأنشطة الفرعية والتي لها تأثير نسبي كبير على مجمل الرقم القياسي، 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فقد سجلت بعض أنشطة الصناعات التحويلية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8906FF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201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B966D1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2017 أهمها </w:t>
      </w:r>
      <w:r w:rsidR="0049119B">
        <w:rPr>
          <w:rFonts w:ascii="Simplified Arabic" w:hAnsi="Simplified Arabic" w:cs="Simplified Arabic" w:hint="cs"/>
          <w:sz w:val="24"/>
          <w:szCs w:val="24"/>
          <w:rtl/>
        </w:rPr>
        <w:t xml:space="preserve">صناعة منتجات التبغ، </w:t>
      </w:r>
      <w:r w:rsidR="0049119B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منتجات المعادن المشكلة عدا الماكنات والمعدات، </w:t>
      </w:r>
      <w:r w:rsidR="0049119B">
        <w:rPr>
          <w:rFonts w:ascii="Simplified Arabic" w:hAnsi="Simplified Arabic" w:cs="Simplified Arabic" w:hint="cs"/>
          <w:sz w:val="24"/>
          <w:szCs w:val="24"/>
          <w:rtl/>
        </w:rPr>
        <w:t xml:space="preserve">صناعة المنتجات الغذائية، </w:t>
      </w:r>
      <w:r w:rsidR="0049119B" w:rsidRPr="007F7D6B">
        <w:rPr>
          <w:rFonts w:ascii="Simplified Arabic" w:hAnsi="Simplified Arabic" w:cs="Simplified Arabic"/>
          <w:sz w:val="24"/>
          <w:szCs w:val="24"/>
          <w:rtl/>
        </w:rPr>
        <w:t>نشاط الطباعة واستنساخ وسائط الأعلام المسجلة</w:t>
      </w:r>
      <w:r w:rsidR="0049119B">
        <w:rPr>
          <w:rFonts w:ascii="Simplified Arabic" w:hAnsi="Simplified Arabic" w:cs="Simplified Arabic" w:hint="cs"/>
          <w:sz w:val="24"/>
          <w:szCs w:val="24"/>
          <w:rtl/>
        </w:rPr>
        <w:t>، صناعة المنتجات الصيدلانية الأساسية ومستحضراتها، صناعة الملابس،</w:t>
      </w:r>
      <w:r w:rsidR="0049119B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9119B">
        <w:rPr>
          <w:rFonts w:ascii="Simplified Arabic" w:hAnsi="Simplified Arabic" w:cs="Simplified Arabic" w:hint="cs"/>
          <w:sz w:val="24"/>
          <w:szCs w:val="24"/>
          <w:rtl/>
        </w:rPr>
        <w:t>صناعة المشروبات، وصناعة الكيماويات والمنتجات الكيميائية.</w:t>
      </w:r>
    </w:p>
    <w:p w:rsidR="003554CE" w:rsidRPr="009B4499" w:rsidRDefault="003554CE" w:rsidP="003554CE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54CE" w:rsidRDefault="003554CE" w:rsidP="0049119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من ناحية أخرى سجل الرقم القياسي لكميات الإنتاج الصناعي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في </w:t>
      </w:r>
      <w:r>
        <w:rPr>
          <w:rFonts w:ascii="Simplified Arabic" w:hAnsi="Simplified Arabic" w:cs="Simplified Arabic" w:hint="cs"/>
          <w:sz w:val="24"/>
          <w:szCs w:val="24"/>
          <w:rtl/>
        </w:rPr>
        <w:t>بعض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أنشطة الصناعات التحويلية </w:t>
      </w:r>
      <w:r>
        <w:rPr>
          <w:rFonts w:ascii="Simplified Arabic" w:hAnsi="Simplified Arabic" w:cs="Simplified Arabic" w:hint="cs"/>
          <w:sz w:val="24"/>
          <w:szCs w:val="24"/>
          <w:rtl/>
        </w:rPr>
        <w:t>منها</w:t>
      </w:r>
      <w:r w:rsidRPr="006570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906FF">
        <w:rPr>
          <w:rFonts w:ascii="Simplified Arabic" w:hAnsi="Simplified Arabic" w:cs="Simplified Arabic" w:hint="cs"/>
          <w:sz w:val="24"/>
          <w:szCs w:val="24"/>
          <w:rtl/>
        </w:rPr>
        <w:t>صناعة الورق ومنتجات الورق</w:t>
      </w:r>
      <w:r w:rsidR="0049119B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49119B" w:rsidRPr="007F7D6B">
        <w:rPr>
          <w:rFonts w:ascii="Simplified Arabic" w:hAnsi="Simplified Arabic" w:cs="Simplified Arabic"/>
          <w:sz w:val="24"/>
          <w:szCs w:val="24"/>
          <w:rtl/>
        </w:rPr>
        <w:t>صناعة الأثاث،</w:t>
      </w:r>
      <w:r w:rsidR="0049119B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49119B">
        <w:rPr>
          <w:rFonts w:ascii="Simplified Arabic" w:hAnsi="Simplified Arabic" w:cs="Simplified Arabic"/>
          <w:sz w:val="24"/>
          <w:szCs w:val="24"/>
          <w:rtl/>
        </w:rPr>
        <w:t>صناعة منتجات المطاط واللدائن</w:t>
      </w:r>
      <w:r w:rsidR="008906FF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746C9B" w:rsidRDefault="00746C9B" w:rsidP="00746C9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D621D" w:rsidRDefault="009D621D" w:rsidP="009D621D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D621D" w:rsidRDefault="009D621D" w:rsidP="009D621D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D621D" w:rsidRDefault="009D621D" w:rsidP="009D621D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B4499" w:rsidRDefault="009B4499" w:rsidP="009B449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B4499" w:rsidRDefault="009B4499" w:rsidP="009B449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B4499" w:rsidRPr="007F7D6B" w:rsidRDefault="009B4499" w:rsidP="009B449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113C6E" w:rsidRDefault="00113C6E" w:rsidP="00933F37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7F7D6B" w:rsidRPr="007F7D6B" w:rsidRDefault="003567A3" w:rsidP="00746C9B">
      <w:pPr>
        <w:pStyle w:val="Header"/>
        <w:tabs>
          <w:tab w:val="left" w:pos="5925"/>
        </w:tabs>
        <w:bidi/>
        <w:ind w:left="166" w:right="-284" w:hanging="166"/>
        <w:jc w:val="center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7F7D6B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الاتجاه العام لحركة الأرقام القياسية لكميات الإنتاج الصناعي في فلسطين للأشهر: </w:t>
      </w:r>
      <w:r w:rsidR="00113C6E">
        <w:rPr>
          <w:rFonts w:ascii="Simplified Arabic" w:hAnsi="Simplified Arabic" w:cs="Simplified Arabic" w:hint="cs"/>
          <w:b/>
          <w:bCs/>
          <w:sz w:val="22"/>
          <w:szCs w:val="22"/>
          <w:rtl/>
        </w:rPr>
        <w:t>كانون ثاني</w:t>
      </w:r>
      <w:r w:rsidR="00746C9B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2017</w:t>
      </w:r>
      <w:r w:rsidRPr="007F7D6B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– </w:t>
      </w:r>
      <w:r w:rsidR="007403CA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كانون </w:t>
      </w:r>
      <w:r w:rsidR="00746C9B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ثاني</w:t>
      </w:r>
      <w:r w:rsidRPr="007F7D6B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201</w:t>
      </w:r>
      <w:r w:rsidR="00746C9B">
        <w:rPr>
          <w:rFonts w:ascii="Simplified Arabic" w:hAnsi="Simplified Arabic" w:cs="Simplified Arabic" w:hint="cs"/>
          <w:b/>
          <w:bCs/>
          <w:sz w:val="22"/>
          <w:szCs w:val="22"/>
          <w:rtl/>
        </w:rPr>
        <w:t>8</w:t>
      </w:r>
    </w:p>
    <w:p w:rsidR="003567A3" w:rsidRDefault="003567A3" w:rsidP="007F7D6B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rtl/>
        </w:rPr>
      </w:pPr>
      <w:r w:rsidRPr="007F7D6B">
        <w:rPr>
          <w:rFonts w:ascii="Simplified Arabic" w:hAnsi="Simplified Arabic" w:cs="Simplified Arabic"/>
          <w:b/>
          <w:bCs/>
          <w:rtl/>
        </w:rPr>
        <w:t>(شهر الأساس كانون أول 2015 = 100 )</w:t>
      </w:r>
    </w:p>
    <w:p w:rsidR="004865C6" w:rsidRPr="004865C6" w:rsidRDefault="004865C6" w:rsidP="004865C6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7F7D6B" w:rsidRPr="007F7D6B" w:rsidRDefault="007F7D6B" w:rsidP="007F7D6B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Ind w:w="51" w:type="dxa"/>
        <w:tblLayout w:type="fixed"/>
        <w:tblLook w:val="04A0"/>
      </w:tblPr>
      <w:tblGrid>
        <w:gridCol w:w="4279"/>
      </w:tblGrid>
      <w:tr w:rsidR="007F7D6B" w:rsidTr="00113C6E">
        <w:trPr>
          <w:jc w:val="center"/>
        </w:trPr>
        <w:tc>
          <w:tcPr>
            <w:tcW w:w="4279" w:type="dxa"/>
          </w:tcPr>
          <w:p w:rsidR="007F7D6B" w:rsidRDefault="007F7D6B" w:rsidP="007F7D6B">
            <w:pPr>
              <w:pStyle w:val="Header"/>
              <w:tabs>
                <w:tab w:val="left" w:pos="592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F7D6B">
              <w:rPr>
                <w:rFonts w:ascii="Simplified Arabic" w:hAnsi="Simplified Arabic" w:cs="Simplified Arabic"/>
                <w:b/>
                <w:bCs/>
                <w:noProof/>
                <w:rtl/>
              </w:rPr>
              <w:drawing>
                <wp:inline distT="0" distB="0" distL="0" distR="0">
                  <wp:extent cx="2656935" cy="2622431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3567A3" w:rsidRDefault="003567A3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746C9B" w:rsidRDefault="00746C9B" w:rsidP="00746C9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825D5E" w:rsidRDefault="007F7D6B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825D5E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تنويه</w:t>
      </w:r>
      <w:r w:rsidRPr="007F7D6B">
        <w:rPr>
          <w:rFonts w:ascii="Simplified Arabic" w:hAnsi="Simplified Arabic" w:cs="Simplified Arabic"/>
          <w:b/>
          <w:bCs/>
          <w:color w:val="000000"/>
          <w:rtl/>
        </w:rPr>
        <w:t>:</w:t>
      </w:r>
    </w:p>
    <w:p w:rsidR="007F7D6B" w:rsidRPr="00825D5E" w:rsidRDefault="007F7D6B" w:rsidP="00825D5E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</w:rPr>
      </w:pPr>
      <w:r w:rsidRPr="00825D5E">
        <w:rPr>
          <w:rFonts w:ascii="Simplified Arabic" w:hAnsi="Simplified Arabic" w:cs="Simplified Arabic"/>
          <w:sz w:val="20"/>
          <w:szCs w:val="20"/>
          <w:rtl/>
        </w:rPr>
        <w:t>الأهمية النسبية للأنشطة تمثل التوزيع النسبي للقيمة المضافة للأنشطة الصناعية في العام 2013.</w:t>
      </w:r>
      <w:r w:rsidRPr="00825D5E">
        <w:rPr>
          <w:rFonts w:cs="Simplified Arabic" w:hint="cs"/>
          <w:sz w:val="20"/>
          <w:szCs w:val="20"/>
          <w:rtl/>
        </w:rPr>
        <w:t xml:space="preserve"> </w:t>
      </w:r>
    </w:p>
    <w:p w:rsidR="003567A3" w:rsidRPr="00825D5E" w:rsidRDefault="003567A3" w:rsidP="00825D5E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  <w:rtl/>
        </w:rPr>
      </w:pPr>
      <w:r w:rsidRPr="00825D5E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لكميات الإنتاج الصناعي بدعم من الإتحاد الأوروبي.</w:t>
      </w:r>
    </w:p>
    <w:p w:rsidR="003567A3" w:rsidRPr="007F7D6B" w:rsidRDefault="003567A3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bookmarkEnd w:id="0"/>
    <w:bookmarkEnd w:id="1"/>
    <w:p w:rsidR="003567A3" w:rsidRDefault="003567A3" w:rsidP="003567A3">
      <w:pPr>
        <w:bidi/>
        <w:jc w:val="both"/>
        <w:rPr>
          <w:rFonts w:cs="Simplified Arabic"/>
          <w:b/>
          <w:bCs/>
          <w:sz w:val="20"/>
          <w:szCs w:val="20"/>
          <w:rtl/>
        </w:rPr>
      </w:pPr>
    </w:p>
    <w:p w:rsidR="003567A3" w:rsidRDefault="003567A3" w:rsidP="003567A3">
      <w:pPr>
        <w:bidi/>
        <w:jc w:val="both"/>
        <w:rPr>
          <w:rFonts w:cs="Simplified Arabic"/>
          <w:sz w:val="20"/>
          <w:szCs w:val="20"/>
          <w:rtl/>
        </w:rPr>
      </w:pPr>
    </w:p>
    <w:p w:rsidR="002B1856" w:rsidRPr="00D84F6F" w:rsidRDefault="002B1856" w:rsidP="003567A3">
      <w:pPr>
        <w:pStyle w:val="Header"/>
        <w:bidi/>
        <w:jc w:val="both"/>
        <w:rPr>
          <w:rFonts w:ascii="Simplified Arabic" w:hAnsi="Simplified Arabic" w:cs="Simplified Arabic"/>
        </w:rPr>
      </w:pPr>
    </w:p>
    <w:p w:rsidR="00A006DA" w:rsidRPr="00D84F6F" w:rsidRDefault="00A006DA" w:rsidP="003567A3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sectPr w:rsidR="00A006DA" w:rsidRPr="00D84F6F" w:rsidSect="009D621D">
      <w:headerReference w:type="default" r:id="rId8"/>
      <w:footerReference w:type="even" r:id="rId9"/>
      <w:footerReference w:type="default" r:id="rId10"/>
      <w:pgSz w:w="11900" w:h="16840" w:code="9"/>
      <w:pgMar w:top="2268" w:right="1134" w:bottom="1701" w:left="1134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240" w:rsidRDefault="00CB2240" w:rsidP="0089530C">
      <w:r>
        <w:separator/>
      </w:r>
    </w:p>
  </w:endnote>
  <w:endnote w:type="continuationSeparator" w:id="0">
    <w:p w:rsidR="00CB2240" w:rsidRDefault="00CB2240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6D1" w:rsidRDefault="008361B6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66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66D1" w:rsidRDefault="008361B6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966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66D1" w:rsidRDefault="00B966D1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6D1" w:rsidRDefault="008361B6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B966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294">
      <w:rPr>
        <w:rStyle w:val="PageNumber"/>
        <w:noProof/>
      </w:rPr>
      <w:t>1</w:t>
    </w:r>
    <w:r>
      <w:rPr>
        <w:rStyle w:val="PageNumber"/>
      </w:rPr>
      <w:fldChar w:fldCharType="end"/>
    </w:r>
  </w:p>
  <w:p w:rsidR="00B966D1" w:rsidRDefault="008361B6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B966D1" w:rsidRDefault="00B966D1" w:rsidP="00195D90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05/</w:t>
                </w:r>
                <w:r w:rsidR="00195D90">
                  <w:rPr>
                    <w:rFonts w:hint="cs"/>
                    <w:rtl/>
                  </w:rPr>
                  <w:t>03</w:t>
                </w:r>
                <w:r>
                  <w:rPr>
                    <w:rFonts w:hint="cs"/>
                    <w:rtl/>
                  </w:rPr>
                  <w:t>/2018</w:t>
                </w:r>
              </w:p>
            </w:txbxContent>
          </v:textbox>
        </v:shape>
      </w:pict>
    </w:r>
    <w:r w:rsidR="00B966D1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240" w:rsidRDefault="00CB2240" w:rsidP="0089530C">
      <w:r>
        <w:separator/>
      </w:r>
    </w:p>
  </w:footnote>
  <w:footnote w:type="continuationSeparator" w:id="0">
    <w:p w:rsidR="00CB2240" w:rsidRDefault="00CB2240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6D1" w:rsidRDefault="00B966D1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61B6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8361B6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B966D1" w:rsidRDefault="00B966D1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405B6"/>
    <w:rsid w:val="000522D9"/>
    <w:rsid w:val="00066B9A"/>
    <w:rsid w:val="000753B8"/>
    <w:rsid w:val="00082CF6"/>
    <w:rsid w:val="000B0833"/>
    <w:rsid w:val="000B171B"/>
    <w:rsid w:val="000D55DA"/>
    <w:rsid w:val="000E63B5"/>
    <w:rsid w:val="000F1162"/>
    <w:rsid w:val="000F2B27"/>
    <w:rsid w:val="000F44DB"/>
    <w:rsid w:val="000F70AD"/>
    <w:rsid w:val="00113C6E"/>
    <w:rsid w:val="001156C2"/>
    <w:rsid w:val="0012705B"/>
    <w:rsid w:val="00133A6B"/>
    <w:rsid w:val="00164DF7"/>
    <w:rsid w:val="00180D60"/>
    <w:rsid w:val="00183FC3"/>
    <w:rsid w:val="00190450"/>
    <w:rsid w:val="00195D90"/>
    <w:rsid w:val="001A538A"/>
    <w:rsid w:val="0020755C"/>
    <w:rsid w:val="00215983"/>
    <w:rsid w:val="002662AF"/>
    <w:rsid w:val="002A334A"/>
    <w:rsid w:val="002B1856"/>
    <w:rsid w:val="002C2373"/>
    <w:rsid w:val="002D2E6B"/>
    <w:rsid w:val="002E136F"/>
    <w:rsid w:val="002F4BEA"/>
    <w:rsid w:val="00303AE1"/>
    <w:rsid w:val="003261C5"/>
    <w:rsid w:val="00331375"/>
    <w:rsid w:val="00332C2B"/>
    <w:rsid w:val="00343FCF"/>
    <w:rsid w:val="00346CBA"/>
    <w:rsid w:val="003554CE"/>
    <w:rsid w:val="003567A3"/>
    <w:rsid w:val="003717C5"/>
    <w:rsid w:val="00373661"/>
    <w:rsid w:val="003C749E"/>
    <w:rsid w:val="003D15F4"/>
    <w:rsid w:val="003E6EF8"/>
    <w:rsid w:val="003F16B1"/>
    <w:rsid w:val="00410E45"/>
    <w:rsid w:val="0041703C"/>
    <w:rsid w:val="0043166F"/>
    <w:rsid w:val="0043593A"/>
    <w:rsid w:val="0043606E"/>
    <w:rsid w:val="0047198E"/>
    <w:rsid w:val="004865C6"/>
    <w:rsid w:val="004878F9"/>
    <w:rsid w:val="004879CD"/>
    <w:rsid w:val="0049119B"/>
    <w:rsid w:val="00491506"/>
    <w:rsid w:val="004A2AF6"/>
    <w:rsid w:val="004A7EF8"/>
    <w:rsid w:val="004B25AF"/>
    <w:rsid w:val="004B36D0"/>
    <w:rsid w:val="004C5387"/>
    <w:rsid w:val="004D1752"/>
    <w:rsid w:val="004F6543"/>
    <w:rsid w:val="005336D0"/>
    <w:rsid w:val="00544D02"/>
    <w:rsid w:val="005660EE"/>
    <w:rsid w:val="0056647A"/>
    <w:rsid w:val="00580294"/>
    <w:rsid w:val="005E29EC"/>
    <w:rsid w:val="00606C0A"/>
    <w:rsid w:val="00655C97"/>
    <w:rsid w:val="006570B7"/>
    <w:rsid w:val="006604BA"/>
    <w:rsid w:val="006A2A93"/>
    <w:rsid w:val="006A5C89"/>
    <w:rsid w:val="006B36A6"/>
    <w:rsid w:val="006E31A8"/>
    <w:rsid w:val="006E44D7"/>
    <w:rsid w:val="006F4D70"/>
    <w:rsid w:val="006F5C6F"/>
    <w:rsid w:val="00703C98"/>
    <w:rsid w:val="00716017"/>
    <w:rsid w:val="00717991"/>
    <w:rsid w:val="007230D4"/>
    <w:rsid w:val="00726035"/>
    <w:rsid w:val="00731C12"/>
    <w:rsid w:val="007403CA"/>
    <w:rsid w:val="007441E1"/>
    <w:rsid w:val="00746C9B"/>
    <w:rsid w:val="007601F6"/>
    <w:rsid w:val="00765149"/>
    <w:rsid w:val="007703B4"/>
    <w:rsid w:val="007718B0"/>
    <w:rsid w:val="00781CCD"/>
    <w:rsid w:val="00782CFF"/>
    <w:rsid w:val="0078585A"/>
    <w:rsid w:val="00787D17"/>
    <w:rsid w:val="00791F9B"/>
    <w:rsid w:val="007D39AC"/>
    <w:rsid w:val="007D40AC"/>
    <w:rsid w:val="007E4D45"/>
    <w:rsid w:val="007E5AC9"/>
    <w:rsid w:val="007F00EA"/>
    <w:rsid w:val="007F7D6B"/>
    <w:rsid w:val="00825D5E"/>
    <w:rsid w:val="008361B6"/>
    <w:rsid w:val="0086263B"/>
    <w:rsid w:val="00880E5E"/>
    <w:rsid w:val="008813B3"/>
    <w:rsid w:val="008906FF"/>
    <w:rsid w:val="0089530C"/>
    <w:rsid w:val="008A456C"/>
    <w:rsid w:val="008B6CAE"/>
    <w:rsid w:val="008C3995"/>
    <w:rsid w:val="008F3B41"/>
    <w:rsid w:val="009033E7"/>
    <w:rsid w:val="00911EE5"/>
    <w:rsid w:val="00927B97"/>
    <w:rsid w:val="00933F37"/>
    <w:rsid w:val="0094463A"/>
    <w:rsid w:val="00947D6F"/>
    <w:rsid w:val="009709C5"/>
    <w:rsid w:val="00984B7A"/>
    <w:rsid w:val="009B2B6C"/>
    <w:rsid w:val="009B4499"/>
    <w:rsid w:val="009B7F79"/>
    <w:rsid w:val="009C1A1C"/>
    <w:rsid w:val="009C524B"/>
    <w:rsid w:val="009C63CA"/>
    <w:rsid w:val="009D621D"/>
    <w:rsid w:val="00A006DA"/>
    <w:rsid w:val="00A104F0"/>
    <w:rsid w:val="00A21B0D"/>
    <w:rsid w:val="00A54F88"/>
    <w:rsid w:val="00AA29EC"/>
    <w:rsid w:val="00AD6F89"/>
    <w:rsid w:val="00B35121"/>
    <w:rsid w:val="00B437DA"/>
    <w:rsid w:val="00B562C9"/>
    <w:rsid w:val="00B9409D"/>
    <w:rsid w:val="00B956CE"/>
    <w:rsid w:val="00B966D1"/>
    <w:rsid w:val="00BC4AED"/>
    <w:rsid w:val="00C01873"/>
    <w:rsid w:val="00C10666"/>
    <w:rsid w:val="00C10ED5"/>
    <w:rsid w:val="00C3049D"/>
    <w:rsid w:val="00C308B6"/>
    <w:rsid w:val="00C413DC"/>
    <w:rsid w:val="00C51149"/>
    <w:rsid w:val="00C67E85"/>
    <w:rsid w:val="00C73AB4"/>
    <w:rsid w:val="00C762BD"/>
    <w:rsid w:val="00C76741"/>
    <w:rsid w:val="00C82E36"/>
    <w:rsid w:val="00C85B22"/>
    <w:rsid w:val="00CA7085"/>
    <w:rsid w:val="00CB2240"/>
    <w:rsid w:val="00D03463"/>
    <w:rsid w:val="00D33F24"/>
    <w:rsid w:val="00D50CEE"/>
    <w:rsid w:val="00D84F6F"/>
    <w:rsid w:val="00DD710B"/>
    <w:rsid w:val="00DE34F8"/>
    <w:rsid w:val="00DF1948"/>
    <w:rsid w:val="00E316C4"/>
    <w:rsid w:val="00E54268"/>
    <w:rsid w:val="00E76D45"/>
    <w:rsid w:val="00E8134A"/>
    <w:rsid w:val="00EB46CD"/>
    <w:rsid w:val="00ED290A"/>
    <w:rsid w:val="00F5014D"/>
    <w:rsid w:val="00F52EF3"/>
    <w:rsid w:val="00F670EB"/>
    <w:rsid w:val="00F94BCC"/>
    <w:rsid w:val="00F977A7"/>
    <w:rsid w:val="00FA2CE0"/>
    <w:rsid w:val="00FA635A"/>
    <w:rsid w:val="00FB5B5F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  <w:style w:type="paragraph" w:styleId="Title">
    <w:name w:val="Title"/>
    <w:basedOn w:val="Normal"/>
    <w:link w:val="TitleChar"/>
    <w:qFormat/>
    <w:rsid w:val="00B562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</w:pPr>
    <w:rPr>
      <w:rFonts w:ascii="Times New Roman" w:eastAsia="Times New Roman" w:hAnsi="Times New Roman" w:cs="Times New Roman"/>
      <w:b/>
      <w:bCs/>
      <w:noProof/>
      <w:color w:val="auto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562C9"/>
    <w:rPr>
      <w:rFonts w:ascii="Times New Roman" w:eastAsia="Times New Roman" w:hAnsi="Times New Roman" w:cs="Times New Roman"/>
      <w:b/>
      <w:bCs/>
      <w:noProof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0089801709879"/>
          <c:y val="3.2608695652174301E-2"/>
          <c:w val="0.85099910198290207"/>
          <c:h val="0.57048535391214639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3749771823548698E-2"/>
                  <c:y val="-3.785228286273315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1.784010523403854E-4"/>
                  <c:y val="3.6518024687780155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Sheet1!$A$5:$M$5</c:f>
              <c:strCache>
                <c:ptCount val="13"/>
                <c:pt idx="0">
                  <c:v>كانون ثاني 2017</c:v>
                </c:pt>
                <c:pt idx="1">
                  <c:v>شباط 2017</c:v>
                </c:pt>
                <c:pt idx="2">
                  <c:v>آذار 2017</c:v>
                </c:pt>
                <c:pt idx="3">
                  <c:v>نيسان 2017</c:v>
                </c:pt>
                <c:pt idx="4">
                  <c:v>أيار  2017</c:v>
                </c:pt>
                <c:pt idx="5">
                  <c:v>حزيران  2017</c:v>
                </c:pt>
                <c:pt idx="6">
                  <c:v>تموز  2017</c:v>
                </c:pt>
                <c:pt idx="7">
                  <c:v>آب  2017</c:v>
                </c:pt>
                <c:pt idx="8">
                  <c:v>أيلول 2017</c:v>
                </c:pt>
                <c:pt idx="9">
                  <c:v>تشرين أول  2017</c:v>
                </c:pt>
                <c:pt idx="10">
                  <c:v>تشرين ثاني  2017</c:v>
                </c:pt>
                <c:pt idx="11">
                  <c:v>كانون أول  2017</c:v>
                </c:pt>
                <c:pt idx="12">
                  <c:v>كانون ثاني  2018</c:v>
                </c:pt>
              </c:strCache>
            </c:strRef>
          </c:cat>
          <c:val>
            <c:numRef>
              <c:f>Sheet1!$A$6:$M$6</c:f>
              <c:numCache>
                <c:formatCode>0.00</c:formatCode>
                <c:ptCount val="13"/>
                <c:pt idx="0">
                  <c:v>109.95</c:v>
                </c:pt>
                <c:pt idx="1">
                  <c:v>103.23</c:v>
                </c:pt>
                <c:pt idx="2">
                  <c:v>111.58</c:v>
                </c:pt>
                <c:pt idx="3">
                  <c:v>104.48</c:v>
                </c:pt>
                <c:pt idx="4">
                  <c:v>103.97</c:v>
                </c:pt>
                <c:pt idx="5">
                  <c:v>92.3</c:v>
                </c:pt>
                <c:pt idx="6">
                  <c:v>106.36999999999999</c:v>
                </c:pt>
                <c:pt idx="7">
                  <c:v>124.42</c:v>
                </c:pt>
                <c:pt idx="8">
                  <c:v>108.9400000000001</c:v>
                </c:pt>
                <c:pt idx="9">
                  <c:v>110.33</c:v>
                </c:pt>
                <c:pt idx="10">
                  <c:v>109.23</c:v>
                </c:pt>
                <c:pt idx="11">
                  <c:v>109.35</c:v>
                </c:pt>
                <c:pt idx="12">
                  <c:v>101.38</c:v>
                </c:pt>
              </c:numCache>
            </c:numRef>
          </c:val>
        </c:ser>
        <c:marker val="1"/>
        <c:axId val="110617728"/>
        <c:axId val="110620032"/>
      </c:lineChart>
      <c:catAx>
        <c:axId val="110617728"/>
        <c:scaling>
          <c:orientation val="minMax"/>
        </c:scaling>
        <c:axPos val="b"/>
        <c:numFmt formatCode="General" sourceLinked="1"/>
        <c:tickLblPos val="nextTo"/>
        <c:txPr>
          <a:bodyPr rot="-3900000" vert="horz"/>
          <a:lstStyle/>
          <a:p>
            <a:pPr>
              <a:defRPr/>
            </a:pPr>
            <a:endParaRPr lang="ar-SA"/>
          </a:p>
        </c:txPr>
        <c:crossAx val="110620032"/>
        <c:crossesAt val="85"/>
        <c:auto val="1"/>
        <c:lblAlgn val="ctr"/>
        <c:lblOffset val="100"/>
      </c:catAx>
      <c:valAx>
        <c:axId val="110620032"/>
        <c:scaling>
          <c:orientation val="minMax"/>
          <c:max val="130"/>
          <c:min val="85"/>
        </c:scaling>
        <c:axPos val="l"/>
        <c:numFmt formatCode="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10617728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loays</cp:lastModifiedBy>
  <cp:revision>4</cp:revision>
  <cp:lastPrinted>2018-01-31T10:53:00Z</cp:lastPrinted>
  <dcterms:created xsi:type="dcterms:W3CDTF">2018-03-04T08:02:00Z</dcterms:created>
  <dcterms:modified xsi:type="dcterms:W3CDTF">2018-03-04T08:35:00Z</dcterms:modified>
</cp:coreProperties>
</file>