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09" w:rsidRPr="00C733E0" w:rsidRDefault="00297709" w:rsidP="00C733E0">
      <w:pPr>
        <w:pStyle w:val="Heading5"/>
        <w:ind w:left="-71"/>
        <w:jc w:val="center"/>
        <w:rPr>
          <w:sz w:val="32"/>
          <w:szCs w:val="32"/>
          <w:u w:val="none"/>
          <w:rtl/>
        </w:rPr>
      </w:pPr>
      <w:r w:rsidRPr="00C733E0">
        <w:rPr>
          <w:sz w:val="32"/>
          <w:szCs w:val="32"/>
          <w:u w:val="none"/>
          <w:rtl/>
        </w:rPr>
        <w:t>الإحصاء الفلسطيني يصدر بياناً صحفياً بمناسبة يوم الطفل الفلسطيني، 05/04/2018</w:t>
      </w:r>
    </w:p>
    <w:p w:rsidR="001E5385" w:rsidRPr="006F1420" w:rsidRDefault="001E5385" w:rsidP="006F1420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E6F97" w:rsidRPr="00C733E0" w:rsidRDefault="001C54B2" w:rsidP="001C54B2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33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حوالي</w:t>
      </w:r>
      <w:r w:rsidR="001E5385" w:rsidRPr="00C733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نصف السكان</w:t>
      </w:r>
      <w:r w:rsidR="00AE6F97" w:rsidRPr="00C733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هم من الاطفال </w:t>
      </w:r>
    </w:p>
    <w:p w:rsidR="000A2258" w:rsidRPr="00C733E0" w:rsidRDefault="008515CC" w:rsidP="0088644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33E0">
        <w:rPr>
          <w:rFonts w:ascii="Simplified Arabic" w:hAnsi="Simplified Arabic" w:cs="Simplified Arabic" w:hint="cs"/>
          <w:sz w:val="26"/>
          <w:szCs w:val="26"/>
          <w:rtl/>
        </w:rPr>
        <w:t>بلغ</w:t>
      </w:r>
      <w:r w:rsidRPr="00C733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عدد الأطفال </w:t>
      </w:r>
      <w:r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في العمر 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أقل من 18 سنة </w:t>
      </w:r>
      <w:r w:rsidR="00297709" w:rsidRPr="00C733E0">
        <w:rPr>
          <w:rFonts w:ascii="Simplified Arabic" w:hAnsi="Simplified Arabic" w:cs="Simplified Arabic"/>
          <w:sz w:val="26"/>
          <w:szCs w:val="26"/>
        </w:rPr>
        <w:t>2,</w:t>
      </w:r>
      <w:r w:rsidR="002442D2" w:rsidRPr="00C733E0">
        <w:rPr>
          <w:rFonts w:ascii="Simplified Arabic" w:hAnsi="Simplified Arabic" w:cs="Simplified Arabic"/>
          <w:sz w:val="26"/>
          <w:szCs w:val="26"/>
        </w:rPr>
        <w:t>115</w:t>
      </w:r>
      <w:r w:rsidR="00297709" w:rsidRPr="00C733E0">
        <w:rPr>
          <w:rFonts w:ascii="Simplified Arabic" w:hAnsi="Simplified Arabic" w:cs="Simplified Arabic"/>
          <w:sz w:val="26"/>
          <w:szCs w:val="26"/>
        </w:rPr>
        <w:t>,</w:t>
      </w:r>
      <w:r w:rsidR="002442D2" w:rsidRPr="00C733E0">
        <w:rPr>
          <w:rFonts w:ascii="Simplified Arabic" w:hAnsi="Simplified Arabic" w:cs="Simplified Arabic"/>
          <w:sz w:val="26"/>
          <w:szCs w:val="26"/>
        </w:rPr>
        <w:t>370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 طفل في </w:t>
      </w:r>
      <w:r w:rsidR="00297709"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دولة 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 حسب</w:t>
      </w:r>
      <w:r w:rsidR="0009667A"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 النتائج النهائية ل</w:t>
      </w:r>
      <w:r w:rsidRPr="00C733E0">
        <w:rPr>
          <w:rFonts w:ascii="Simplified Arabic" w:hAnsi="Simplified Arabic" w:cs="Simplified Arabic" w:hint="cs"/>
          <w:sz w:val="26"/>
          <w:szCs w:val="26"/>
          <w:rtl/>
        </w:rPr>
        <w:t>لتعداد العام للسكان والمساكن والمنشآت</w:t>
      </w:r>
      <w:r w:rsidRPr="00C733E0">
        <w:rPr>
          <w:rFonts w:ascii="Simplified Arabic" w:hAnsi="Simplified Arabic" w:cs="Simplified Arabic"/>
          <w:sz w:val="26"/>
          <w:szCs w:val="26"/>
          <w:rtl/>
        </w:rPr>
        <w:t xml:space="preserve"> 2017</w:t>
      </w:r>
      <w:r w:rsidR="00297709" w:rsidRPr="00C733E0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 منهم </w:t>
      </w:r>
      <w:r w:rsidR="00297709" w:rsidRPr="00C733E0">
        <w:rPr>
          <w:rFonts w:ascii="Simplified Arabic" w:hAnsi="Simplified Arabic" w:cs="Simplified Arabic"/>
          <w:sz w:val="26"/>
          <w:szCs w:val="26"/>
        </w:rPr>
        <w:t>1</w:t>
      </w:r>
      <w:r w:rsidR="00C31137" w:rsidRPr="00C733E0">
        <w:rPr>
          <w:rFonts w:ascii="Simplified Arabic" w:hAnsi="Simplified Arabic" w:cs="Simplified Arabic"/>
          <w:sz w:val="26"/>
          <w:szCs w:val="26"/>
        </w:rPr>
        <w:t>,</w:t>
      </w:r>
      <w:r w:rsidR="00886442" w:rsidRPr="00C733E0">
        <w:rPr>
          <w:rFonts w:ascii="Simplified Arabic" w:hAnsi="Simplified Arabic" w:cs="Simplified Arabic"/>
          <w:sz w:val="26"/>
          <w:szCs w:val="26"/>
        </w:rPr>
        <w:t>0</w:t>
      </w:r>
      <w:r w:rsidR="00C31137" w:rsidRPr="00C733E0">
        <w:rPr>
          <w:rFonts w:ascii="Simplified Arabic" w:hAnsi="Simplified Arabic" w:cs="Simplified Arabic"/>
          <w:sz w:val="26"/>
          <w:szCs w:val="26"/>
        </w:rPr>
        <w:t>83</w:t>
      </w:r>
      <w:r w:rsidR="00297709" w:rsidRPr="00C733E0">
        <w:rPr>
          <w:rFonts w:ascii="Simplified Arabic" w:hAnsi="Simplified Arabic" w:cs="Simplified Arabic"/>
          <w:sz w:val="26"/>
          <w:szCs w:val="26"/>
        </w:rPr>
        <w:t>,</w:t>
      </w:r>
      <w:r w:rsidR="00C31137" w:rsidRPr="00C733E0">
        <w:rPr>
          <w:rFonts w:ascii="Simplified Arabic" w:hAnsi="Simplified Arabic" w:cs="Simplified Arabic"/>
          <w:sz w:val="26"/>
          <w:szCs w:val="26"/>
        </w:rPr>
        <w:t>720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 ذكر و</w:t>
      </w:r>
      <w:r w:rsidR="00297709" w:rsidRPr="00C733E0">
        <w:rPr>
          <w:rFonts w:ascii="Simplified Arabic" w:hAnsi="Simplified Arabic" w:cs="Simplified Arabic"/>
          <w:sz w:val="26"/>
          <w:szCs w:val="26"/>
        </w:rPr>
        <w:t>1,</w:t>
      </w:r>
      <w:r w:rsidR="00C31137" w:rsidRPr="00C733E0">
        <w:rPr>
          <w:rFonts w:ascii="Simplified Arabic" w:hAnsi="Simplified Arabic" w:cs="Simplified Arabic"/>
          <w:sz w:val="26"/>
          <w:szCs w:val="26"/>
        </w:rPr>
        <w:t>031</w:t>
      </w:r>
      <w:r w:rsidR="00297709" w:rsidRPr="00C733E0">
        <w:rPr>
          <w:rFonts w:ascii="Simplified Arabic" w:hAnsi="Simplified Arabic" w:cs="Simplified Arabic"/>
          <w:sz w:val="26"/>
          <w:szCs w:val="26"/>
        </w:rPr>
        <w:t>,</w:t>
      </w:r>
      <w:r w:rsidR="00C31137" w:rsidRPr="00C733E0">
        <w:rPr>
          <w:rFonts w:ascii="Simplified Arabic" w:hAnsi="Simplified Arabic" w:cs="Simplified Arabic"/>
          <w:sz w:val="26"/>
          <w:szCs w:val="26"/>
        </w:rPr>
        <w:t>650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 أنثى</w:t>
      </w:r>
      <w:r w:rsidR="00297709" w:rsidRPr="00C733E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E6F97"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8738F" w:rsidRPr="00C733E0">
        <w:rPr>
          <w:rFonts w:ascii="Simplified Arabic" w:hAnsi="Simplified Arabic" w:cs="Simplified Arabic" w:hint="cs"/>
          <w:sz w:val="26"/>
          <w:szCs w:val="26"/>
          <w:rtl/>
        </w:rPr>
        <w:t>حيث تشكل نسبة الأ</w:t>
      </w:r>
      <w:r w:rsidR="00297709"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طفال في فلسطين </w:t>
      </w:r>
      <w:r w:rsidRPr="00C733E0">
        <w:rPr>
          <w:rFonts w:ascii="Simplified Arabic" w:hAnsi="Simplified Arabic" w:cs="Simplified Arabic" w:hint="cs"/>
          <w:sz w:val="26"/>
          <w:szCs w:val="26"/>
          <w:rtl/>
        </w:rPr>
        <w:t>45.3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>% من السكان</w:t>
      </w:r>
      <w:r w:rsidR="00297709" w:rsidRPr="00C733E0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97709" w:rsidRPr="00C733E0">
        <w:rPr>
          <w:rFonts w:ascii="Simplified Arabic" w:hAnsi="Simplified Arabic" w:cs="Simplified Arabic" w:hint="cs"/>
          <w:sz w:val="26"/>
          <w:szCs w:val="26"/>
          <w:rtl/>
        </w:rPr>
        <w:t>بواقع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733E0">
        <w:rPr>
          <w:rFonts w:ascii="Simplified Arabic" w:hAnsi="Simplified Arabic" w:cs="Simplified Arabic" w:hint="cs"/>
          <w:sz w:val="26"/>
          <w:szCs w:val="26"/>
          <w:rtl/>
        </w:rPr>
        <w:t>43.4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297709" w:rsidRPr="00C733E0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 الضفة الغربية</w:t>
      </w:r>
      <w:r w:rsidR="00297709"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 و</w:t>
      </w:r>
      <w:r w:rsidR="00861D32" w:rsidRPr="00C733E0">
        <w:rPr>
          <w:rFonts w:ascii="Simplified Arabic" w:hAnsi="Simplified Arabic" w:cs="Simplified Arabic" w:hint="cs"/>
          <w:sz w:val="26"/>
          <w:szCs w:val="26"/>
          <w:rtl/>
        </w:rPr>
        <w:t>48.0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297709" w:rsidRPr="00C733E0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 قطاع غزة</w:t>
      </w:r>
      <w:r w:rsidR="00297709" w:rsidRPr="00C733E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97709" w:rsidRPr="00C733E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7C97"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297709" w:rsidRPr="00747C22" w:rsidRDefault="00297709" w:rsidP="006F1420">
      <w:pPr>
        <w:pStyle w:val="Heading1"/>
        <w:rPr>
          <w:sz w:val="14"/>
          <w:szCs w:val="14"/>
          <w:rtl/>
        </w:rPr>
      </w:pPr>
    </w:p>
    <w:p w:rsidR="00E704EA" w:rsidRPr="00C733E0" w:rsidRDefault="00E704EA" w:rsidP="006F1420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733E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عدد الأطفال حسب الفئة العمرية والمنطقة والجنس، </w:t>
      </w:r>
      <w:r w:rsidRPr="00C733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2017</w:t>
      </w:r>
    </w:p>
    <w:tbl>
      <w:tblPr>
        <w:bidiVisual/>
        <w:tblW w:w="0" w:type="auto"/>
        <w:tblInd w:w="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957"/>
        <w:gridCol w:w="1058"/>
        <w:gridCol w:w="1036"/>
        <w:gridCol w:w="957"/>
      </w:tblGrid>
      <w:tr w:rsidR="00E704EA" w:rsidRPr="00747C22" w:rsidTr="0007562C">
        <w:trPr>
          <w:trHeight w:val="231"/>
        </w:trPr>
        <w:tc>
          <w:tcPr>
            <w:tcW w:w="956" w:type="dxa"/>
            <w:vMerge w:val="restart"/>
            <w:vAlign w:val="center"/>
          </w:tcPr>
          <w:p w:rsidR="00E704EA" w:rsidRPr="0007562C" w:rsidRDefault="00E704EA" w:rsidP="006F1420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756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الفئة العمرية</w:t>
            </w:r>
          </w:p>
        </w:tc>
        <w:tc>
          <w:tcPr>
            <w:tcW w:w="2015" w:type="dxa"/>
            <w:gridSpan w:val="2"/>
          </w:tcPr>
          <w:p w:rsidR="00E704EA" w:rsidRPr="0007562C" w:rsidRDefault="00E704EA" w:rsidP="0007562C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0756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الضفة الغربية</w:t>
            </w:r>
          </w:p>
        </w:tc>
        <w:tc>
          <w:tcPr>
            <w:tcW w:w="1993" w:type="dxa"/>
            <w:gridSpan w:val="2"/>
          </w:tcPr>
          <w:p w:rsidR="00E704EA" w:rsidRPr="0007562C" w:rsidRDefault="00E704EA" w:rsidP="0007562C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756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قطاع غزة</w:t>
            </w:r>
          </w:p>
        </w:tc>
      </w:tr>
      <w:tr w:rsidR="00834062" w:rsidRPr="00747C22" w:rsidTr="0007562C">
        <w:trPr>
          <w:trHeight w:val="307"/>
        </w:trPr>
        <w:tc>
          <w:tcPr>
            <w:tcW w:w="956" w:type="dxa"/>
            <w:vMerge/>
            <w:tcBorders>
              <w:bottom w:val="single" w:sz="4" w:space="0" w:color="auto"/>
            </w:tcBorders>
          </w:tcPr>
          <w:p w:rsidR="00E704EA" w:rsidRPr="0007562C" w:rsidRDefault="00E704EA" w:rsidP="0007562C">
            <w:pPr>
              <w:jc w:val="both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E704EA" w:rsidRPr="0007562C" w:rsidRDefault="00E704EA" w:rsidP="0007562C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7562C">
              <w:rPr>
                <w:rFonts w:ascii="Simplified Arabic" w:hAnsi="Simplified Arabic" w:cs="Simplified Arabic"/>
                <w:sz w:val="18"/>
                <w:szCs w:val="18"/>
                <w:rtl/>
              </w:rPr>
              <w:t>ذكور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E704EA" w:rsidRPr="0007562C" w:rsidRDefault="00E704EA" w:rsidP="0007562C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7562C">
              <w:rPr>
                <w:rFonts w:ascii="Simplified Arabic" w:hAnsi="Simplified Arabic" w:cs="Simplified Arabic"/>
                <w:sz w:val="18"/>
                <w:szCs w:val="18"/>
                <w:rtl/>
              </w:rPr>
              <w:t>إناث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E704EA" w:rsidRPr="0007562C" w:rsidRDefault="00E704EA" w:rsidP="0007562C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7562C">
              <w:rPr>
                <w:rFonts w:ascii="Simplified Arabic" w:hAnsi="Simplified Arabic" w:cs="Simplified Arabic"/>
                <w:sz w:val="18"/>
                <w:szCs w:val="18"/>
                <w:rtl/>
              </w:rPr>
              <w:t>ذكور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E704EA" w:rsidRPr="0007562C" w:rsidRDefault="00E704EA" w:rsidP="0007562C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7562C">
              <w:rPr>
                <w:rFonts w:ascii="Simplified Arabic" w:hAnsi="Simplified Arabic" w:cs="Simplified Arabic"/>
                <w:sz w:val="18"/>
                <w:szCs w:val="18"/>
                <w:rtl/>
              </w:rPr>
              <w:t>إناث</w:t>
            </w:r>
          </w:p>
        </w:tc>
      </w:tr>
      <w:tr w:rsidR="00834062" w:rsidRPr="00747C22" w:rsidTr="0007562C">
        <w:trPr>
          <w:trHeight w:val="34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EF9" w:rsidRPr="0007562C" w:rsidRDefault="001E6EF9" w:rsidP="0007562C">
            <w:pPr>
              <w:spacing w:line="276" w:lineRule="auto"/>
              <w:rPr>
                <w:rFonts w:ascii="Arial" w:eastAsia="Arial" w:hAnsi="Arial"/>
                <w:sz w:val="18"/>
                <w:szCs w:val="18"/>
                <w:rtl/>
                <w:lang w:eastAsia="it-IT"/>
              </w:rPr>
            </w:pPr>
            <w:r w:rsidRPr="0007562C">
              <w:rPr>
                <w:rFonts w:ascii="Arial" w:eastAsia="Arial" w:hAnsi="Arial"/>
                <w:sz w:val="18"/>
                <w:szCs w:val="18"/>
                <w:rtl/>
                <w:lang w:eastAsia="it-IT"/>
              </w:rPr>
              <w:t>0-4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191,601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180,931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E6EF9" w:rsidRPr="0007562C" w:rsidRDefault="001E6EF9" w:rsidP="0007562C">
            <w:pPr>
              <w:bidi w:val="0"/>
              <w:jc w:val="right"/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143,660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EF9" w:rsidRPr="0007562C" w:rsidRDefault="001E6EF9" w:rsidP="0007562C">
            <w:pPr>
              <w:bidi w:val="0"/>
              <w:jc w:val="right"/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136,842</w:t>
            </w:r>
          </w:p>
        </w:tc>
      </w:tr>
      <w:tr w:rsidR="00834062" w:rsidRPr="00747C22" w:rsidTr="0007562C">
        <w:trPr>
          <w:trHeight w:val="344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EF9" w:rsidRPr="0007562C" w:rsidRDefault="001E6EF9" w:rsidP="0007562C">
            <w:pPr>
              <w:spacing w:line="276" w:lineRule="auto"/>
              <w:rPr>
                <w:rFonts w:ascii="Arial" w:eastAsia="Arial" w:hAnsi="Arial"/>
                <w:sz w:val="18"/>
                <w:szCs w:val="18"/>
                <w:lang w:eastAsia="it-IT"/>
              </w:rPr>
            </w:pPr>
            <w:r w:rsidRPr="0007562C">
              <w:rPr>
                <w:rFonts w:ascii="Arial" w:eastAsia="Arial" w:hAnsi="Arial"/>
                <w:sz w:val="18"/>
                <w:szCs w:val="18"/>
                <w:rtl/>
                <w:lang w:eastAsia="it-IT"/>
              </w:rPr>
              <w:t>5-9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176,184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168,033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6EF9" w:rsidRPr="0007562C" w:rsidRDefault="001E6EF9" w:rsidP="0007562C">
            <w:pPr>
              <w:bidi w:val="0"/>
              <w:jc w:val="right"/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140,237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EF9" w:rsidRPr="0007562C" w:rsidRDefault="001E6EF9" w:rsidP="0007562C">
            <w:pPr>
              <w:bidi w:val="0"/>
              <w:jc w:val="right"/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133,695</w:t>
            </w:r>
          </w:p>
        </w:tc>
      </w:tr>
      <w:tr w:rsidR="00834062" w:rsidRPr="00747C22" w:rsidTr="0007562C">
        <w:trPr>
          <w:trHeight w:val="344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EF9" w:rsidRPr="0007562C" w:rsidRDefault="001E6EF9" w:rsidP="0007562C">
            <w:pPr>
              <w:spacing w:line="276" w:lineRule="auto"/>
              <w:rPr>
                <w:rFonts w:ascii="Arial" w:eastAsia="Arial" w:hAnsi="Arial"/>
                <w:sz w:val="18"/>
                <w:szCs w:val="18"/>
                <w:lang w:eastAsia="it-IT"/>
              </w:rPr>
            </w:pPr>
            <w:r w:rsidRPr="0007562C">
              <w:rPr>
                <w:rFonts w:ascii="Arial" w:eastAsia="Arial" w:hAnsi="Arial"/>
                <w:sz w:val="18"/>
                <w:szCs w:val="18"/>
                <w:rtl/>
                <w:lang w:eastAsia="it-IT"/>
              </w:rPr>
              <w:t>10-14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161,809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sz w:val="18"/>
                <w:szCs w:val="18"/>
                <w:rtl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154,907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6EF9" w:rsidRPr="0007562C" w:rsidRDefault="001E6EF9" w:rsidP="0007562C">
            <w:pPr>
              <w:bidi w:val="0"/>
              <w:jc w:val="right"/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116,905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EF9" w:rsidRPr="0007562C" w:rsidRDefault="001E6EF9" w:rsidP="0007562C">
            <w:pPr>
              <w:bidi w:val="0"/>
              <w:jc w:val="right"/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111,429</w:t>
            </w:r>
          </w:p>
        </w:tc>
      </w:tr>
      <w:tr w:rsidR="00834062" w:rsidRPr="00747C22" w:rsidTr="0007562C">
        <w:trPr>
          <w:trHeight w:val="30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F9" w:rsidRPr="0007562C" w:rsidRDefault="001E6EF9" w:rsidP="0007562C">
            <w:pPr>
              <w:spacing w:line="276" w:lineRule="auto"/>
              <w:rPr>
                <w:rFonts w:ascii="Arial" w:eastAsia="Arial" w:hAnsi="Arial"/>
                <w:sz w:val="18"/>
                <w:szCs w:val="18"/>
                <w:lang w:eastAsia="it-IT"/>
              </w:rPr>
            </w:pPr>
            <w:r w:rsidRPr="0007562C">
              <w:rPr>
                <w:rFonts w:ascii="Arial" w:eastAsia="Arial" w:hAnsi="Arial"/>
                <w:sz w:val="18"/>
                <w:szCs w:val="18"/>
                <w:rtl/>
                <w:lang w:eastAsia="it-IT"/>
              </w:rPr>
              <w:t>15-17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93,150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88,732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EF9" w:rsidRPr="0007562C" w:rsidRDefault="001E6EF9" w:rsidP="0007562C">
            <w:pPr>
              <w:bidi w:val="0"/>
              <w:jc w:val="right"/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60,174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EF9" w:rsidRPr="0007562C" w:rsidRDefault="001E6EF9" w:rsidP="0007562C">
            <w:pPr>
              <w:bidi w:val="0"/>
              <w:jc w:val="right"/>
              <w:rPr>
                <w:rFonts w:ascii="Arial" w:hAnsi="Arial"/>
                <w:sz w:val="18"/>
                <w:szCs w:val="18"/>
              </w:rPr>
            </w:pPr>
            <w:r w:rsidRPr="0007562C">
              <w:rPr>
                <w:rFonts w:ascii="Arial" w:hAnsi="Arial"/>
                <w:sz w:val="18"/>
                <w:szCs w:val="18"/>
              </w:rPr>
              <w:t>57,081</w:t>
            </w:r>
          </w:p>
        </w:tc>
      </w:tr>
      <w:tr w:rsidR="00834062" w:rsidRPr="00747C22" w:rsidTr="0007562C">
        <w:trPr>
          <w:trHeight w:val="2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F9" w:rsidRPr="0007562C" w:rsidRDefault="001E6EF9" w:rsidP="0007562C">
            <w:pPr>
              <w:spacing w:line="276" w:lineRule="auto"/>
              <w:rPr>
                <w:rFonts w:ascii="Arial" w:eastAsia="Arial" w:hAnsi="Arial"/>
                <w:b/>
                <w:bCs/>
                <w:sz w:val="18"/>
                <w:szCs w:val="18"/>
                <w:rtl/>
                <w:lang w:eastAsia="it-IT"/>
              </w:rPr>
            </w:pPr>
            <w:r w:rsidRPr="0007562C">
              <w:rPr>
                <w:rFonts w:ascii="Arial" w:eastAsia="Arial" w:hAnsi="Arial" w:hint="cs"/>
                <w:b/>
                <w:bCs/>
                <w:sz w:val="18"/>
                <w:szCs w:val="18"/>
                <w:rtl/>
                <w:lang w:eastAsia="it-IT"/>
              </w:rPr>
              <w:t>المجموع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7562C">
              <w:rPr>
                <w:rFonts w:ascii="Arial" w:hAnsi="Arial"/>
                <w:b/>
                <w:bCs/>
                <w:sz w:val="18"/>
                <w:szCs w:val="18"/>
              </w:rPr>
              <w:t>622,744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7562C">
              <w:rPr>
                <w:rFonts w:ascii="Arial" w:hAnsi="Arial"/>
                <w:b/>
                <w:bCs/>
                <w:sz w:val="18"/>
                <w:szCs w:val="18"/>
              </w:rPr>
              <w:t>592,603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7562C">
              <w:rPr>
                <w:rFonts w:ascii="Arial" w:hAnsi="Arial"/>
                <w:b/>
                <w:bCs/>
                <w:sz w:val="18"/>
                <w:szCs w:val="18"/>
              </w:rPr>
              <w:t>460,976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EF9" w:rsidRPr="0007562C" w:rsidRDefault="001E6EF9" w:rsidP="006F142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7562C">
              <w:rPr>
                <w:rFonts w:ascii="Arial" w:hAnsi="Arial"/>
                <w:b/>
                <w:bCs/>
                <w:sz w:val="18"/>
                <w:szCs w:val="18"/>
              </w:rPr>
              <w:t>439,047</w:t>
            </w:r>
          </w:p>
        </w:tc>
      </w:tr>
    </w:tbl>
    <w:p w:rsidR="002442D2" w:rsidRPr="006F1420" w:rsidRDefault="002442D2" w:rsidP="006F1420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3F54E7" w:rsidRPr="00C733E0" w:rsidRDefault="008562BF" w:rsidP="00787097">
      <w:pPr>
        <w:pStyle w:val="Title"/>
        <w:jc w:val="lowKashida"/>
        <w:rPr>
          <w:sz w:val="28"/>
          <w:rtl/>
        </w:rPr>
      </w:pPr>
      <w:r w:rsidRPr="00C733E0">
        <w:rPr>
          <w:rFonts w:hint="cs"/>
          <w:sz w:val="28"/>
          <w:rtl/>
        </w:rPr>
        <w:t>حوالي</w:t>
      </w:r>
      <w:r w:rsidRPr="00C733E0">
        <w:rPr>
          <w:sz w:val="28"/>
        </w:rPr>
        <w:t xml:space="preserve"> 11 </w:t>
      </w:r>
      <w:r w:rsidR="007A5C32" w:rsidRPr="00C733E0">
        <w:rPr>
          <w:rFonts w:hint="cs"/>
          <w:sz w:val="28"/>
          <w:rtl/>
        </w:rPr>
        <w:t>% من</w:t>
      </w:r>
      <w:r w:rsidR="00991A7C" w:rsidRPr="00C733E0">
        <w:rPr>
          <w:rFonts w:hint="cs"/>
          <w:sz w:val="28"/>
          <w:rtl/>
        </w:rPr>
        <w:t xml:space="preserve"> </w:t>
      </w:r>
      <w:r w:rsidR="001569AE" w:rsidRPr="00C733E0">
        <w:rPr>
          <w:rFonts w:hint="cs"/>
          <w:sz w:val="28"/>
          <w:rtl/>
        </w:rPr>
        <w:t>ال</w:t>
      </w:r>
      <w:r w:rsidR="003F54E7" w:rsidRPr="00C733E0">
        <w:rPr>
          <w:rFonts w:hint="cs"/>
          <w:sz w:val="28"/>
          <w:rtl/>
        </w:rPr>
        <w:t xml:space="preserve">اناث </w:t>
      </w:r>
      <w:r w:rsidR="00787097" w:rsidRPr="00C733E0">
        <w:rPr>
          <w:rFonts w:hint="cs"/>
          <w:sz w:val="28"/>
          <w:rtl/>
        </w:rPr>
        <w:t xml:space="preserve">في الفئة العمرية 20-24 سنة </w:t>
      </w:r>
      <w:r w:rsidR="00991A7C" w:rsidRPr="00C733E0">
        <w:rPr>
          <w:rFonts w:hint="cs"/>
          <w:sz w:val="28"/>
          <w:rtl/>
        </w:rPr>
        <w:t>تزوجن</w:t>
      </w:r>
      <w:r w:rsidR="003F54E7" w:rsidRPr="00C733E0">
        <w:rPr>
          <w:rFonts w:hint="cs"/>
          <w:sz w:val="28"/>
          <w:rtl/>
        </w:rPr>
        <w:t xml:space="preserve"> في سن الطفولة</w:t>
      </w:r>
      <w:r w:rsidR="00991A7C" w:rsidRPr="00C733E0">
        <w:rPr>
          <w:rFonts w:hint="cs"/>
          <w:sz w:val="28"/>
          <w:rtl/>
        </w:rPr>
        <w:t xml:space="preserve"> </w:t>
      </w:r>
    </w:p>
    <w:p w:rsidR="00BB1EBD" w:rsidRPr="00C733E0" w:rsidRDefault="00352558" w:rsidP="008562BF">
      <w:pPr>
        <w:pStyle w:val="Title"/>
        <w:jc w:val="both"/>
        <w:rPr>
          <w:b w:val="0"/>
          <w:bCs w:val="0"/>
          <w:sz w:val="26"/>
          <w:szCs w:val="26"/>
          <w:rtl/>
        </w:rPr>
      </w:pPr>
      <w:r w:rsidRPr="00C733E0">
        <w:rPr>
          <w:rFonts w:hint="cs"/>
          <w:b w:val="0"/>
          <w:bCs w:val="0"/>
          <w:sz w:val="26"/>
          <w:szCs w:val="26"/>
          <w:rtl/>
        </w:rPr>
        <w:t>أشارت بيانات التعداد العام للسكان والمساكن والمنشآت 2017 أن</w:t>
      </w:r>
      <w:r w:rsidR="00BB1EBD" w:rsidRPr="00C733E0">
        <w:rPr>
          <w:rFonts w:hint="cs"/>
          <w:b w:val="0"/>
          <w:bCs w:val="0"/>
          <w:sz w:val="26"/>
          <w:szCs w:val="26"/>
          <w:rtl/>
        </w:rPr>
        <w:t xml:space="preserve"> 10.8% من النساء في العمر 20-24 سنة تزوجن قبل بلوغهن سن   </w:t>
      </w:r>
      <w:r w:rsidR="00787097" w:rsidRPr="00C733E0">
        <w:rPr>
          <w:rFonts w:hint="cs"/>
          <w:b w:val="0"/>
          <w:bCs w:val="0"/>
          <w:sz w:val="26"/>
          <w:szCs w:val="26"/>
          <w:rtl/>
        </w:rPr>
        <w:t xml:space="preserve">الثامنة عشرة؛ </w:t>
      </w:r>
      <w:r w:rsidR="00BB1EBD" w:rsidRPr="00C733E0">
        <w:rPr>
          <w:rFonts w:hint="cs"/>
          <w:b w:val="0"/>
          <w:bCs w:val="0"/>
          <w:sz w:val="26"/>
          <w:szCs w:val="26"/>
          <w:rtl/>
        </w:rPr>
        <w:t>(8.5% في الضفة الغربية و13.8% في قطاع غزة</w:t>
      </w:r>
      <w:r w:rsidRPr="00C733E0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BB1EBD" w:rsidRPr="00C733E0">
        <w:rPr>
          <w:rFonts w:hint="cs"/>
          <w:b w:val="0"/>
          <w:bCs w:val="0"/>
          <w:sz w:val="26"/>
          <w:szCs w:val="26"/>
          <w:rtl/>
        </w:rPr>
        <w:t>).</w:t>
      </w:r>
    </w:p>
    <w:p w:rsidR="00E41BBD" w:rsidRPr="00C733E0" w:rsidRDefault="00E41BBD" w:rsidP="006F142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D2674" w:rsidRPr="00C733E0" w:rsidRDefault="00426565" w:rsidP="00426565">
      <w:pPr>
        <w:pStyle w:val="Title"/>
        <w:jc w:val="lowKashida"/>
        <w:rPr>
          <w:sz w:val="28"/>
          <w:rtl/>
        </w:rPr>
      </w:pPr>
      <w:r w:rsidRPr="00C733E0">
        <w:rPr>
          <w:rFonts w:hint="cs"/>
          <w:sz w:val="28"/>
          <w:rtl/>
        </w:rPr>
        <w:t>أكثر من ربع السكان هم من طلبة المدارس</w:t>
      </w:r>
    </w:p>
    <w:p w:rsidR="00EA611C" w:rsidRPr="00C733E0" w:rsidRDefault="000A2258" w:rsidP="0078709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33E0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C54EC9" w:rsidRPr="00C733E0">
        <w:rPr>
          <w:rFonts w:ascii="Simplified Arabic" w:hAnsi="Simplified Arabic" w:cs="Simplified Arabic"/>
          <w:sz w:val="26"/>
          <w:szCs w:val="26"/>
          <w:rtl/>
        </w:rPr>
        <w:t xml:space="preserve">ظهرت البيانات </w:t>
      </w:r>
      <w:r w:rsidR="00F2729E" w:rsidRPr="00C733E0">
        <w:rPr>
          <w:rFonts w:ascii="Simplified Arabic" w:hAnsi="Simplified Arabic" w:cs="Simplified Arabic" w:hint="cs"/>
          <w:sz w:val="26"/>
          <w:szCs w:val="26"/>
          <w:rtl/>
        </w:rPr>
        <w:t>الأ</w:t>
      </w:r>
      <w:r w:rsidR="00787097"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ولية </w:t>
      </w:r>
      <w:r w:rsidRPr="00C733E0">
        <w:rPr>
          <w:rFonts w:ascii="Simplified Arabic" w:hAnsi="Simplified Arabic" w:cs="Simplified Arabic"/>
          <w:sz w:val="26"/>
          <w:szCs w:val="26"/>
          <w:rtl/>
        </w:rPr>
        <w:t>للعام الدراسي 2017/2018 ب</w:t>
      </w:r>
      <w:r w:rsidRPr="00C733E0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C54EC9" w:rsidRPr="00C733E0">
        <w:rPr>
          <w:rFonts w:ascii="Simplified Arabic" w:hAnsi="Simplified Arabic" w:cs="Simplified Arabic"/>
          <w:sz w:val="26"/>
          <w:szCs w:val="26"/>
          <w:rtl/>
        </w:rPr>
        <w:t>ن عدد طلبة المدارس في فلسطين بلغ حوالي 1.25</w:t>
      </w:r>
      <w:r w:rsidR="00FD2674" w:rsidRPr="00C733E0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C54EC9" w:rsidRPr="00C733E0">
        <w:rPr>
          <w:rFonts w:ascii="Simplified Arabic" w:hAnsi="Simplified Arabic" w:cs="Simplified Arabic"/>
          <w:sz w:val="26"/>
          <w:szCs w:val="26"/>
          <w:rtl/>
        </w:rPr>
        <w:t xml:space="preserve"> مليون طالباً وطالبة منهم </w:t>
      </w:r>
      <w:r w:rsidR="00C54EC9" w:rsidRPr="00C733E0">
        <w:rPr>
          <w:rFonts w:ascii="Simplified Arabic" w:hAnsi="Simplified Arabic" w:cs="Simplified Arabic"/>
          <w:sz w:val="26"/>
          <w:szCs w:val="26"/>
        </w:rPr>
        <w:t>1.1</w:t>
      </w:r>
      <w:r w:rsidR="00FD2674" w:rsidRPr="00C733E0">
        <w:rPr>
          <w:rFonts w:ascii="Simplified Arabic" w:hAnsi="Simplified Arabic" w:cs="Simplified Arabic"/>
          <w:sz w:val="26"/>
          <w:szCs w:val="26"/>
        </w:rPr>
        <w:t>07</w:t>
      </w:r>
      <w:r w:rsidR="00C54EC9" w:rsidRPr="00C733E0">
        <w:rPr>
          <w:rFonts w:ascii="Simplified Arabic" w:hAnsi="Simplified Arabic" w:cs="Simplified Arabic"/>
          <w:sz w:val="26"/>
          <w:szCs w:val="26"/>
          <w:rtl/>
        </w:rPr>
        <w:t xml:space="preserve"> مليون طالباً وطالبة في ا</w:t>
      </w:r>
      <w:r w:rsidRPr="00C733E0">
        <w:rPr>
          <w:rFonts w:ascii="Simplified Arabic" w:hAnsi="Simplified Arabic" w:cs="Simplified Arabic"/>
          <w:sz w:val="26"/>
          <w:szCs w:val="26"/>
          <w:rtl/>
        </w:rPr>
        <w:t>لمرحلة الأساسية</w:t>
      </w:r>
      <w:r w:rsidR="001E5385"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 بواقع 50.4% ذكور مقابل 49.6% إ</w:t>
      </w:r>
      <w:r w:rsidR="00FD2674" w:rsidRPr="00C733E0">
        <w:rPr>
          <w:rFonts w:ascii="Simplified Arabic" w:hAnsi="Simplified Arabic" w:cs="Simplified Arabic" w:hint="cs"/>
          <w:sz w:val="26"/>
          <w:szCs w:val="26"/>
          <w:rtl/>
        </w:rPr>
        <w:t>ناث،</w:t>
      </w:r>
      <w:r w:rsidRPr="00C733E0">
        <w:rPr>
          <w:rFonts w:ascii="Simplified Arabic" w:hAnsi="Simplified Arabic" w:cs="Simplified Arabic"/>
          <w:sz w:val="26"/>
          <w:szCs w:val="26"/>
          <w:rtl/>
        </w:rPr>
        <w:t xml:space="preserve"> و147 </w:t>
      </w:r>
      <w:r w:rsidRPr="00C733E0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C54EC9" w:rsidRPr="00C733E0">
        <w:rPr>
          <w:rFonts w:ascii="Simplified Arabic" w:hAnsi="Simplified Arabic" w:cs="Simplified Arabic"/>
          <w:sz w:val="26"/>
          <w:szCs w:val="26"/>
          <w:rtl/>
        </w:rPr>
        <w:t>لف طالباً وطالبة في المرحلة الثانوية</w:t>
      </w:r>
      <w:r w:rsidR="00FD2674"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 بواقع 43.7% للذكور مقابل 56.3%</w:t>
      </w:r>
      <w:r w:rsidR="0098738F"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87097" w:rsidRPr="00C733E0">
        <w:rPr>
          <w:rFonts w:ascii="Simplified Arabic" w:hAnsi="Simplified Arabic" w:cs="Simplified Arabic" w:hint="cs"/>
          <w:sz w:val="26"/>
          <w:szCs w:val="26"/>
          <w:rtl/>
        </w:rPr>
        <w:t>لل</w:t>
      </w:r>
      <w:r w:rsidR="0098738F" w:rsidRPr="00C733E0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447C97" w:rsidRPr="00C733E0">
        <w:rPr>
          <w:rFonts w:ascii="Simplified Arabic" w:hAnsi="Simplified Arabic" w:cs="Simplified Arabic" w:hint="cs"/>
          <w:sz w:val="26"/>
          <w:szCs w:val="26"/>
          <w:rtl/>
        </w:rPr>
        <w:t>ناث</w:t>
      </w:r>
      <w:r w:rsidR="00DF1B6C" w:rsidRPr="00C733E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</w:p>
    <w:p w:rsidR="001E5385" w:rsidRPr="00C733E0" w:rsidRDefault="001E5385" w:rsidP="006F14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EA611C" w:rsidRPr="00C733E0" w:rsidRDefault="00C54EC9" w:rsidP="006F14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33E0">
        <w:rPr>
          <w:rFonts w:ascii="Simplified Arabic" w:hAnsi="Simplified Arabic" w:cs="Simplified Arabic"/>
          <w:sz w:val="26"/>
          <w:szCs w:val="26"/>
          <w:rtl/>
        </w:rPr>
        <w:t>في حين بلغ عدد الأطفال الملتحقين في رياض الأطفال في العام الدراسي 2016/2017 في فلسطين حوالي 146.8 أ</w:t>
      </w:r>
      <w:r w:rsidR="00EA611C" w:rsidRPr="00C733E0">
        <w:rPr>
          <w:rFonts w:ascii="Simplified Arabic" w:hAnsi="Simplified Arabic" w:cs="Simplified Arabic"/>
          <w:sz w:val="26"/>
          <w:szCs w:val="26"/>
          <w:rtl/>
        </w:rPr>
        <w:t>لف طفلاً وطفلة</w:t>
      </w:r>
      <w:r w:rsidR="00EA611C" w:rsidRPr="00C733E0">
        <w:rPr>
          <w:rFonts w:ascii="Simplified Arabic" w:hAnsi="Simplified Arabic" w:cs="Simplified Arabic" w:hint="cs"/>
          <w:sz w:val="26"/>
          <w:szCs w:val="26"/>
          <w:rtl/>
        </w:rPr>
        <w:t xml:space="preserve"> منهم 51.1% ذكور مقابل 48.9% إناث.</w:t>
      </w:r>
    </w:p>
    <w:p w:rsidR="00787097" w:rsidRPr="00C733E0" w:rsidRDefault="00787097" w:rsidP="006F14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C54EC9" w:rsidRPr="00C733E0" w:rsidRDefault="00DF1B6C" w:rsidP="0098738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33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معدلات التسرب</w:t>
      </w:r>
      <w:r w:rsidR="00E41BBD" w:rsidRPr="00C733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733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بين الذكور أعلى منها بين الاناث</w:t>
      </w:r>
      <w:r w:rsidR="00A827A8" w:rsidRPr="00C733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C54EC9" w:rsidRPr="00C733E0" w:rsidRDefault="00C54EC9" w:rsidP="0078709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733E0">
        <w:rPr>
          <w:rFonts w:ascii="Simplified Arabic" w:hAnsi="Simplified Arabic" w:cs="Simplified Arabic"/>
          <w:sz w:val="26"/>
          <w:szCs w:val="26"/>
          <w:rtl/>
        </w:rPr>
        <w:t xml:space="preserve">بلغت نسبة التسرب في </w:t>
      </w:r>
      <w:r w:rsidR="00787097" w:rsidRPr="00C733E0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C733E0">
        <w:rPr>
          <w:rFonts w:ascii="Simplified Arabic" w:hAnsi="Simplified Arabic" w:cs="Simplified Arabic"/>
          <w:sz w:val="26"/>
          <w:szCs w:val="26"/>
          <w:rtl/>
        </w:rPr>
        <w:t>مرحلة الأساسي</w:t>
      </w:r>
      <w:r w:rsidR="00787097" w:rsidRPr="00C733E0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Pr="00C733E0">
        <w:rPr>
          <w:rFonts w:ascii="Simplified Arabic" w:hAnsi="Simplified Arabic" w:cs="Simplified Arabic"/>
          <w:sz w:val="26"/>
          <w:szCs w:val="26"/>
          <w:rtl/>
        </w:rPr>
        <w:t xml:space="preserve"> في العام الدراسي 2015/2016 حوالي 1.</w:t>
      </w:r>
      <w:r w:rsidRPr="00C733E0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C733E0">
        <w:rPr>
          <w:rFonts w:ascii="Simplified Arabic" w:hAnsi="Simplified Arabic" w:cs="Simplified Arabic"/>
          <w:sz w:val="26"/>
          <w:szCs w:val="26"/>
          <w:rtl/>
        </w:rPr>
        <w:t>% بين الذكور مقابل 0.</w:t>
      </w:r>
      <w:r w:rsidRPr="00C733E0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Pr="00C733E0">
        <w:rPr>
          <w:rFonts w:ascii="Simplified Arabic" w:hAnsi="Simplified Arabic" w:cs="Simplified Arabic"/>
          <w:sz w:val="26"/>
          <w:szCs w:val="26"/>
          <w:rtl/>
        </w:rPr>
        <w:t>% بين الإناث</w:t>
      </w:r>
      <w:r w:rsidR="00787097" w:rsidRPr="00C733E0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C733E0">
        <w:rPr>
          <w:rFonts w:ascii="Simplified Arabic" w:hAnsi="Simplified Arabic" w:cs="Simplified Arabic"/>
          <w:sz w:val="26"/>
          <w:szCs w:val="26"/>
          <w:rtl/>
        </w:rPr>
        <w:t xml:space="preserve"> وفي المرحلة الثانوية بلغت هذه النسبة 1.3% بين الذكور مقابل 1.1% بين الإناث.</w:t>
      </w:r>
    </w:p>
    <w:p w:rsidR="00BC1F13" w:rsidRPr="00C733E0" w:rsidRDefault="00BC1F13" w:rsidP="006F142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BE3B69" w:rsidRPr="00C733E0" w:rsidRDefault="00BE3B69" w:rsidP="00BE3B69">
      <w:pPr>
        <w:pStyle w:val="BodyText"/>
        <w:jc w:val="left"/>
        <w:rPr>
          <w:rFonts w:ascii="Simplified Arabic" w:hAnsi="Simplified Arabic"/>
          <w:b/>
          <w:bCs/>
          <w:sz w:val="28"/>
          <w:szCs w:val="28"/>
          <w:rtl/>
          <w:lang w:bidi="ar-JO"/>
        </w:rPr>
      </w:pPr>
      <w:r w:rsidRPr="00C733E0">
        <w:rPr>
          <w:rFonts w:ascii="Simplified Arabic" w:hAnsi="Simplified Arabic"/>
          <w:b/>
          <w:bCs/>
          <w:sz w:val="28"/>
          <w:szCs w:val="28"/>
          <w:rtl/>
          <w:lang w:bidi="ar-JO"/>
        </w:rPr>
        <w:t>الأطفال الذكور المنخرطين في العمل أعلى من</w:t>
      </w:r>
      <w:r w:rsidRPr="00C733E0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C733E0">
        <w:rPr>
          <w:rFonts w:ascii="Simplified Arabic" w:hAnsi="Simplified Arabic"/>
          <w:b/>
          <w:bCs/>
          <w:sz w:val="28"/>
          <w:szCs w:val="28"/>
          <w:rtl/>
          <w:lang w:bidi="ar-JO"/>
        </w:rPr>
        <w:t>الإناث</w:t>
      </w:r>
    </w:p>
    <w:p w:rsidR="00BE3B69" w:rsidRPr="00BC1F13" w:rsidRDefault="00BE3B69" w:rsidP="00BE3B69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BC1F13">
        <w:rPr>
          <w:rFonts w:ascii="Simplified Arabic" w:hAnsi="Simplified Arabic" w:cs="Simplified Arabic"/>
          <w:sz w:val="26"/>
          <w:szCs w:val="26"/>
          <w:rtl/>
        </w:rPr>
        <w:t>حوالي 3.4%</w:t>
      </w:r>
      <w:r w:rsidR="00F2729E" w:rsidRPr="00BC1F13">
        <w:rPr>
          <w:rFonts w:ascii="Simplified Arabic" w:hAnsi="Simplified Arabic" w:cs="Simplified Arabic"/>
          <w:sz w:val="26"/>
          <w:szCs w:val="26"/>
          <w:rtl/>
        </w:rPr>
        <w:t xml:space="preserve"> نسبة الأ</w:t>
      </w:r>
      <w:r w:rsidRPr="00BC1F13">
        <w:rPr>
          <w:rFonts w:ascii="Simplified Arabic" w:hAnsi="Simplified Arabic" w:cs="Simplified Arabic"/>
          <w:sz w:val="26"/>
          <w:szCs w:val="26"/>
          <w:rtl/>
        </w:rPr>
        <w:t xml:space="preserve">طفال العاملين </w:t>
      </w:r>
      <w:r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سواء بأجر أو بدون أجر </w:t>
      </w:r>
      <w:r w:rsidRPr="00BC1F13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>من إجمالي عدد الأطفال في الفئة العمرية (10-17) سنة خلال 2017، وذلك بواقع 4.6% في الضفة الغربية و1.7% في قطاع غزة (6.6% أطفال ذكور مقارنة بـ 0.1% من الأطفال إناث).</w:t>
      </w:r>
    </w:p>
    <w:p w:rsidR="00BE3B69" w:rsidRPr="00BC1F13" w:rsidRDefault="00BE3B69" w:rsidP="00BE3B69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:rsidR="00BE3B69" w:rsidRPr="00BC1F13" w:rsidRDefault="00BE3B69" w:rsidP="00BE3B6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كما بلغت نسبة الأطفال الملتحقين بالمدارس ويعملون 1.2% بواقع 1.6% في الضفة الغربية و0.7% في قطاع غزة، وعلى مستوى الجنس بلغت النسبة </w:t>
      </w:r>
      <w:r w:rsidRPr="00BC1F13">
        <w:rPr>
          <w:rFonts w:ascii="Simplified Arabic" w:hAnsi="Simplified Arabic" w:cs="Simplified Arabic"/>
          <w:sz w:val="26"/>
          <w:szCs w:val="26"/>
          <w:rtl/>
        </w:rPr>
        <w:t>2.4</w:t>
      </w:r>
      <w:r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>% للذكور مقابل 0.1% للإناث خلال العام 2017.</w:t>
      </w:r>
    </w:p>
    <w:p w:rsidR="00426565" w:rsidRPr="00BC1F13" w:rsidRDefault="00426565" w:rsidP="006F1420">
      <w:pPr>
        <w:pStyle w:val="BodyText"/>
        <w:ind w:left="353" w:hanging="283"/>
        <w:jc w:val="both"/>
        <w:rPr>
          <w:rFonts w:ascii="Simplified Arabic" w:hAnsi="Simplified Arabic"/>
          <w:b/>
          <w:bCs/>
          <w:sz w:val="26"/>
          <w:szCs w:val="26"/>
          <w:rtl/>
        </w:rPr>
      </w:pPr>
    </w:p>
    <w:p w:rsidR="009968A3" w:rsidRPr="00BC1F13" w:rsidRDefault="009968A3" w:rsidP="008D24D4">
      <w:pPr>
        <w:pStyle w:val="BodyText"/>
        <w:jc w:val="both"/>
        <w:rPr>
          <w:rFonts w:ascii="Simplified Arabic" w:hAnsi="Simplified Arabic"/>
          <w:b/>
          <w:bCs/>
          <w:sz w:val="28"/>
          <w:szCs w:val="28"/>
          <w:rtl/>
          <w:lang w:bidi="ar-JO"/>
        </w:rPr>
      </w:pPr>
      <w:r w:rsidRPr="00BC1F13">
        <w:rPr>
          <w:rFonts w:ascii="Simplified Arabic" w:hAnsi="Simplified Arabic"/>
          <w:b/>
          <w:bCs/>
          <w:sz w:val="28"/>
          <w:szCs w:val="28"/>
          <w:rtl/>
          <w:lang w:bidi="ar-JO"/>
        </w:rPr>
        <w:t>الاسباب ال</w:t>
      </w:r>
      <w:r w:rsidR="0098738F" w:rsidRPr="00BC1F13">
        <w:rPr>
          <w:rFonts w:ascii="Simplified Arabic" w:hAnsi="Simplified Arabic"/>
          <w:b/>
          <w:bCs/>
          <w:sz w:val="28"/>
          <w:szCs w:val="28"/>
          <w:rtl/>
          <w:lang w:bidi="ar-JO"/>
        </w:rPr>
        <w:t>خلقية (الوراثية) هي الأكثر سبباً</w:t>
      </w:r>
      <w:r w:rsidRPr="00BC1F13">
        <w:rPr>
          <w:rFonts w:ascii="Simplified Arabic" w:hAnsi="Simplified Arabic"/>
          <w:b/>
          <w:bCs/>
          <w:sz w:val="28"/>
          <w:szCs w:val="28"/>
          <w:rtl/>
          <w:lang w:bidi="ar-JO"/>
        </w:rPr>
        <w:t xml:space="preserve"> </w:t>
      </w:r>
      <w:r w:rsidR="008D24D4" w:rsidRPr="00BC1F13">
        <w:rPr>
          <w:rFonts w:ascii="Simplified Arabic" w:hAnsi="Simplified Arabic"/>
          <w:b/>
          <w:bCs/>
          <w:sz w:val="28"/>
          <w:szCs w:val="28"/>
          <w:rtl/>
          <w:lang w:bidi="ar-JO"/>
        </w:rPr>
        <w:t>للإعاقات بين الأطفال</w:t>
      </w:r>
    </w:p>
    <w:p w:rsidR="004D5EB7" w:rsidRPr="00BC1F13" w:rsidRDefault="00045FC8" w:rsidP="008562BF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  <w:r w:rsidRPr="00BC1F13">
        <w:rPr>
          <w:rFonts w:ascii="Simplified Arabic" w:hAnsi="Simplified Arabic"/>
          <w:sz w:val="26"/>
          <w:szCs w:val="26"/>
          <w:rtl/>
          <w:lang w:bidi="ar-JO"/>
        </w:rPr>
        <w:t>أ</w:t>
      </w:r>
      <w:r w:rsidR="00C54EC9" w:rsidRPr="00BC1F13">
        <w:rPr>
          <w:rFonts w:ascii="Simplified Arabic" w:hAnsi="Simplified Arabic"/>
          <w:sz w:val="26"/>
          <w:szCs w:val="26"/>
          <w:rtl/>
          <w:lang w:bidi="ar-JO"/>
        </w:rPr>
        <w:t>شارت بيانات التعداد</w:t>
      </w:r>
      <w:r w:rsidR="009968A3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العام للسكان والمساكن والمنشآت</w:t>
      </w:r>
      <w:r w:rsidR="00FC74F2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</w:t>
      </w:r>
      <w:r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2017، </w:t>
      </w:r>
      <w:r w:rsidR="00FC74F2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أن 0.9% من الاطفال </w:t>
      </w:r>
      <w:r w:rsidR="0098738F" w:rsidRPr="00BC1F13">
        <w:rPr>
          <w:rFonts w:ascii="Simplified Arabic" w:hAnsi="Simplified Arabic"/>
          <w:sz w:val="26"/>
          <w:szCs w:val="26"/>
          <w:rtl/>
          <w:lang w:bidi="ar-JO"/>
        </w:rPr>
        <w:t>لدي</w:t>
      </w:r>
      <w:r w:rsidR="00FC74F2" w:rsidRPr="00BC1F13">
        <w:rPr>
          <w:rFonts w:ascii="Simplified Arabic" w:hAnsi="Simplified Arabic"/>
          <w:sz w:val="26"/>
          <w:szCs w:val="26"/>
          <w:rtl/>
          <w:lang w:bidi="ar-JO"/>
        </w:rPr>
        <w:t>هم</w:t>
      </w:r>
      <w:r w:rsidR="000D43FF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على الأقل أحد أشكال</w:t>
      </w:r>
      <w:r w:rsidR="0017245E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الاعاقة</w:t>
      </w:r>
      <w:r w:rsidR="00FC74F2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</w:t>
      </w:r>
      <w:r w:rsidR="00646F08" w:rsidRPr="00BC1F13">
        <w:rPr>
          <w:rFonts w:ascii="Simplified Arabic" w:hAnsi="Simplified Arabic"/>
          <w:sz w:val="26"/>
          <w:szCs w:val="26"/>
          <w:rtl/>
          <w:lang w:bidi="ar-JO"/>
        </w:rPr>
        <w:t>(</w:t>
      </w:r>
      <w:r w:rsidR="0043579F" w:rsidRPr="00BC1F13">
        <w:rPr>
          <w:rFonts w:ascii="Simplified Arabic" w:hAnsi="Simplified Arabic"/>
          <w:sz w:val="26"/>
          <w:szCs w:val="26"/>
          <w:rtl/>
          <w:lang w:bidi="ar-JO"/>
        </w:rPr>
        <w:t>0.7</w:t>
      </w:r>
      <w:r w:rsidR="00C54EC9" w:rsidRPr="00BC1F13">
        <w:rPr>
          <w:rFonts w:ascii="Simplified Arabic" w:hAnsi="Simplified Arabic"/>
          <w:sz w:val="26"/>
          <w:szCs w:val="26"/>
          <w:rtl/>
          <w:lang w:bidi="ar-JO"/>
        </w:rPr>
        <w:t>% في الضفة الغربية و</w:t>
      </w:r>
      <w:r w:rsidR="0043579F" w:rsidRPr="00BC1F13">
        <w:rPr>
          <w:rFonts w:ascii="Simplified Arabic" w:hAnsi="Simplified Arabic"/>
          <w:sz w:val="26"/>
          <w:szCs w:val="26"/>
          <w:rtl/>
          <w:lang w:bidi="ar-JO"/>
        </w:rPr>
        <w:t>1.2</w:t>
      </w:r>
      <w:r w:rsidR="00C54EC9" w:rsidRPr="00BC1F13">
        <w:rPr>
          <w:rFonts w:ascii="Simplified Arabic" w:hAnsi="Simplified Arabic"/>
          <w:sz w:val="26"/>
          <w:szCs w:val="26"/>
          <w:rtl/>
          <w:lang w:bidi="ar-JO"/>
        </w:rPr>
        <w:t>% في قطاع غزة</w:t>
      </w:r>
      <w:r w:rsidR="00646F08" w:rsidRPr="00BC1F13">
        <w:rPr>
          <w:rFonts w:ascii="Simplified Arabic" w:hAnsi="Simplified Arabic"/>
          <w:sz w:val="26"/>
          <w:szCs w:val="26"/>
          <w:rtl/>
          <w:lang w:bidi="ar-JO"/>
        </w:rPr>
        <w:t>)</w:t>
      </w:r>
      <w:r w:rsidR="00FC74F2" w:rsidRPr="00BC1F13">
        <w:rPr>
          <w:rFonts w:ascii="Simplified Arabic" w:hAnsi="Simplified Arabic"/>
          <w:sz w:val="26"/>
          <w:szCs w:val="26"/>
          <w:rtl/>
          <w:lang w:bidi="ar-JO"/>
        </w:rPr>
        <w:t>،</w:t>
      </w:r>
      <w:r w:rsidR="00C54EC9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</w:t>
      </w:r>
      <w:r w:rsidR="0098738F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بواقع </w:t>
      </w:r>
      <w:r w:rsidR="009B70EB" w:rsidRPr="00BC1F13">
        <w:rPr>
          <w:rFonts w:ascii="Simplified Arabic" w:hAnsi="Simplified Arabic"/>
          <w:sz w:val="26"/>
          <w:szCs w:val="26"/>
          <w:rtl/>
          <w:lang w:bidi="ar-JO"/>
        </w:rPr>
        <w:t>1.1</w:t>
      </w:r>
      <w:r w:rsidR="00C54EC9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% من الاطفال الذكور مقابل </w:t>
      </w:r>
      <w:r w:rsidR="009B70EB" w:rsidRPr="00BC1F13">
        <w:rPr>
          <w:rFonts w:ascii="Simplified Arabic" w:hAnsi="Simplified Arabic"/>
          <w:sz w:val="26"/>
          <w:szCs w:val="26"/>
          <w:rtl/>
          <w:lang w:bidi="ar-JO"/>
        </w:rPr>
        <w:t>0.8</w:t>
      </w:r>
      <w:r w:rsidR="00C54EC9" w:rsidRPr="00BC1F13">
        <w:rPr>
          <w:rFonts w:ascii="Simplified Arabic" w:hAnsi="Simplified Arabic"/>
          <w:sz w:val="26"/>
          <w:szCs w:val="26"/>
          <w:rtl/>
          <w:lang w:bidi="ar-JO"/>
        </w:rPr>
        <w:t>% من</w:t>
      </w:r>
      <w:r w:rsidR="00426565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الطفلات</w:t>
      </w:r>
      <w:r w:rsidR="00C54EC9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الاناث.</w:t>
      </w:r>
      <w:r w:rsidR="004D5EB7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 </w:t>
      </w:r>
    </w:p>
    <w:p w:rsidR="004D5EB7" w:rsidRPr="00BC1F13" w:rsidRDefault="004D5EB7" w:rsidP="006F1420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</w:p>
    <w:p w:rsidR="004A751B" w:rsidRPr="00BC1F13" w:rsidRDefault="008D24D4" w:rsidP="00787097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  <w:r w:rsidRPr="00BC1F13">
        <w:rPr>
          <w:rFonts w:ascii="Simplified Arabic" w:hAnsi="Simplified Arabic"/>
          <w:sz w:val="26"/>
          <w:szCs w:val="26"/>
          <w:rtl/>
          <w:lang w:bidi="ar-JO"/>
        </w:rPr>
        <w:t>اما عن السبب الرئيسي لحدوث الاعاقة بين الأطفال</w:t>
      </w:r>
      <w:r w:rsidR="003938A0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</w:t>
      </w:r>
      <w:r w:rsidR="00F2729E" w:rsidRPr="00BC1F13">
        <w:rPr>
          <w:rFonts w:ascii="Simplified Arabic" w:hAnsi="Simplified Arabic"/>
          <w:sz w:val="26"/>
          <w:szCs w:val="26"/>
          <w:rtl/>
          <w:lang w:bidi="ar-JO"/>
        </w:rPr>
        <w:t>شكلت الأ</w:t>
      </w:r>
      <w:r w:rsidR="00787097" w:rsidRPr="00BC1F13">
        <w:rPr>
          <w:rFonts w:ascii="Simplified Arabic" w:hAnsi="Simplified Arabic"/>
          <w:sz w:val="26"/>
          <w:szCs w:val="26"/>
          <w:rtl/>
          <w:lang w:bidi="ar-JO"/>
        </w:rPr>
        <w:t>سباب</w:t>
      </w:r>
      <w:r w:rsidR="008562BF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</w:t>
      </w:r>
      <w:r w:rsidRPr="00BC1F13">
        <w:rPr>
          <w:rFonts w:ascii="Simplified Arabic" w:hAnsi="Simplified Arabic"/>
          <w:sz w:val="26"/>
          <w:szCs w:val="26"/>
          <w:rtl/>
          <w:lang w:bidi="ar-JO"/>
        </w:rPr>
        <w:t>الخلقية (الوراثية) 45.5%</w:t>
      </w:r>
      <w:r w:rsidR="008562BF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من </w:t>
      </w:r>
      <w:r w:rsidR="00F2729E" w:rsidRPr="00BC1F13">
        <w:rPr>
          <w:rFonts w:ascii="Simplified Arabic" w:hAnsi="Simplified Arabic"/>
          <w:sz w:val="26"/>
          <w:szCs w:val="26"/>
          <w:rtl/>
          <w:lang w:bidi="ar-JO"/>
        </w:rPr>
        <w:t>بين أسباب الإعاقة بين الأ</w:t>
      </w:r>
      <w:r w:rsidR="00787097" w:rsidRPr="00BC1F13">
        <w:rPr>
          <w:rFonts w:ascii="Simplified Arabic" w:hAnsi="Simplified Arabic"/>
          <w:sz w:val="26"/>
          <w:szCs w:val="26"/>
          <w:rtl/>
          <w:lang w:bidi="ar-JO"/>
        </w:rPr>
        <w:t>طفال</w:t>
      </w:r>
      <w:r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؛ بواقع (43.5% </w:t>
      </w:r>
      <w:r w:rsidR="00787097" w:rsidRPr="00BC1F13">
        <w:rPr>
          <w:rFonts w:ascii="Simplified Arabic" w:hAnsi="Simplified Arabic"/>
          <w:sz w:val="26"/>
          <w:szCs w:val="26"/>
          <w:rtl/>
          <w:lang w:bidi="ar-JO"/>
        </w:rPr>
        <w:t>لل</w:t>
      </w:r>
      <w:r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ذكور، و48.3% </w:t>
      </w:r>
      <w:r w:rsidR="00787097" w:rsidRPr="00BC1F13">
        <w:rPr>
          <w:rFonts w:ascii="Simplified Arabic" w:hAnsi="Simplified Arabic"/>
          <w:sz w:val="26"/>
          <w:szCs w:val="26"/>
          <w:rtl/>
          <w:lang w:bidi="ar-JO"/>
        </w:rPr>
        <w:t>لل</w:t>
      </w:r>
      <w:r w:rsidRPr="00BC1F13">
        <w:rPr>
          <w:rFonts w:ascii="Simplified Arabic" w:hAnsi="Simplified Arabic"/>
          <w:sz w:val="26"/>
          <w:szCs w:val="26"/>
          <w:rtl/>
          <w:lang w:bidi="ar-JO"/>
        </w:rPr>
        <w:t>إناث)، تليها الأسباب المتعلقة بالحمل والولادة بنسبة 23.3% بواقع (22.8% ذكور، و</w:t>
      </w:r>
      <w:r w:rsidR="00F73E1A" w:rsidRPr="00BC1F13">
        <w:rPr>
          <w:rFonts w:ascii="Simplified Arabic" w:hAnsi="Simplified Arabic"/>
          <w:sz w:val="26"/>
          <w:szCs w:val="26"/>
          <w:rtl/>
          <w:lang w:bidi="ar-JO"/>
        </w:rPr>
        <w:t>24</w:t>
      </w:r>
      <w:r w:rsidRPr="00BC1F13">
        <w:rPr>
          <w:rFonts w:ascii="Simplified Arabic" w:hAnsi="Simplified Arabic"/>
          <w:sz w:val="26"/>
          <w:szCs w:val="26"/>
          <w:rtl/>
          <w:lang w:bidi="ar-JO"/>
        </w:rPr>
        <w:t>.1%</w:t>
      </w:r>
      <w:r w:rsidR="000C7A5E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</w:t>
      </w:r>
      <w:r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إناث)، </w:t>
      </w:r>
      <w:r w:rsidR="0009667A" w:rsidRPr="00BC1F13">
        <w:rPr>
          <w:rFonts w:ascii="Simplified Arabic" w:hAnsi="Simplified Arabic"/>
          <w:sz w:val="26"/>
          <w:szCs w:val="26"/>
          <w:rtl/>
          <w:lang w:bidi="ar-JO"/>
        </w:rPr>
        <w:t>و</w:t>
      </w:r>
      <w:r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الأسباب المرضية بنسبة 21.1% بواقع (22.2% ذكور، و19.6% إناث). </w:t>
      </w:r>
    </w:p>
    <w:p w:rsidR="008D24D4" w:rsidRPr="00BC1F13" w:rsidRDefault="008D24D4" w:rsidP="008562BF">
      <w:pPr>
        <w:pStyle w:val="BodyText"/>
        <w:jc w:val="both"/>
        <w:rPr>
          <w:rFonts w:ascii="Simplified Arabic" w:hAnsi="Simplified Arabic"/>
          <w:sz w:val="26"/>
          <w:szCs w:val="26"/>
          <w:rtl/>
          <w:lang w:bidi="ar-JO"/>
        </w:rPr>
      </w:pPr>
      <w:r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</w:t>
      </w:r>
    </w:p>
    <w:p w:rsidR="008C7E08" w:rsidRPr="00BC1F13" w:rsidRDefault="008D24D4" w:rsidP="00787097">
      <w:pPr>
        <w:pStyle w:val="BodyText"/>
        <w:jc w:val="both"/>
        <w:rPr>
          <w:rFonts w:ascii="Simplified Arabic" w:hAnsi="Simplified Arabic"/>
          <w:b/>
          <w:bCs/>
          <w:sz w:val="26"/>
          <w:szCs w:val="26"/>
          <w:rtl/>
          <w:lang w:bidi="ar-JO"/>
        </w:rPr>
      </w:pPr>
      <w:r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وحول </w:t>
      </w:r>
      <w:r w:rsidR="00F2729E" w:rsidRPr="00BC1F13">
        <w:rPr>
          <w:rFonts w:ascii="Simplified Arabic" w:hAnsi="Simplified Arabic"/>
          <w:sz w:val="26"/>
          <w:szCs w:val="26"/>
          <w:rtl/>
          <w:lang w:bidi="ar-JO"/>
        </w:rPr>
        <w:t>نوع الإ</w:t>
      </w:r>
      <w:r w:rsidR="00787097" w:rsidRPr="00BC1F13">
        <w:rPr>
          <w:rFonts w:ascii="Simplified Arabic" w:hAnsi="Simplified Arabic"/>
          <w:sz w:val="26"/>
          <w:szCs w:val="26"/>
          <w:rtl/>
          <w:lang w:bidi="ar-JO"/>
        </w:rPr>
        <w:t>عاقة</w:t>
      </w:r>
      <w:r w:rsidR="00F2729E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بين الاطفال ذوي الإعاقة كانت إ</w:t>
      </w:r>
      <w:r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عاقة التواصل </w:t>
      </w:r>
      <w:r w:rsidR="0009667A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الاكثر انتشاراً بنسبة 25.3%، </w:t>
      </w:r>
      <w:r w:rsidR="000C7A5E" w:rsidRPr="00BC1F13">
        <w:rPr>
          <w:rFonts w:ascii="Simplified Arabic" w:hAnsi="Simplified Arabic"/>
          <w:sz w:val="26"/>
          <w:szCs w:val="26"/>
          <w:rtl/>
          <w:lang w:bidi="ar-JO"/>
        </w:rPr>
        <w:t>تلتها</w:t>
      </w:r>
      <w:r w:rsidR="0009667A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الحركة واستخدام </w:t>
      </w:r>
      <w:r w:rsidR="000C7A5E" w:rsidRPr="00BC1F13">
        <w:rPr>
          <w:rFonts w:ascii="Simplified Arabic" w:hAnsi="Simplified Arabic"/>
          <w:sz w:val="26"/>
          <w:szCs w:val="26"/>
          <w:rtl/>
          <w:lang w:bidi="ar-JO"/>
        </w:rPr>
        <w:t>الايدي</w:t>
      </w:r>
      <w:r w:rsidR="008562BF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بنسبة</w:t>
      </w:r>
      <w:r w:rsidR="0009667A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25.1% ومن ثم التذكر والتركيز بنسبة 19.7% وأقلها السمع بنسبة 13.2% للعام</w:t>
      </w:r>
      <w:r w:rsidR="00861D32" w:rsidRPr="00BC1F13">
        <w:rPr>
          <w:rFonts w:ascii="Simplified Arabic" w:hAnsi="Simplified Arabic"/>
          <w:sz w:val="26"/>
          <w:szCs w:val="26"/>
          <w:rtl/>
          <w:lang w:bidi="ar-JO"/>
        </w:rPr>
        <w:t xml:space="preserve"> 2017</w:t>
      </w:r>
      <w:r w:rsidR="008C7E08" w:rsidRPr="00BC1F13">
        <w:rPr>
          <w:rFonts w:ascii="Simplified Arabic" w:hAnsi="Simplified Arabic"/>
          <w:sz w:val="26"/>
          <w:szCs w:val="26"/>
          <w:rtl/>
          <w:lang w:bidi="ar-JO"/>
        </w:rPr>
        <w:t>.</w:t>
      </w:r>
    </w:p>
    <w:p w:rsidR="000C7A5E" w:rsidRPr="00BC1F13" w:rsidRDefault="000C7A5E" w:rsidP="000C7A5E">
      <w:pPr>
        <w:pStyle w:val="BodyText"/>
        <w:jc w:val="both"/>
        <w:rPr>
          <w:rFonts w:ascii="Simplified Arabic" w:hAnsi="Simplified Arabic"/>
          <w:b/>
          <w:bCs/>
          <w:sz w:val="26"/>
          <w:szCs w:val="26"/>
          <w:rtl/>
        </w:rPr>
      </w:pPr>
    </w:p>
    <w:p w:rsidR="00EA2212" w:rsidRPr="00BC1F13" w:rsidRDefault="00EA2212" w:rsidP="00EA2212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1F13">
        <w:rPr>
          <w:rFonts w:ascii="Simplified Arabic" w:hAnsi="Simplified Arabic" w:cs="Simplified Arabic"/>
          <w:b/>
          <w:bCs/>
          <w:sz w:val="28"/>
          <w:szCs w:val="28"/>
          <w:rtl/>
        </w:rPr>
        <w:t>أطفال في غياهب المعتقلات الاسرائيلية</w:t>
      </w:r>
      <w:r w:rsidRPr="00BC1F1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p w:rsidR="004A751B" w:rsidRPr="00BC1F13" w:rsidRDefault="00F2729E" w:rsidP="00EA2212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>أ</w:t>
      </w:r>
      <w:r w:rsidR="00EA2212"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>شارت البيانات الصادرة</w:t>
      </w:r>
      <w:r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عن هيئة شؤون الاسرى والمحررين أ</w:t>
      </w:r>
      <w:r w:rsidR="00EA2212"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نه </w:t>
      </w:r>
      <w:r w:rsidR="00EA2212" w:rsidRPr="00BC1F13">
        <w:rPr>
          <w:rFonts w:ascii="Simplified Arabic" w:hAnsi="Simplified Arabic" w:cs="Simplified Arabic"/>
          <w:sz w:val="26"/>
          <w:szCs w:val="26"/>
          <w:rtl/>
        </w:rPr>
        <w:t>تم اعتقال 6,742 فلسطينياً من قبل سلطات الاحتلال الإسرائيلي في الضفة الغربية وقطاع غزة خلال العام 2017، كان من بينهم 1,467 طفلاً</w:t>
      </w:r>
      <w:r w:rsidR="00EA2212"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(أقل من 18 عام)، حيث شكلوا </w:t>
      </w:r>
      <w:r w:rsidR="00EA2212" w:rsidRPr="00BC1F13">
        <w:rPr>
          <w:rFonts w:ascii="Simplified Arabic" w:hAnsi="Simplified Arabic" w:cs="Simplified Arabic"/>
          <w:sz w:val="26"/>
          <w:szCs w:val="26"/>
          <w:rtl/>
        </w:rPr>
        <w:t>ما نسبتة 21.8% من مجموع المعتقلين.</w:t>
      </w:r>
      <w:r w:rsidR="00EA2212"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لا زال منهم نحو 350 طفلاً رهن الاعتقال محرومين من </w:t>
      </w:r>
    </w:p>
    <w:p w:rsidR="00EA2212" w:rsidRPr="00BC1F13" w:rsidRDefault="00EA2212" w:rsidP="00EA221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>طفولتهم بم</w:t>
      </w:r>
      <w:r w:rsidR="00787097"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>ا فيه مواصلة دراستهم، علاوة على</w:t>
      </w:r>
      <w:r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تعرضهم للانتهاكات اثناء الاعتقال.</w:t>
      </w:r>
    </w:p>
    <w:p w:rsidR="00F2729E" w:rsidRPr="00BC1F13" w:rsidRDefault="00F2729E" w:rsidP="00EA221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297709" w:rsidRPr="00BC1F13" w:rsidRDefault="005349F0" w:rsidP="00642788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C1F13">
        <w:rPr>
          <w:rFonts w:ascii="Simplified Arabic" w:hAnsi="Simplified Arabic" w:cs="Simplified Arabic"/>
          <w:sz w:val="28"/>
          <w:szCs w:val="28"/>
          <w:lang w:bidi="ar-JO"/>
        </w:rPr>
        <w:t> </w:t>
      </w:r>
      <w:r w:rsidR="00297709" w:rsidRPr="00BC1F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الأطفال الشهداء </w:t>
      </w:r>
    </w:p>
    <w:p w:rsidR="00E62665" w:rsidRPr="00BC1F13" w:rsidRDefault="00F2729E" w:rsidP="00C733E0">
      <w:pPr>
        <w:jc w:val="both"/>
        <w:rPr>
          <w:rStyle w:val="Strong"/>
          <w:rFonts w:ascii="Simplified Arabic" w:hAnsi="Simplified Arabic" w:cs="Simplified Arabic"/>
          <w:sz w:val="26"/>
          <w:szCs w:val="26"/>
          <w:rtl/>
        </w:rPr>
      </w:pPr>
      <w:r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>إ</w:t>
      </w:r>
      <w:r w:rsidR="00297709"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>ستنادا</w:t>
      </w:r>
      <w:r w:rsidR="009E6DD3"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>ً</w:t>
      </w:r>
      <w:r w:rsidR="00297709" w:rsidRPr="00BC1F13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الى سجلات الحركة العالمية للدفاع عن الأطفال في فلسطين، ارتقى</w:t>
      </w:r>
      <w:r w:rsidR="00297709" w:rsidRPr="00BC1F1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70AE" w:rsidRPr="00BC1F13">
        <w:rPr>
          <w:rFonts w:ascii="Simplified Arabic" w:hAnsi="Simplified Arabic" w:cs="Simplified Arabic"/>
          <w:sz w:val="26"/>
          <w:szCs w:val="26"/>
          <w:rtl/>
        </w:rPr>
        <w:t>15</w:t>
      </w:r>
      <w:r w:rsidR="00297709" w:rsidRPr="00BC1F13">
        <w:rPr>
          <w:rFonts w:ascii="Simplified Arabic" w:hAnsi="Simplified Arabic" w:cs="Simplified Arabic"/>
          <w:sz w:val="26"/>
          <w:szCs w:val="26"/>
          <w:rtl/>
        </w:rPr>
        <w:t xml:space="preserve"> طفلا</w:t>
      </w:r>
      <w:r w:rsidR="009E6DD3" w:rsidRPr="00BC1F13">
        <w:rPr>
          <w:rFonts w:ascii="Simplified Arabic" w:hAnsi="Simplified Arabic" w:cs="Simplified Arabic"/>
          <w:sz w:val="26"/>
          <w:szCs w:val="26"/>
          <w:rtl/>
        </w:rPr>
        <w:t>ً</w:t>
      </w:r>
      <w:r w:rsidR="00297709" w:rsidRPr="00BC1F13">
        <w:rPr>
          <w:rFonts w:ascii="Simplified Arabic" w:hAnsi="Simplified Arabic" w:cs="Simplified Arabic"/>
          <w:sz w:val="26"/>
          <w:szCs w:val="26"/>
          <w:rtl/>
        </w:rPr>
        <w:t xml:space="preserve"> شهيداً خلال عام 201</w:t>
      </w:r>
      <w:r w:rsidR="002A70AE" w:rsidRPr="00BC1F13">
        <w:rPr>
          <w:rFonts w:ascii="Simplified Arabic" w:hAnsi="Simplified Arabic" w:cs="Simplified Arabic"/>
          <w:sz w:val="26"/>
          <w:szCs w:val="26"/>
          <w:rtl/>
        </w:rPr>
        <w:t>7</w:t>
      </w:r>
      <w:r w:rsidR="00297709" w:rsidRPr="00BC1F1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E6DD3" w:rsidRPr="00BC1F13">
        <w:rPr>
          <w:rFonts w:ascii="Simplified Arabic" w:hAnsi="Simplified Arabic" w:cs="Simplified Arabic"/>
          <w:sz w:val="26"/>
          <w:szCs w:val="26"/>
          <w:rtl/>
        </w:rPr>
        <w:t>منهم</w:t>
      </w:r>
      <w:r w:rsidR="00F6692C" w:rsidRPr="00BC1F1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1184" w:rsidRPr="00BC1F13">
        <w:rPr>
          <w:rFonts w:ascii="Simplified Arabic" w:hAnsi="Simplified Arabic" w:cs="Simplified Arabic"/>
          <w:sz w:val="26"/>
          <w:szCs w:val="26"/>
          <w:rtl/>
        </w:rPr>
        <w:t xml:space="preserve">طفل </w:t>
      </w:r>
      <w:r w:rsidR="008562BF" w:rsidRPr="00BC1F13">
        <w:rPr>
          <w:rFonts w:ascii="Simplified Arabic" w:hAnsi="Simplified Arabic" w:cs="Simplified Arabic"/>
          <w:sz w:val="26"/>
          <w:szCs w:val="26"/>
          <w:rtl/>
        </w:rPr>
        <w:t>واحد</w:t>
      </w:r>
      <w:r w:rsidR="003E1184" w:rsidRPr="00BC1F13">
        <w:rPr>
          <w:rFonts w:ascii="Simplified Arabic" w:hAnsi="Simplified Arabic" w:cs="Simplified Arabic"/>
          <w:sz w:val="26"/>
          <w:szCs w:val="26"/>
          <w:rtl/>
        </w:rPr>
        <w:t xml:space="preserve"> في</w:t>
      </w:r>
      <w:r w:rsidR="00F6692C" w:rsidRPr="00BC1F1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A2212" w:rsidRPr="00BC1F13">
        <w:rPr>
          <w:rFonts w:ascii="Simplified Arabic" w:hAnsi="Simplified Arabic" w:cs="Simplified Arabic"/>
          <w:sz w:val="26"/>
          <w:szCs w:val="26"/>
          <w:rtl/>
        </w:rPr>
        <w:t xml:space="preserve">الفئة </w:t>
      </w:r>
      <w:r w:rsidR="00F6692C" w:rsidRPr="00BC1F13">
        <w:rPr>
          <w:rFonts w:ascii="Simplified Arabic" w:hAnsi="Simplified Arabic" w:cs="Simplified Arabic"/>
          <w:sz w:val="26"/>
          <w:szCs w:val="26"/>
          <w:rtl/>
        </w:rPr>
        <w:t>العمرية (9-12)</w:t>
      </w:r>
      <w:r w:rsidR="00297709" w:rsidRPr="00BC1F1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692C" w:rsidRPr="00BC1F13">
        <w:rPr>
          <w:rFonts w:ascii="Simplified Arabic" w:hAnsi="Simplified Arabic" w:cs="Simplified Arabic"/>
          <w:sz w:val="26"/>
          <w:szCs w:val="26"/>
          <w:rtl/>
        </w:rPr>
        <w:t>سنة، و</w:t>
      </w:r>
      <w:r w:rsidR="00EA2212" w:rsidRPr="00BC1F13">
        <w:rPr>
          <w:rFonts w:ascii="Simplified Arabic" w:hAnsi="Simplified Arabic" w:cs="Simplified Arabic"/>
          <w:sz w:val="26"/>
          <w:szCs w:val="26"/>
          <w:rtl/>
        </w:rPr>
        <w:t>ثلاثة</w:t>
      </w:r>
      <w:r w:rsidR="009E6DD3" w:rsidRPr="00BC1F1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692C" w:rsidRPr="00BC1F13">
        <w:rPr>
          <w:rFonts w:ascii="Simplified Arabic" w:hAnsi="Simplified Arabic" w:cs="Simplified Arabic"/>
          <w:sz w:val="26"/>
          <w:szCs w:val="26"/>
          <w:rtl/>
        </w:rPr>
        <w:t>أط</w:t>
      </w:r>
      <w:r w:rsidR="009E6DD3" w:rsidRPr="00BC1F13">
        <w:rPr>
          <w:rFonts w:ascii="Simplified Arabic" w:hAnsi="Simplified Arabic" w:cs="Simplified Arabic"/>
          <w:sz w:val="26"/>
          <w:szCs w:val="26"/>
          <w:rtl/>
        </w:rPr>
        <w:t xml:space="preserve">فال في الفئة العمرية (13-15) سنة، </w:t>
      </w:r>
      <w:r w:rsidR="00297709" w:rsidRPr="00BC1F1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62665" w:rsidRPr="00BC1F13">
        <w:rPr>
          <w:rFonts w:ascii="Simplified Arabic" w:hAnsi="Simplified Arabic" w:cs="Simplified Arabic"/>
          <w:sz w:val="26"/>
          <w:szCs w:val="26"/>
          <w:rtl/>
        </w:rPr>
        <w:t>و11 طفل في الفئة العمرية (16-17) سنة  وقد تم توثيق استشهاد 6 أطفال في شهري كانون ثاني وشباط للعام 2018.</w:t>
      </w:r>
    </w:p>
    <w:p w:rsidR="003C7C88" w:rsidRPr="00BC1F13" w:rsidRDefault="003C7C88" w:rsidP="006F1420">
      <w:pPr>
        <w:ind w:right="142"/>
        <w:rPr>
          <w:rFonts w:ascii="Simplified Arabic" w:hAnsi="Simplified Arabic" w:cs="Simplified Arabic"/>
          <w:b/>
          <w:bCs/>
          <w:sz w:val="26"/>
          <w:szCs w:val="26"/>
          <w:rtl/>
        </w:rPr>
        <w:sectPr w:rsidR="003C7C88" w:rsidRPr="00BC1F13" w:rsidSect="00C733E0">
          <w:footerReference w:type="default" r:id="rId8"/>
          <w:type w:val="continuous"/>
          <w:pgSz w:w="11906" w:h="16838" w:code="9"/>
          <w:pgMar w:top="1134" w:right="851" w:bottom="851" w:left="851" w:header="709" w:footer="709" w:gutter="0"/>
          <w:cols w:space="708"/>
          <w:bidi/>
          <w:rtlGutter/>
          <w:docGrid w:linePitch="360"/>
        </w:sectPr>
      </w:pPr>
    </w:p>
    <w:p w:rsidR="00BC778F" w:rsidRPr="00C733E0" w:rsidRDefault="00BC778F" w:rsidP="006F1420">
      <w:pPr>
        <w:ind w:right="142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sectPr w:rsidR="00BC778F" w:rsidRPr="00C733E0" w:rsidSect="006374BB">
      <w:type w:val="continuous"/>
      <w:pgSz w:w="11906" w:h="16838" w:code="9"/>
      <w:pgMar w:top="170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36" w:rsidRDefault="00286936" w:rsidP="00FE5188">
      <w:r>
        <w:separator/>
      </w:r>
    </w:p>
  </w:endnote>
  <w:endnote w:type="continuationSeparator" w:id="0">
    <w:p w:rsidR="00286936" w:rsidRDefault="00286936" w:rsidP="00FE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97" w:rsidRDefault="00DC096A" w:rsidP="00FE5188">
    <w:pPr>
      <w:pStyle w:val="Footer"/>
      <w:jc w:val="center"/>
    </w:pPr>
    <w:fldSimple w:instr=" PAGE   \* MERGEFORMAT ">
      <w:r w:rsidR="001E04D0">
        <w:rPr>
          <w:noProof/>
          <w:rtl/>
        </w:rPr>
        <w:t>1</w:t>
      </w:r>
    </w:fldSimple>
  </w:p>
  <w:p w:rsidR="00787097" w:rsidRDefault="007870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36" w:rsidRDefault="00286936" w:rsidP="00FE5188">
      <w:r>
        <w:separator/>
      </w:r>
    </w:p>
  </w:footnote>
  <w:footnote w:type="continuationSeparator" w:id="0">
    <w:p w:rsidR="00286936" w:rsidRDefault="00286936" w:rsidP="00FE5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F04DE"/>
    <w:multiLevelType w:val="hybridMultilevel"/>
    <w:tmpl w:val="C770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D421C"/>
    <w:multiLevelType w:val="hybridMultilevel"/>
    <w:tmpl w:val="164CA554"/>
    <w:lvl w:ilvl="0" w:tplc="052A992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86F9A"/>
    <w:multiLevelType w:val="hybridMultilevel"/>
    <w:tmpl w:val="58448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919FB"/>
    <w:multiLevelType w:val="hybridMultilevel"/>
    <w:tmpl w:val="D49C1C3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A4A08"/>
    <w:multiLevelType w:val="hybridMultilevel"/>
    <w:tmpl w:val="72E09EC4"/>
    <w:lvl w:ilvl="0" w:tplc="EF227290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4082"/>
  </w:hdrShapeDefaults>
  <w:footnotePr>
    <w:footnote w:id="-1"/>
    <w:footnote w:id="0"/>
  </w:footnotePr>
  <w:endnotePr>
    <w:endnote w:id="-1"/>
    <w:endnote w:id="0"/>
  </w:endnotePr>
  <w:compat/>
  <w:rsids>
    <w:rsidRoot w:val="005E6289"/>
    <w:rsid w:val="00001D49"/>
    <w:rsid w:val="00005E3B"/>
    <w:rsid w:val="0001032B"/>
    <w:rsid w:val="0001058B"/>
    <w:rsid w:val="00010598"/>
    <w:rsid w:val="00014E38"/>
    <w:rsid w:val="000152C2"/>
    <w:rsid w:val="00015F7C"/>
    <w:rsid w:val="00016054"/>
    <w:rsid w:val="0001614F"/>
    <w:rsid w:val="000171EF"/>
    <w:rsid w:val="00023617"/>
    <w:rsid w:val="00024E6D"/>
    <w:rsid w:val="00033376"/>
    <w:rsid w:val="00035FAD"/>
    <w:rsid w:val="000409AD"/>
    <w:rsid w:val="000410C8"/>
    <w:rsid w:val="000423AF"/>
    <w:rsid w:val="00045FC8"/>
    <w:rsid w:val="00050935"/>
    <w:rsid w:val="000523FA"/>
    <w:rsid w:val="00054147"/>
    <w:rsid w:val="0005461B"/>
    <w:rsid w:val="000546DE"/>
    <w:rsid w:val="0005579F"/>
    <w:rsid w:val="00055A39"/>
    <w:rsid w:val="00055DD3"/>
    <w:rsid w:val="0005613F"/>
    <w:rsid w:val="00061718"/>
    <w:rsid w:val="00063ACF"/>
    <w:rsid w:val="000644B9"/>
    <w:rsid w:val="000667A6"/>
    <w:rsid w:val="0007013C"/>
    <w:rsid w:val="00070272"/>
    <w:rsid w:val="0007082F"/>
    <w:rsid w:val="00073C25"/>
    <w:rsid w:val="0007562C"/>
    <w:rsid w:val="00075C9C"/>
    <w:rsid w:val="00081045"/>
    <w:rsid w:val="00085068"/>
    <w:rsid w:val="00086A34"/>
    <w:rsid w:val="00087514"/>
    <w:rsid w:val="00094E10"/>
    <w:rsid w:val="00095AC5"/>
    <w:rsid w:val="0009667A"/>
    <w:rsid w:val="000A02C0"/>
    <w:rsid w:val="000A2258"/>
    <w:rsid w:val="000A53F0"/>
    <w:rsid w:val="000B18D8"/>
    <w:rsid w:val="000B35C9"/>
    <w:rsid w:val="000B3E4A"/>
    <w:rsid w:val="000B4149"/>
    <w:rsid w:val="000B4C59"/>
    <w:rsid w:val="000B66D7"/>
    <w:rsid w:val="000B7FCE"/>
    <w:rsid w:val="000C1181"/>
    <w:rsid w:val="000C4688"/>
    <w:rsid w:val="000C4C36"/>
    <w:rsid w:val="000C4C71"/>
    <w:rsid w:val="000C7A5E"/>
    <w:rsid w:val="000C7EFF"/>
    <w:rsid w:val="000D1C0D"/>
    <w:rsid w:val="000D21AD"/>
    <w:rsid w:val="000D2ABD"/>
    <w:rsid w:val="000D43FF"/>
    <w:rsid w:val="000D65FF"/>
    <w:rsid w:val="000E0F32"/>
    <w:rsid w:val="000E2010"/>
    <w:rsid w:val="000E2FA3"/>
    <w:rsid w:val="000E50EA"/>
    <w:rsid w:val="000E5456"/>
    <w:rsid w:val="000F4585"/>
    <w:rsid w:val="000F5AC9"/>
    <w:rsid w:val="000F76BE"/>
    <w:rsid w:val="000F7D50"/>
    <w:rsid w:val="00101FFC"/>
    <w:rsid w:val="0010764B"/>
    <w:rsid w:val="00111CF6"/>
    <w:rsid w:val="001127DC"/>
    <w:rsid w:val="001168BB"/>
    <w:rsid w:val="00116F66"/>
    <w:rsid w:val="00117A0E"/>
    <w:rsid w:val="001231AD"/>
    <w:rsid w:val="001238FE"/>
    <w:rsid w:val="00126663"/>
    <w:rsid w:val="00131246"/>
    <w:rsid w:val="00133079"/>
    <w:rsid w:val="00134DC7"/>
    <w:rsid w:val="00137193"/>
    <w:rsid w:val="00137F54"/>
    <w:rsid w:val="00140016"/>
    <w:rsid w:val="0014344B"/>
    <w:rsid w:val="00143C5B"/>
    <w:rsid w:val="00145699"/>
    <w:rsid w:val="00146F76"/>
    <w:rsid w:val="00151BB5"/>
    <w:rsid w:val="00156951"/>
    <w:rsid w:val="001569AE"/>
    <w:rsid w:val="001579ED"/>
    <w:rsid w:val="001646F3"/>
    <w:rsid w:val="00165DA6"/>
    <w:rsid w:val="00166794"/>
    <w:rsid w:val="00170063"/>
    <w:rsid w:val="0017245E"/>
    <w:rsid w:val="001745CD"/>
    <w:rsid w:val="00174D72"/>
    <w:rsid w:val="00175D85"/>
    <w:rsid w:val="001803FE"/>
    <w:rsid w:val="0018474B"/>
    <w:rsid w:val="0019070B"/>
    <w:rsid w:val="001A0963"/>
    <w:rsid w:val="001A4D51"/>
    <w:rsid w:val="001B3812"/>
    <w:rsid w:val="001B61C2"/>
    <w:rsid w:val="001B66C6"/>
    <w:rsid w:val="001C05C9"/>
    <w:rsid w:val="001C147D"/>
    <w:rsid w:val="001C184A"/>
    <w:rsid w:val="001C215E"/>
    <w:rsid w:val="001C2F95"/>
    <w:rsid w:val="001C40F3"/>
    <w:rsid w:val="001C4D8A"/>
    <w:rsid w:val="001C54B2"/>
    <w:rsid w:val="001C730A"/>
    <w:rsid w:val="001C7BA0"/>
    <w:rsid w:val="001D41A3"/>
    <w:rsid w:val="001D5CB1"/>
    <w:rsid w:val="001E04D0"/>
    <w:rsid w:val="001E0C71"/>
    <w:rsid w:val="001E5385"/>
    <w:rsid w:val="001E6A78"/>
    <w:rsid w:val="001E6EF9"/>
    <w:rsid w:val="001F289C"/>
    <w:rsid w:val="001F2F78"/>
    <w:rsid w:val="002002DA"/>
    <w:rsid w:val="00201DED"/>
    <w:rsid w:val="00203821"/>
    <w:rsid w:val="00207CD9"/>
    <w:rsid w:val="00217C7C"/>
    <w:rsid w:val="00232F91"/>
    <w:rsid w:val="00233D1D"/>
    <w:rsid w:val="00236764"/>
    <w:rsid w:val="00240DF3"/>
    <w:rsid w:val="00244193"/>
    <w:rsid w:val="002442D2"/>
    <w:rsid w:val="002444B7"/>
    <w:rsid w:val="00257A61"/>
    <w:rsid w:val="002605BA"/>
    <w:rsid w:val="002624A1"/>
    <w:rsid w:val="00264418"/>
    <w:rsid w:val="002709C2"/>
    <w:rsid w:val="002712CC"/>
    <w:rsid w:val="00275B7F"/>
    <w:rsid w:val="00280693"/>
    <w:rsid w:val="00280F43"/>
    <w:rsid w:val="00282E2A"/>
    <w:rsid w:val="00286347"/>
    <w:rsid w:val="00286936"/>
    <w:rsid w:val="00295FD2"/>
    <w:rsid w:val="00297709"/>
    <w:rsid w:val="0029775C"/>
    <w:rsid w:val="00297D9C"/>
    <w:rsid w:val="002A2440"/>
    <w:rsid w:val="002A6C66"/>
    <w:rsid w:val="002A70AE"/>
    <w:rsid w:val="002A750C"/>
    <w:rsid w:val="002B172B"/>
    <w:rsid w:val="002B7A61"/>
    <w:rsid w:val="002C0B17"/>
    <w:rsid w:val="002C4ADE"/>
    <w:rsid w:val="002C59E6"/>
    <w:rsid w:val="002C7CC1"/>
    <w:rsid w:val="002D0A13"/>
    <w:rsid w:val="002D3017"/>
    <w:rsid w:val="002D3D68"/>
    <w:rsid w:val="002D5EEF"/>
    <w:rsid w:val="002E0B35"/>
    <w:rsid w:val="002E3318"/>
    <w:rsid w:val="002E5C1C"/>
    <w:rsid w:val="002F0068"/>
    <w:rsid w:val="002F45AE"/>
    <w:rsid w:val="002F45C2"/>
    <w:rsid w:val="002F5882"/>
    <w:rsid w:val="002F59BE"/>
    <w:rsid w:val="002F5A94"/>
    <w:rsid w:val="002F7954"/>
    <w:rsid w:val="00300875"/>
    <w:rsid w:val="0030255F"/>
    <w:rsid w:val="00304CF9"/>
    <w:rsid w:val="00304E4D"/>
    <w:rsid w:val="00305499"/>
    <w:rsid w:val="00305A8D"/>
    <w:rsid w:val="00306961"/>
    <w:rsid w:val="00314D1C"/>
    <w:rsid w:val="003158AE"/>
    <w:rsid w:val="003235A9"/>
    <w:rsid w:val="00325AD8"/>
    <w:rsid w:val="00330ADF"/>
    <w:rsid w:val="00330D26"/>
    <w:rsid w:val="003312D4"/>
    <w:rsid w:val="003329E9"/>
    <w:rsid w:val="0033588A"/>
    <w:rsid w:val="00337C4E"/>
    <w:rsid w:val="003407B4"/>
    <w:rsid w:val="003436D8"/>
    <w:rsid w:val="00344732"/>
    <w:rsid w:val="00345A5D"/>
    <w:rsid w:val="00347317"/>
    <w:rsid w:val="00352558"/>
    <w:rsid w:val="0035458E"/>
    <w:rsid w:val="003550EF"/>
    <w:rsid w:val="00356374"/>
    <w:rsid w:val="0035762F"/>
    <w:rsid w:val="00357906"/>
    <w:rsid w:val="003604CA"/>
    <w:rsid w:val="00361ED6"/>
    <w:rsid w:val="003628F7"/>
    <w:rsid w:val="00362F5A"/>
    <w:rsid w:val="0036658F"/>
    <w:rsid w:val="00370883"/>
    <w:rsid w:val="00370DBC"/>
    <w:rsid w:val="00373C3C"/>
    <w:rsid w:val="00380E97"/>
    <w:rsid w:val="003819FB"/>
    <w:rsid w:val="00382F3C"/>
    <w:rsid w:val="00386C42"/>
    <w:rsid w:val="00387DE6"/>
    <w:rsid w:val="00390BBB"/>
    <w:rsid w:val="00390EDD"/>
    <w:rsid w:val="00391608"/>
    <w:rsid w:val="003938A0"/>
    <w:rsid w:val="0039533D"/>
    <w:rsid w:val="003A0DF3"/>
    <w:rsid w:val="003A40EC"/>
    <w:rsid w:val="003A4A81"/>
    <w:rsid w:val="003B283A"/>
    <w:rsid w:val="003B374D"/>
    <w:rsid w:val="003B6539"/>
    <w:rsid w:val="003C0ACB"/>
    <w:rsid w:val="003C0C2C"/>
    <w:rsid w:val="003C4E76"/>
    <w:rsid w:val="003C6278"/>
    <w:rsid w:val="003C7C88"/>
    <w:rsid w:val="003C7D60"/>
    <w:rsid w:val="003D0B9C"/>
    <w:rsid w:val="003D152B"/>
    <w:rsid w:val="003D3485"/>
    <w:rsid w:val="003D4536"/>
    <w:rsid w:val="003D4D8F"/>
    <w:rsid w:val="003E022F"/>
    <w:rsid w:val="003E1184"/>
    <w:rsid w:val="003E172C"/>
    <w:rsid w:val="003E22D0"/>
    <w:rsid w:val="003F173C"/>
    <w:rsid w:val="003F428B"/>
    <w:rsid w:val="003F54E7"/>
    <w:rsid w:val="00402D7E"/>
    <w:rsid w:val="00406C5D"/>
    <w:rsid w:val="0040796D"/>
    <w:rsid w:val="004079F7"/>
    <w:rsid w:val="00407E16"/>
    <w:rsid w:val="00410687"/>
    <w:rsid w:val="00413A78"/>
    <w:rsid w:val="004150FD"/>
    <w:rsid w:val="004161A9"/>
    <w:rsid w:val="00416A89"/>
    <w:rsid w:val="0041760A"/>
    <w:rsid w:val="00422D9C"/>
    <w:rsid w:val="00426565"/>
    <w:rsid w:val="00434514"/>
    <w:rsid w:val="00434AC9"/>
    <w:rsid w:val="00434F83"/>
    <w:rsid w:val="0043579F"/>
    <w:rsid w:val="00436062"/>
    <w:rsid w:val="00440775"/>
    <w:rsid w:val="00442966"/>
    <w:rsid w:val="00447C97"/>
    <w:rsid w:val="004514A3"/>
    <w:rsid w:val="0045168B"/>
    <w:rsid w:val="00452F15"/>
    <w:rsid w:val="00455107"/>
    <w:rsid w:val="004554A9"/>
    <w:rsid w:val="00457530"/>
    <w:rsid w:val="0046013F"/>
    <w:rsid w:val="004622F0"/>
    <w:rsid w:val="00462F04"/>
    <w:rsid w:val="0046318D"/>
    <w:rsid w:val="00463F56"/>
    <w:rsid w:val="00472443"/>
    <w:rsid w:val="00484628"/>
    <w:rsid w:val="0049276D"/>
    <w:rsid w:val="004939C6"/>
    <w:rsid w:val="00496A92"/>
    <w:rsid w:val="0049720F"/>
    <w:rsid w:val="004A294B"/>
    <w:rsid w:val="004A2EB2"/>
    <w:rsid w:val="004A5D23"/>
    <w:rsid w:val="004A69F8"/>
    <w:rsid w:val="004A751B"/>
    <w:rsid w:val="004B29E2"/>
    <w:rsid w:val="004B5625"/>
    <w:rsid w:val="004B74A9"/>
    <w:rsid w:val="004B74ED"/>
    <w:rsid w:val="004C0555"/>
    <w:rsid w:val="004C344D"/>
    <w:rsid w:val="004C4C9E"/>
    <w:rsid w:val="004C7014"/>
    <w:rsid w:val="004C7B45"/>
    <w:rsid w:val="004D1288"/>
    <w:rsid w:val="004D14DD"/>
    <w:rsid w:val="004D1FB9"/>
    <w:rsid w:val="004D2E52"/>
    <w:rsid w:val="004D4B87"/>
    <w:rsid w:val="004D5EB7"/>
    <w:rsid w:val="004E2584"/>
    <w:rsid w:val="004E2AE8"/>
    <w:rsid w:val="004E32FD"/>
    <w:rsid w:val="004E4D97"/>
    <w:rsid w:val="004E7035"/>
    <w:rsid w:val="004F30BA"/>
    <w:rsid w:val="004F49E9"/>
    <w:rsid w:val="004F75C8"/>
    <w:rsid w:val="00500A38"/>
    <w:rsid w:val="00502EB4"/>
    <w:rsid w:val="00504756"/>
    <w:rsid w:val="005070EA"/>
    <w:rsid w:val="00510461"/>
    <w:rsid w:val="00513BC0"/>
    <w:rsid w:val="0051452A"/>
    <w:rsid w:val="00514D71"/>
    <w:rsid w:val="00515FEC"/>
    <w:rsid w:val="00522473"/>
    <w:rsid w:val="00522605"/>
    <w:rsid w:val="00522749"/>
    <w:rsid w:val="00523840"/>
    <w:rsid w:val="00525369"/>
    <w:rsid w:val="00526658"/>
    <w:rsid w:val="00530515"/>
    <w:rsid w:val="00532064"/>
    <w:rsid w:val="00533096"/>
    <w:rsid w:val="00533B4B"/>
    <w:rsid w:val="005349F0"/>
    <w:rsid w:val="00536351"/>
    <w:rsid w:val="005375F1"/>
    <w:rsid w:val="00541A22"/>
    <w:rsid w:val="005437CF"/>
    <w:rsid w:val="00544ED9"/>
    <w:rsid w:val="00545784"/>
    <w:rsid w:val="005468EF"/>
    <w:rsid w:val="00546E86"/>
    <w:rsid w:val="005518D9"/>
    <w:rsid w:val="00552215"/>
    <w:rsid w:val="00554B36"/>
    <w:rsid w:val="005648D6"/>
    <w:rsid w:val="00566CC5"/>
    <w:rsid w:val="00571BF3"/>
    <w:rsid w:val="00572078"/>
    <w:rsid w:val="005737A2"/>
    <w:rsid w:val="005739F3"/>
    <w:rsid w:val="00574F30"/>
    <w:rsid w:val="0057514E"/>
    <w:rsid w:val="00577693"/>
    <w:rsid w:val="005821B0"/>
    <w:rsid w:val="0058259F"/>
    <w:rsid w:val="00584765"/>
    <w:rsid w:val="0059063A"/>
    <w:rsid w:val="00590D07"/>
    <w:rsid w:val="00595C0D"/>
    <w:rsid w:val="005A1207"/>
    <w:rsid w:val="005A2480"/>
    <w:rsid w:val="005A257B"/>
    <w:rsid w:val="005A33FA"/>
    <w:rsid w:val="005A3D90"/>
    <w:rsid w:val="005A5FAD"/>
    <w:rsid w:val="005B1029"/>
    <w:rsid w:val="005B3E99"/>
    <w:rsid w:val="005B56E5"/>
    <w:rsid w:val="005B6872"/>
    <w:rsid w:val="005B6FD1"/>
    <w:rsid w:val="005C09E3"/>
    <w:rsid w:val="005C1AAB"/>
    <w:rsid w:val="005C4A81"/>
    <w:rsid w:val="005D18E5"/>
    <w:rsid w:val="005D3E57"/>
    <w:rsid w:val="005D6CAE"/>
    <w:rsid w:val="005D6F95"/>
    <w:rsid w:val="005E042A"/>
    <w:rsid w:val="005E2B9A"/>
    <w:rsid w:val="005E2C2F"/>
    <w:rsid w:val="005E3AFD"/>
    <w:rsid w:val="005E5B2F"/>
    <w:rsid w:val="005E6289"/>
    <w:rsid w:val="005F00A0"/>
    <w:rsid w:val="005F533E"/>
    <w:rsid w:val="005F5963"/>
    <w:rsid w:val="00605F58"/>
    <w:rsid w:val="00610E05"/>
    <w:rsid w:val="006123D3"/>
    <w:rsid w:val="00615DB5"/>
    <w:rsid w:val="00615ECD"/>
    <w:rsid w:val="00622153"/>
    <w:rsid w:val="006304D0"/>
    <w:rsid w:val="00633DAE"/>
    <w:rsid w:val="00634598"/>
    <w:rsid w:val="006374BB"/>
    <w:rsid w:val="00640CE8"/>
    <w:rsid w:val="00641B92"/>
    <w:rsid w:val="00642788"/>
    <w:rsid w:val="00643C51"/>
    <w:rsid w:val="00645C9B"/>
    <w:rsid w:val="00646F08"/>
    <w:rsid w:val="00652D77"/>
    <w:rsid w:val="00652F7E"/>
    <w:rsid w:val="00653625"/>
    <w:rsid w:val="00654079"/>
    <w:rsid w:val="0065456A"/>
    <w:rsid w:val="006601C4"/>
    <w:rsid w:val="00661767"/>
    <w:rsid w:val="00662CF4"/>
    <w:rsid w:val="006631E1"/>
    <w:rsid w:val="006636E8"/>
    <w:rsid w:val="00663B44"/>
    <w:rsid w:val="00665F0E"/>
    <w:rsid w:val="0066746C"/>
    <w:rsid w:val="00672DBA"/>
    <w:rsid w:val="00673679"/>
    <w:rsid w:val="00675A7B"/>
    <w:rsid w:val="00677CBD"/>
    <w:rsid w:val="00680C2B"/>
    <w:rsid w:val="00690253"/>
    <w:rsid w:val="00690727"/>
    <w:rsid w:val="00690987"/>
    <w:rsid w:val="00691D48"/>
    <w:rsid w:val="0069682E"/>
    <w:rsid w:val="00697338"/>
    <w:rsid w:val="006A1A17"/>
    <w:rsid w:val="006A5928"/>
    <w:rsid w:val="006A5DA6"/>
    <w:rsid w:val="006B0F0E"/>
    <w:rsid w:val="006B42A7"/>
    <w:rsid w:val="006B62F7"/>
    <w:rsid w:val="006B7113"/>
    <w:rsid w:val="006C0C64"/>
    <w:rsid w:val="006C2B0B"/>
    <w:rsid w:val="006C3972"/>
    <w:rsid w:val="006C3BA3"/>
    <w:rsid w:val="006C4E6A"/>
    <w:rsid w:val="006C786C"/>
    <w:rsid w:val="006D4050"/>
    <w:rsid w:val="006F1420"/>
    <w:rsid w:val="006F4A43"/>
    <w:rsid w:val="00704CF9"/>
    <w:rsid w:val="00707164"/>
    <w:rsid w:val="007103E8"/>
    <w:rsid w:val="00714EC4"/>
    <w:rsid w:val="0071564E"/>
    <w:rsid w:val="00715BBA"/>
    <w:rsid w:val="00721AFC"/>
    <w:rsid w:val="00722406"/>
    <w:rsid w:val="00724B2E"/>
    <w:rsid w:val="007255DD"/>
    <w:rsid w:val="0073301E"/>
    <w:rsid w:val="00733A18"/>
    <w:rsid w:val="00736233"/>
    <w:rsid w:val="0073623C"/>
    <w:rsid w:val="00736D8D"/>
    <w:rsid w:val="0074258A"/>
    <w:rsid w:val="007444C4"/>
    <w:rsid w:val="00744F42"/>
    <w:rsid w:val="0074645D"/>
    <w:rsid w:val="00747BB4"/>
    <w:rsid w:val="00747C22"/>
    <w:rsid w:val="00747DB0"/>
    <w:rsid w:val="00752BB0"/>
    <w:rsid w:val="00760514"/>
    <w:rsid w:val="00760790"/>
    <w:rsid w:val="00760BDA"/>
    <w:rsid w:val="007663B2"/>
    <w:rsid w:val="00766D98"/>
    <w:rsid w:val="0077380E"/>
    <w:rsid w:val="00774599"/>
    <w:rsid w:val="007750E7"/>
    <w:rsid w:val="00787097"/>
    <w:rsid w:val="0079269A"/>
    <w:rsid w:val="00795642"/>
    <w:rsid w:val="007A00CE"/>
    <w:rsid w:val="007A539F"/>
    <w:rsid w:val="007A5C32"/>
    <w:rsid w:val="007A6F75"/>
    <w:rsid w:val="007B146C"/>
    <w:rsid w:val="007B1BCC"/>
    <w:rsid w:val="007B2E9E"/>
    <w:rsid w:val="007C60BF"/>
    <w:rsid w:val="007C6264"/>
    <w:rsid w:val="007D540D"/>
    <w:rsid w:val="007D6E1D"/>
    <w:rsid w:val="007E05C9"/>
    <w:rsid w:val="007E45F6"/>
    <w:rsid w:val="007E7B70"/>
    <w:rsid w:val="007F2F9A"/>
    <w:rsid w:val="007F33DC"/>
    <w:rsid w:val="00802FBC"/>
    <w:rsid w:val="00807E67"/>
    <w:rsid w:val="00811490"/>
    <w:rsid w:val="00812A12"/>
    <w:rsid w:val="00812C93"/>
    <w:rsid w:val="0081530C"/>
    <w:rsid w:val="008156A3"/>
    <w:rsid w:val="00822BBF"/>
    <w:rsid w:val="008240CC"/>
    <w:rsid w:val="00834062"/>
    <w:rsid w:val="0083610A"/>
    <w:rsid w:val="00836FF2"/>
    <w:rsid w:val="008401CE"/>
    <w:rsid w:val="00841738"/>
    <w:rsid w:val="00844003"/>
    <w:rsid w:val="008466E1"/>
    <w:rsid w:val="008466FA"/>
    <w:rsid w:val="008515CC"/>
    <w:rsid w:val="008522AF"/>
    <w:rsid w:val="00853B56"/>
    <w:rsid w:val="008555A9"/>
    <w:rsid w:val="008562BF"/>
    <w:rsid w:val="00856AAE"/>
    <w:rsid w:val="00861D32"/>
    <w:rsid w:val="00862447"/>
    <w:rsid w:val="00864AA0"/>
    <w:rsid w:val="00865F12"/>
    <w:rsid w:val="008668CD"/>
    <w:rsid w:val="00866905"/>
    <w:rsid w:val="008669FE"/>
    <w:rsid w:val="00866CCD"/>
    <w:rsid w:val="00867105"/>
    <w:rsid w:val="00870C7B"/>
    <w:rsid w:val="0087319B"/>
    <w:rsid w:val="008735D8"/>
    <w:rsid w:val="00874406"/>
    <w:rsid w:val="00874A04"/>
    <w:rsid w:val="00880115"/>
    <w:rsid w:val="00881A40"/>
    <w:rsid w:val="00882805"/>
    <w:rsid w:val="008841D7"/>
    <w:rsid w:val="00886442"/>
    <w:rsid w:val="00890FB5"/>
    <w:rsid w:val="00893A8B"/>
    <w:rsid w:val="0089507D"/>
    <w:rsid w:val="00895496"/>
    <w:rsid w:val="008975F5"/>
    <w:rsid w:val="00897C2D"/>
    <w:rsid w:val="008A0D13"/>
    <w:rsid w:val="008A2355"/>
    <w:rsid w:val="008A3651"/>
    <w:rsid w:val="008A5C26"/>
    <w:rsid w:val="008A646D"/>
    <w:rsid w:val="008A650D"/>
    <w:rsid w:val="008A6EF7"/>
    <w:rsid w:val="008B379A"/>
    <w:rsid w:val="008C1BDB"/>
    <w:rsid w:val="008C7E08"/>
    <w:rsid w:val="008D24D4"/>
    <w:rsid w:val="008E35F6"/>
    <w:rsid w:val="008E37F5"/>
    <w:rsid w:val="008E4EC1"/>
    <w:rsid w:val="008E5253"/>
    <w:rsid w:val="008E6DE8"/>
    <w:rsid w:val="008F2474"/>
    <w:rsid w:val="008F415E"/>
    <w:rsid w:val="008F64C1"/>
    <w:rsid w:val="008F7CA0"/>
    <w:rsid w:val="00902AF0"/>
    <w:rsid w:val="0090313B"/>
    <w:rsid w:val="00905019"/>
    <w:rsid w:val="00905C22"/>
    <w:rsid w:val="00907AE3"/>
    <w:rsid w:val="009109BE"/>
    <w:rsid w:val="0091191A"/>
    <w:rsid w:val="00917400"/>
    <w:rsid w:val="00917B41"/>
    <w:rsid w:val="00921812"/>
    <w:rsid w:val="00921946"/>
    <w:rsid w:val="00923276"/>
    <w:rsid w:val="0092383A"/>
    <w:rsid w:val="0092522A"/>
    <w:rsid w:val="00926014"/>
    <w:rsid w:val="009328AF"/>
    <w:rsid w:val="009362BB"/>
    <w:rsid w:val="00937D4C"/>
    <w:rsid w:val="0094130B"/>
    <w:rsid w:val="00941B9D"/>
    <w:rsid w:val="00941E31"/>
    <w:rsid w:val="00945DDA"/>
    <w:rsid w:val="00946FB9"/>
    <w:rsid w:val="0095165E"/>
    <w:rsid w:val="00951E15"/>
    <w:rsid w:val="0095479F"/>
    <w:rsid w:val="009629DC"/>
    <w:rsid w:val="00966AEC"/>
    <w:rsid w:val="00966FC8"/>
    <w:rsid w:val="00967A48"/>
    <w:rsid w:val="00970C34"/>
    <w:rsid w:val="009710DB"/>
    <w:rsid w:val="00971FF5"/>
    <w:rsid w:val="009750B7"/>
    <w:rsid w:val="00976ADA"/>
    <w:rsid w:val="00981377"/>
    <w:rsid w:val="00982075"/>
    <w:rsid w:val="00982BC7"/>
    <w:rsid w:val="0098738F"/>
    <w:rsid w:val="009905B9"/>
    <w:rsid w:val="00991A7C"/>
    <w:rsid w:val="0099252B"/>
    <w:rsid w:val="00993EEA"/>
    <w:rsid w:val="0099553F"/>
    <w:rsid w:val="0099593D"/>
    <w:rsid w:val="00995C2F"/>
    <w:rsid w:val="009968A3"/>
    <w:rsid w:val="0099710C"/>
    <w:rsid w:val="009A1E37"/>
    <w:rsid w:val="009A3AA5"/>
    <w:rsid w:val="009A64E9"/>
    <w:rsid w:val="009B1157"/>
    <w:rsid w:val="009B54EA"/>
    <w:rsid w:val="009B5811"/>
    <w:rsid w:val="009B673C"/>
    <w:rsid w:val="009B70EB"/>
    <w:rsid w:val="009C3C6B"/>
    <w:rsid w:val="009C3F46"/>
    <w:rsid w:val="009C4D5B"/>
    <w:rsid w:val="009D0C28"/>
    <w:rsid w:val="009D21C0"/>
    <w:rsid w:val="009E18DB"/>
    <w:rsid w:val="009E207B"/>
    <w:rsid w:val="009E57CF"/>
    <w:rsid w:val="009E6B93"/>
    <w:rsid w:val="009E6DD3"/>
    <w:rsid w:val="009F059F"/>
    <w:rsid w:val="009F191D"/>
    <w:rsid w:val="009F4F9E"/>
    <w:rsid w:val="00A000E6"/>
    <w:rsid w:val="00A0567C"/>
    <w:rsid w:val="00A07461"/>
    <w:rsid w:val="00A07E55"/>
    <w:rsid w:val="00A119D4"/>
    <w:rsid w:val="00A1252F"/>
    <w:rsid w:val="00A12532"/>
    <w:rsid w:val="00A12CF7"/>
    <w:rsid w:val="00A13E17"/>
    <w:rsid w:val="00A16E3E"/>
    <w:rsid w:val="00A173C0"/>
    <w:rsid w:val="00A224C8"/>
    <w:rsid w:val="00A234BA"/>
    <w:rsid w:val="00A32DE2"/>
    <w:rsid w:val="00A3537F"/>
    <w:rsid w:val="00A463C5"/>
    <w:rsid w:val="00A5201B"/>
    <w:rsid w:val="00A56869"/>
    <w:rsid w:val="00A70D6D"/>
    <w:rsid w:val="00A75546"/>
    <w:rsid w:val="00A827A8"/>
    <w:rsid w:val="00A921C4"/>
    <w:rsid w:val="00AA2D4C"/>
    <w:rsid w:val="00AA3B07"/>
    <w:rsid w:val="00AA4730"/>
    <w:rsid w:val="00AA4FAC"/>
    <w:rsid w:val="00AA6FC7"/>
    <w:rsid w:val="00AB01C5"/>
    <w:rsid w:val="00AB02FC"/>
    <w:rsid w:val="00AB1206"/>
    <w:rsid w:val="00AB13F6"/>
    <w:rsid w:val="00AB3AB7"/>
    <w:rsid w:val="00AB7C67"/>
    <w:rsid w:val="00AC02FC"/>
    <w:rsid w:val="00AC0EB2"/>
    <w:rsid w:val="00AC594D"/>
    <w:rsid w:val="00AC69F4"/>
    <w:rsid w:val="00AD0ABE"/>
    <w:rsid w:val="00AD5BCE"/>
    <w:rsid w:val="00AD7BA2"/>
    <w:rsid w:val="00AE1EF0"/>
    <w:rsid w:val="00AE4F3D"/>
    <w:rsid w:val="00AE6F97"/>
    <w:rsid w:val="00AE74C2"/>
    <w:rsid w:val="00AF0783"/>
    <w:rsid w:val="00AF420E"/>
    <w:rsid w:val="00AF4F83"/>
    <w:rsid w:val="00AF536A"/>
    <w:rsid w:val="00B00837"/>
    <w:rsid w:val="00B01727"/>
    <w:rsid w:val="00B0233F"/>
    <w:rsid w:val="00B0282B"/>
    <w:rsid w:val="00B05A7A"/>
    <w:rsid w:val="00B07939"/>
    <w:rsid w:val="00B10930"/>
    <w:rsid w:val="00B117AB"/>
    <w:rsid w:val="00B12FBE"/>
    <w:rsid w:val="00B13CD9"/>
    <w:rsid w:val="00B16402"/>
    <w:rsid w:val="00B21D91"/>
    <w:rsid w:val="00B238BF"/>
    <w:rsid w:val="00B24349"/>
    <w:rsid w:val="00B2570A"/>
    <w:rsid w:val="00B2799D"/>
    <w:rsid w:val="00B30B2C"/>
    <w:rsid w:val="00B3200C"/>
    <w:rsid w:val="00B36E21"/>
    <w:rsid w:val="00B3755D"/>
    <w:rsid w:val="00B37A89"/>
    <w:rsid w:val="00B4274F"/>
    <w:rsid w:val="00B437CC"/>
    <w:rsid w:val="00B53634"/>
    <w:rsid w:val="00B5530F"/>
    <w:rsid w:val="00B61E75"/>
    <w:rsid w:val="00B678D7"/>
    <w:rsid w:val="00B82A42"/>
    <w:rsid w:val="00B8415B"/>
    <w:rsid w:val="00B84DC5"/>
    <w:rsid w:val="00B85268"/>
    <w:rsid w:val="00B866B8"/>
    <w:rsid w:val="00B955CD"/>
    <w:rsid w:val="00B96120"/>
    <w:rsid w:val="00B962A1"/>
    <w:rsid w:val="00B9716E"/>
    <w:rsid w:val="00BA0F76"/>
    <w:rsid w:val="00BA1DA5"/>
    <w:rsid w:val="00BA44EB"/>
    <w:rsid w:val="00BA4A5C"/>
    <w:rsid w:val="00BA64D1"/>
    <w:rsid w:val="00BB1EBD"/>
    <w:rsid w:val="00BB3074"/>
    <w:rsid w:val="00BB533A"/>
    <w:rsid w:val="00BC05E1"/>
    <w:rsid w:val="00BC1F13"/>
    <w:rsid w:val="00BC3D10"/>
    <w:rsid w:val="00BC778F"/>
    <w:rsid w:val="00BC7AB0"/>
    <w:rsid w:val="00BD0368"/>
    <w:rsid w:val="00BD1365"/>
    <w:rsid w:val="00BD1CCD"/>
    <w:rsid w:val="00BD3585"/>
    <w:rsid w:val="00BD4FE2"/>
    <w:rsid w:val="00BD7B57"/>
    <w:rsid w:val="00BE337E"/>
    <w:rsid w:val="00BE3B69"/>
    <w:rsid w:val="00BE55CE"/>
    <w:rsid w:val="00BE5868"/>
    <w:rsid w:val="00BF0075"/>
    <w:rsid w:val="00BF1F49"/>
    <w:rsid w:val="00BF5C5D"/>
    <w:rsid w:val="00BF789F"/>
    <w:rsid w:val="00C11100"/>
    <w:rsid w:val="00C119FC"/>
    <w:rsid w:val="00C11DE8"/>
    <w:rsid w:val="00C12D27"/>
    <w:rsid w:val="00C133AC"/>
    <w:rsid w:val="00C1446C"/>
    <w:rsid w:val="00C15B86"/>
    <w:rsid w:val="00C24028"/>
    <w:rsid w:val="00C24371"/>
    <w:rsid w:val="00C25E3D"/>
    <w:rsid w:val="00C302AC"/>
    <w:rsid w:val="00C31137"/>
    <w:rsid w:val="00C329AA"/>
    <w:rsid w:val="00C3327F"/>
    <w:rsid w:val="00C40083"/>
    <w:rsid w:val="00C40A7E"/>
    <w:rsid w:val="00C418C8"/>
    <w:rsid w:val="00C4212C"/>
    <w:rsid w:val="00C448CC"/>
    <w:rsid w:val="00C449E2"/>
    <w:rsid w:val="00C4760E"/>
    <w:rsid w:val="00C5014F"/>
    <w:rsid w:val="00C54EC9"/>
    <w:rsid w:val="00C62A93"/>
    <w:rsid w:val="00C64897"/>
    <w:rsid w:val="00C676EF"/>
    <w:rsid w:val="00C733E0"/>
    <w:rsid w:val="00C74420"/>
    <w:rsid w:val="00C915FE"/>
    <w:rsid w:val="00C9626F"/>
    <w:rsid w:val="00C965E0"/>
    <w:rsid w:val="00CA02E0"/>
    <w:rsid w:val="00CA3E14"/>
    <w:rsid w:val="00CA41A1"/>
    <w:rsid w:val="00CA4C78"/>
    <w:rsid w:val="00CA5146"/>
    <w:rsid w:val="00CA6DFF"/>
    <w:rsid w:val="00CB3992"/>
    <w:rsid w:val="00CB40AD"/>
    <w:rsid w:val="00CB5188"/>
    <w:rsid w:val="00CB56DE"/>
    <w:rsid w:val="00CB5AED"/>
    <w:rsid w:val="00CB7D39"/>
    <w:rsid w:val="00CC3C94"/>
    <w:rsid w:val="00CD27D5"/>
    <w:rsid w:val="00CD3D96"/>
    <w:rsid w:val="00CD4C98"/>
    <w:rsid w:val="00CE24BB"/>
    <w:rsid w:val="00CF02EE"/>
    <w:rsid w:val="00CF35FF"/>
    <w:rsid w:val="00D01A7A"/>
    <w:rsid w:val="00D0546C"/>
    <w:rsid w:val="00D0559D"/>
    <w:rsid w:val="00D11C23"/>
    <w:rsid w:val="00D12E52"/>
    <w:rsid w:val="00D12F2A"/>
    <w:rsid w:val="00D14880"/>
    <w:rsid w:val="00D1754A"/>
    <w:rsid w:val="00D20511"/>
    <w:rsid w:val="00D21863"/>
    <w:rsid w:val="00D21BA1"/>
    <w:rsid w:val="00D22B23"/>
    <w:rsid w:val="00D24554"/>
    <w:rsid w:val="00D30120"/>
    <w:rsid w:val="00D31B19"/>
    <w:rsid w:val="00D35FCC"/>
    <w:rsid w:val="00D42F48"/>
    <w:rsid w:val="00D43870"/>
    <w:rsid w:val="00D476A3"/>
    <w:rsid w:val="00D47E06"/>
    <w:rsid w:val="00D50BC4"/>
    <w:rsid w:val="00D53BF3"/>
    <w:rsid w:val="00D6006E"/>
    <w:rsid w:val="00D60F45"/>
    <w:rsid w:val="00D61985"/>
    <w:rsid w:val="00D6504C"/>
    <w:rsid w:val="00D72702"/>
    <w:rsid w:val="00D72AEA"/>
    <w:rsid w:val="00D73154"/>
    <w:rsid w:val="00D73419"/>
    <w:rsid w:val="00D7369F"/>
    <w:rsid w:val="00D80948"/>
    <w:rsid w:val="00D81CA5"/>
    <w:rsid w:val="00D82CFF"/>
    <w:rsid w:val="00D8513F"/>
    <w:rsid w:val="00D85E17"/>
    <w:rsid w:val="00D873B0"/>
    <w:rsid w:val="00D8791E"/>
    <w:rsid w:val="00D91E6F"/>
    <w:rsid w:val="00D94A42"/>
    <w:rsid w:val="00DA02BA"/>
    <w:rsid w:val="00DA11CE"/>
    <w:rsid w:val="00DA3DE2"/>
    <w:rsid w:val="00DA577E"/>
    <w:rsid w:val="00DB0629"/>
    <w:rsid w:val="00DC096A"/>
    <w:rsid w:val="00DC0B63"/>
    <w:rsid w:val="00DC0F61"/>
    <w:rsid w:val="00DC3434"/>
    <w:rsid w:val="00DC4B59"/>
    <w:rsid w:val="00DC6FE2"/>
    <w:rsid w:val="00DC7507"/>
    <w:rsid w:val="00DD0053"/>
    <w:rsid w:val="00DD0243"/>
    <w:rsid w:val="00DD23EB"/>
    <w:rsid w:val="00DD2F53"/>
    <w:rsid w:val="00DD6CD5"/>
    <w:rsid w:val="00DE04F4"/>
    <w:rsid w:val="00DE575B"/>
    <w:rsid w:val="00DE650D"/>
    <w:rsid w:val="00DF0A72"/>
    <w:rsid w:val="00DF0D4A"/>
    <w:rsid w:val="00DF1B6C"/>
    <w:rsid w:val="00DF3008"/>
    <w:rsid w:val="00DF52E1"/>
    <w:rsid w:val="00E00E36"/>
    <w:rsid w:val="00E01F9C"/>
    <w:rsid w:val="00E03F0E"/>
    <w:rsid w:val="00E055E8"/>
    <w:rsid w:val="00E05621"/>
    <w:rsid w:val="00E100EE"/>
    <w:rsid w:val="00E10195"/>
    <w:rsid w:val="00E12AE0"/>
    <w:rsid w:val="00E145C3"/>
    <w:rsid w:val="00E15C70"/>
    <w:rsid w:val="00E20407"/>
    <w:rsid w:val="00E23336"/>
    <w:rsid w:val="00E25817"/>
    <w:rsid w:val="00E260D0"/>
    <w:rsid w:val="00E26DAC"/>
    <w:rsid w:val="00E27147"/>
    <w:rsid w:val="00E323A9"/>
    <w:rsid w:val="00E339F8"/>
    <w:rsid w:val="00E34060"/>
    <w:rsid w:val="00E3432D"/>
    <w:rsid w:val="00E3667D"/>
    <w:rsid w:val="00E368BB"/>
    <w:rsid w:val="00E37E4C"/>
    <w:rsid w:val="00E37FA1"/>
    <w:rsid w:val="00E413E5"/>
    <w:rsid w:val="00E41771"/>
    <w:rsid w:val="00E41BBD"/>
    <w:rsid w:val="00E42503"/>
    <w:rsid w:val="00E435E4"/>
    <w:rsid w:val="00E471A5"/>
    <w:rsid w:val="00E47E6F"/>
    <w:rsid w:val="00E52952"/>
    <w:rsid w:val="00E54352"/>
    <w:rsid w:val="00E55A03"/>
    <w:rsid w:val="00E56235"/>
    <w:rsid w:val="00E56F93"/>
    <w:rsid w:val="00E62665"/>
    <w:rsid w:val="00E65605"/>
    <w:rsid w:val="00E665A4"/>
    <w:rsid w:val="00E703AE"/>
    <w:rsid w:val="00E704EA"/>
    <w:rsid w:val="00E70E0D"/>
    <w:rsid w:val="00E7383D"/>
    <w:rsid w:val="00E74350"/>
    <w:rsid w:val="00E77E27"/>
    <w:rsid w:val="00E8028E"/>
    <w:rsid w:val="00E802D4"/>
    <w:rsid w:val="00E8080A"/>
    <w:rsid w:val="00E81618"/>
    <w:rsid w:val="00E84ACA"/>
    <w:rsid w:val="00E860A0"/>
    <w:rsid w:val="00E9566B"/>
    <w:rsid w:val="00EA2212"/>
    <w:rsid w:val="00EA2516"/>
    <w:rsid w:val="00EA3B44"/>
    <w:rsid w:val="00EA5437"/>
    <w:rsid w:val="00EA5ECA"/>
    <w:rsid w:val="00EA5F13"/>
    <w:rsid w:val="00EA611C"/>
    <w:rsid w:val="00EA6775"/>
    <w:rsid w:val="00EA71D0"/>
    <w:rsid w:val="00EB0809"/>
    <w:rsid w:val="00EB4206"/>
    <w:rsid w:val="00EC56C0"/>
    <w:rsid w:val="00ED0214"/>
    <w:rsid w:val="00ED693F"/>
    <w:rsid w:val="00EE16D3"/>
    <w:rsid w:val="00EE3F3A"/>
    <w:rsid w:val="00EF0033"/>
    <w:rsid w:val="00EF347D"/>
    <w:rsid w:val="00EF6132"/>
    <w:rsid w:val="00EF701E"/>
    <w:rsid w:val="00F022EE"/>
    <w:rsid w:val="00F061CD"/>
    <w:rsid w:val="00F07D56"/>
    <w:rsid w:val="00F122DF"/>
    <w:rsid w:val="00F13144"/>
    <w:rsid w:val="00F13C0C"/>
    <w:rsid w:val="00F175D4"/>
    <w:rsid w:val="00F20775"/>
    <w:rsid w:val="00F20FD5"/>
    <w:rsid w:val="00F23AF9"/>
    <w:rsid w:val="00F255B5"/>
    <w:rsid w:val="00F2729E"/>
    <w:rsid w:val="00F31FAE"/>
    <w:rsid w:val="00F32181"/>
    <w:rsid w:val="00F4271E"/>
    <w:rsid w:val="00F44E1D"/>
    <w:rsid w:val="00F45BAB"/>
    <w:rsid w:val="00F45E45"/>
    <w:rsid w:val="00F52A84"/>
    <w:rsid w:val="00F52F20"/>
    <w:rsid w:val="00F5538D"/>
    <w:rsid w:val="00F554B4"/>
    <w:rsid w:val="00F55F9C"/>
    <w:rsid w:val="00F576B3"/>
    <w:rsid w:val="00F611A9"/>
    <w:rsid w:val="00F6246E"/>
    <w:rsid w:val="00F6692C"/>
    <w:rsid w:val="00F67741"/>
    <w:rsid w:val="00F7073F"/>
    <w:rsid w:val="00F7269F"/>
    <w:rsid w:val="00F73E1A"/>
    <w:rsid w:val="00F762E3"/>
    <w:rsid w:val="00F802BA"/>
    <w:rsid w:val="00F819C1"/>
    <w:rsid w:val="00F8783F"/>
    <w:rsid w:val="00F87CB2"/>
    <w:rsid w:val="00F90358"/>
    <w:rsid w:val="00F912C9"/>
    <w:rsid w:val="00F9211E"/>
    <w:rsid w:val="00F93709"/>
    <w:rsid w:val="00F94077"/>
    <w:rsid w:val="00FA1B70"/>
    <w:rsid w:val="00FA320C"/>
    <w:rsid w:val="00FA5068"/>
    <w:rsid w:val="00FA52AB"/>
    <w:rsid w:val="00FA5FA1"/>
    <w:rsid w:val="00FA71AF"/>
    <w:rsid w:val="00FA7DE7"/>
    <w:rsid w:val="00FB0058"/>
    <w:rsid w:val="00FB5137"/>
    <w:rsid w:val="00FC2905"/>
    <w:rsid w:val="00FC34C3"/>
    <w:rsid w:val="00FC3D2E"/>
    <w:rsid w:val="00FC63FC"/>
    <w:rsid w:val="00FC74F2"/>
    <w:rsid w:val="00FC7A62"/>
    <w:rsid w:val="00FD008E"/>
    <w:rsid w:val="00FD119E"/>
    <w:rsid w:val="00FD2674"/>
    <w:rsid w:val="00FE00FB"/>
    <w:rsid w:val="00FE3A9E"/>
    <w:rsid w:val="00FE4877"/>
    <w:rsid w:val="00FE5188"/>
    <w:rsid w:val="00FE6389"/>
    <w:rsid w:val="00FE74FC"/>
    <w:rsid w:val="00FF0CFC"/>
    <w:rsid w:val="00FF3E61"/>
    <w:rsid w:val="00FF47EF"/>
    <w:rsid w:val="00FF5B50"/>
    <w:rsid w:val="00FF6047"/>
    <w:rsid w:val="00FF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115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basedOn w:val="DefaultParagraphFont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basedOn w:val="DefaultParagraphFont"/>
    <w:uiPriority w:val="99"/>
    <w:semiHidden/>
    <w:unhideWhenUsed/>
    <w:rsid w:val="00F67741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2977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97709"/>
    <w:rPr>
      <w:sz w:val="22"/>
      <w:szCs w:val="22"/>
    </w:rPr>
  </w:style>
  <w:style w:type="paragraph" w:styleId="Title">
    <w:name w:val="Title"/>
    <w:basedOn w:val="Normal"/>
    <w:link w:val="TitleChar"/>
    <w:qFormat/>
    <w:rsid w:val="003F54E7"/>
    <w:pPr>
      <w:jc w:val="center"/>
    </w:pPr>
    <w:rPr>
      <w:rFonts w:ascii="Times New Roman" w:eastAsia="Times New Roman" w:hAnsi="Times New Roman" w:cs="Simplified Arabic"/>
      <w:b/>
      <w:bCs/>
      <w:noProof/>
      <w:sz w:val="32"/>
      <w:szCs w:val="28"/>
    </w:rPr>
  </w:style>
  <w:style w:type="character" w:customStyle="1" w:styleId="TitleChar">
    <w:name w:val="Title Char"/>
    <w:basedOn w:val="DefaultParagraphFont"/>
    <w:link w:val="Title"/>
    <w:rsid w:val="003F54E7"/>
    <w:rPr>
      <w:rFonts w:ascii="Times New Roman" w:eastAsia="Times New Roman" w:hAnsi="Times New Roman" w:cs="Simplified Arabic"/>
      <w:b/>
      <w:bCs/>
      <w:noProof/>
      <w:sz w:val="32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115"/>
    <w:rPr>
      <w:rFonts w:ascii="Cambria" w:eastAsia="Times New Roman" w:hAnsi="Cambria" w:cs="Times New Roman"/>
      <w:i/>
      <w:iCs/>
      <w:color w:val="4040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19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19FC"/>
  </w:style>
  <w:style w:type="character" w:styleId="EndnoteReference">
    <w:name w:val="endnote reference"/>
    <w:basedOn w:val="DefaultParagraphFont"/>
    <w:uiPriority w:val="99"/>
    <w:semiHidden/>
    <w:unhideWhenUsed/>
    <w:rsid w:val="00C119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D9A55-256D-4F56-A320-282351B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loays</dc:creator>
  <cp:lastModifiedBy>adwikat</cp:lastModifiedBy>
  <cp:revision>2</cp:revision>
  <cp:lastPrinted>2018-04-05T06:29:00Z</cp:lastPrinted>
  <dcterms:created xsi:type="dcterms:W3CDTF">2018-08-29T06:10:00Z</dcterms:created>
  <dcterms:modified xsi:type="dcterms:W3CDTF">2018-08-29T06:10:00Z</dcterms:modified>
</cp:coreProperties>
</file>