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D7" w:rsidRDefault="00E476D7" w:rsidP="001604F6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3C080D" w:rsidRDefault="003C080D" w:rsidP="00E476D7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1604F6" w:rsidRPr="001604F6" w:rsidRDefault="001604F6" w:rsidP="00E476D7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1604F6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يصدر بياناً صحفياً بمناسبة يوم المرأة العالمي، 2017</w:t>
      </w:r>
    </w:p>
    <w:p w:rsidR="001604F6" w:rsidRPr="00E476D7" w:rsidRDefault="00E476D7" w:rsidP="00E476D7">
      <w:pPr>
        <w:tabs>
          <w:tab w:val="left" w:pos="1931"/>
        </w:tabs>
        <w:rPr>
          <w:rFonts w:ascii="Simplified Arabic" w:hAnsi="Simplified Arabic" w:cs="Simplified Arabic"/>
          <w:sz w:val="16"/>
          <w:szCs w:val="16"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</w:p>
    <w:p w:rsidR="001604F6" w:rsidRPr="001604F6" w:rsidRDefault="001604F6" w:rsidP="001604F6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1604F6">
        <w:rPr>
          <w:rFonts w:ascii="Simplified Arabic" w:hAnsi="Simplified Arabic" w:cs="Simplified Arabic"/>
          <w:b/>
          <w:bCs/>
          <w:sz w:val="28"/>
          <w:szCs w:val="28"/>
          <w:rtl/>
        </w:rPr>
        <w:t>استعرضت معالي السيدة علا عوض، رئيس الإحصاء الفلسطيني، اليوم الثلاثاء 07/03/2016 أوضاع المرأة   الفلسطينية عشية يوم المرأة العالمي الذي يصادف يوم غد الاربعاء 08/03/2017، على النحو الاتي:</w:t>
      </w:r>
    </w:p>
    <w:p w:rsidR="001604F6" w:rsidRPr="001604F6" w:rsidRDefault="001604F6" w:rsidP="001604F6">
      <w:pPr>
        <w:pStyle w:val="Heading5"/>
        <w:ind w:left="-71"/>
        <w:rPr>
          <w:rFonts w:ascii="Simplified Arabic" w:hAnsi="Simplified Arabic"/>
          <w:u w:val="none"/>
          <w:rtl/>
        </w:rPr>
      </w:pPr>
    </w:p>
    <w:p w:rsidR="00E476D7" w:rsidRDefault="00E476D7" w:rsidP="001604F6">
      <w:pPr>
        <w:tabs>
          <w:tab w:val="left" w:pos="9071"/>
        </w:tabs>
        <w:ind w:right="720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604F6" w:rsidRPr="001604F6" w:rsidRDefault="001604F6" w:rsidP="001604F6">
      <w:pPr>
        <w:tabs>
          <w:tab w:val="left" w:pos="9071"/>
        </w:tabs>
        <w:ind w:right="720"/>
        <w:rPr>
          <w:rFonts w:ascii="Simplified Arabic" w:hAnsi="Simplified Arabic" w:cs="Simplified Arabic"/>
          <w:b/>
          <w:bCs/>
          <w:noProof/>
          <w:sz w:val="25"/>
          <w:szCs w:val="25"/>
          <w:rtl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>نصف</w:t>
      </w:r>
      <w:r w:rsidRPr="001604F6">
        <w:rPr>
          <w:rFonts w:ascii="Simplified Arabic" w:hAnsi="Simplified Arabic" w:cs="Simplified Arabic"/>
          <w:b/>
          <w:bCs/>
          <w:sz w:val="25"/>
          <w:szCs w:val="25"/>
        </w:rPr>
        <w:t xml:space="preserve"> </w:t>
      </w: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>المجتمع الفلسطيني من الإناث</w:t>
      </w:r>
    </w:p>
    <w:p w:rsidR="001604F6" w:rsidRPr="001604F6" w:rsidRDefault="001604F6" w:rsidP="001604F6">
      <w:pPr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بلغ عدد السكان المقدر في نهاية عام 2016 في فلسطين حوالي 4.88 مليون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فرد؛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منهم 2.48 مليون ذكر بنسبة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50.8%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و2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.40 مليون أنثى بنسبة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49.2%،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فيما وصلت نسبة الجنس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103.3،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أي أن هناك 103 ذكور لكل 100 أنثى. </w:t>
      </w:r>
    </w:p>
    <w:p w:rsidR="001604F6" w:rsidRPr="001604F6" w:rsidRDefault="001604F6" w:rsidP="001604F6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358"/>
        <w:gridCol w:w="1313"/>
        <w:gridCol w:w="1313"/>
        <w:gridCol w:w="1296"/>
      </w:tblGrid>
      <w:tr w:rsidR="001604F6" w:rsidRPr="001604F6" w:rsidTr="001604F6">
        <w:trPr>
          <w:jc w:val="center"/>
        </w:trPr>
        <w:tc>
          <w:tcPr>
            <w:tcW w:w="1358" w:type="dxa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1202" w:type="dxa"/>
          </w:tcPr>
          <w:p w:rsidR="001604F6" w:rsidRPr="001604F6" w:rsidRDefault="001604F6" w:rsidP="00A9300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1202" w:type="dxa"/>
          </w:tcPr>
          <w:p w:rsidR="001604F6" w:rsidRPr="001604F6" w:rsidRDefault="001604F6" w:rsidP="00A9300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1202" w:type="dxa"/>
          </w:tcPr>
          <w:p w:rsidR="001604F6" w:rsidRPr="001604F6" w:rsidRDefault="001604F6" w:rsidP="00A9300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كلا الجنسين</w:t>
            </w:r>
          </w:p>
        </w:tc>
      </w:tr>
      <w:tr w:rsidR="001604F6" w:rsidRPr="001604F6" w:rsidTr="001604F6">
        <w:trPr>
          <w:jc w:val="center"/>
        </w:trPr>
        <w:tc>
          <w:tcPr>
            <w:tcW w:w="1358" w:type="dxa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  <w:t>2,482,234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  <w:t>2,402,102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  <w:t>4,884</w:t>
            </w: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,</w:t>
            </w:r>
            <w:r w:rsidRPr="001604F6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IE"/>
              </w:rPr>
              <w:t>336</w:t>
            </w:r>
          </w:p>
        </w:tc>
      </w:tr>
      <w:tr w:rsidR="001604F6" w:rsidRPr="001604F6" w:rsidTr="001604F6">
        <w:trPr>
          <w:jc w:val="center"/>
        </w:trPr>
        <w:tc>
          <w:tcPr>
            <w:tcW w:w="1358" w:type="dxa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1,510,377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1,461,692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2,972,069</w:t>
            </w:r>
          </w:p>
        </w:tc>
      </w:tr>
      <w:tr w:rsidR="001604F6" w:rsidRPr="001604F6" w:rsidTr="001604F6">
        <w:trPr>
          <w:trHeight w:val="80"/>
          <w:jc w:val="center"/>
        </w:trPr>
        <w:tc>
          <w:tcPr>
            <w:tcW w:w="1358" w:type="dxa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rtl/>
              </w:rPr>
              <w:t>قطاع غزة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971,857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940,410</w:t>
            </w:r>
          </w:p>
        </w:tc>
        <w:tc>
          <w:tcPr>
            <w:tcW w:w="1202" w:type="dxa"/>
            <w:vAlign w:val="center"/>
          </w:tcPr>
          <w:p w:rsidR="001604F6" w:rsidRPr="001604F6" w:rsidRDefault="001604F6" w:rsidP="00A93001">
            <w:pPr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</w:pPr>
            <w:r w:rsidRPr="001604F6">
              <w:rPr>
                <w:rFonts w:ascii="Simplified Arabic" w:hAnsi="Simplified Arabic" w:cs="Simplified Arabic"/>
                <w:sz w:val="24"/>
                <w:szCs w:val="24"/>
                <w:lang w:val="en-IE"/>
              </w:rPr>
              <w:t>1,912,267</w:t>
            </w:r>
          </w:p>
        </w:tc>
      </w:tr>
    </w:tbl>
    <w:p w:rsidR="001604F6" w:rsidRPr="001604F6" w:rsidRDefault="001604F6" w:rsidP="001604F6">
      <w:pPr>
        <w:tabs>
          <w:tab w:val="left" w:pos="9071"/>
        </w:tabs>
        <w:ind w:right="720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2"/>
    </w:p>
    <w:p w:rsidR="001604F6" w:rsidRPr="001604F6" w:rsidRDefault="001604F6" w:rsidP="001604F6">
      <w:pPr>
        <w:tabs>
          <w:tab w:val="left" w:pos="9071"/>
        </w:tabs>
        <w:ind w:right="72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الاسر التي ترأسها نساء </w:t>
      </w:r>
    </w:p>
    <w:p w:rsidR="001604F6" w:rsidRPr="001604F6" w:rsidRDefault="001604F6" w:rsidP="001604F6">
      <w:pPr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حوالي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11.0%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الاسر الفلسطينية ترأسها نساء عام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2016،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12.1%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في الضفة الغربية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و9.0%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في قطاع غزة.</w:t>
      </w:r>
    </w:p>
    <w:p w:rsidR="001604F6" w:rsidRPr="001604F6" w:rsidRDefault="001604F6" w:rsidP="001604F6">
      <w:pPr>
        <w:pStyle w:val="BodyText"/>
        <w:widowControl w:val="0"/>
        <w:tabs>
          <w:tab w:val="left" w:pos="1166"/>
        </w:tabs>
        <w:jc w:val="both"/>
        <w:rPr>
          <w:rFonts w:ascii="Simplified Arabic" w:hAnsi="Simplified Arabic"/>
          <w:sz w:val="16"/>
          <w:szCs w:val="16"/>
          <w:rtl/>
        </w:rPr>
      </w:pPr>
      <w:r>
        <w:rPr>
          <w:rFonts w:ascii="Simplified Arabic" w:hAnsi="Simplified Arabic"/>
          <w:rtl/>
        </w:rPr>
        <w:tab/>
      </w:r>
    </w:p>
    <w:p w:rsidR="001604F6" w:rsidRPr="001604F6" w:rsidRDefault="001604F6" w:rsidP="001604F6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أكثر من خُمس الافراد </w:t>
      </w:r>
      <w:proofErr w:type="spellStart"/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1604F6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ar-SA"/>
        </w:rPr>
        <w:t>21.4</w:t>
      </w:r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>%)</w:t>
      </w:r>
      <w:proofErr w:type="spellEnd"/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تزوجوا في عمر مبكر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proofErr w:type="spellEnd"/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أقل من </w:t>
      </w:r>
      <w:r w:rsidRPr="001604F6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ar-SA"/>
        </w:rPr>
        <w:t>18</w:t>
      </w:r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سنة</w:t>
      </w:r>
      <w:proofErr w:type="spellStart"/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proofErr w:type="spellEnd"/>
      <w:r w:rsidRPr="001604F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</w:p>
    <w:p w:rsidR="001604F6" w:rsidRPr="001604F6" w:rsidRDefault="001604F6" w:rsidP="001604F6">
      <w:pPr>
        <w:pStyle w:val="BodyText"/>
        <w:widowControl w:val="0"/>
        <w:jc w:val="both"/>
        <w:rPr>
          <w:rFonts w:ascii="Simplified Arabic" w:hAnsi="Simplified Arabic"/>
          <w:rtl/>
        </w:rPr>
      </w:pPr>
      <w:proofErr w:type="spellStart"/>
      <w:r w:rsidRPr="001604F6">
        <w:rPr>
          <w:rFonts w:ascii="Simplified Arabic" w:hAnsi="Simplified Arabic"/>
          <w:rtl/>
        </w:rPr>
        <w:t>20.3%</w:t>
      </w:r>
      <w:proofErr w:type="spellEnd"/>
      <w:r w:rsidRPr="001604F6">
        <w:rPr>
          <w:rFonts w:ascii="Simplified Arabic" w:hAnsi="Simplified Arabic"/>
          <w:rtl/>
        </w:rPr>
        <w:t xml:space="preserve"> نسبة الزواج المبكر للإناث مقابل </w:t>
      </w:r>
      <w:proofErr w:type="spellStart"/>
      <w:r w:rsidRPr="001604F6">
        <w:rPr>
          <w:rFonts w:ascii="Simplified Arabic" w:hAnsi="Simplified Arabic"/>
          <w:rtl/>
        </w:rPr>
        <w:t>1.1%</w:t>
      </w:r>
      <w:proofErr w:type="spellEnd"/>
      <w:r w:rsidRPr="001604F6">
        <w:rPr>
          <w:rFonts w:ascii="Simplified Arabic" w:hAnsi="Simplified Arabic"/>
          <w:rtl/>
        </w:rPr>
        <w:t xml:space="preserve"> للذكور وذلك من </w:t>
      </w:r>
      <w:r w:rsidRPr="001604F6">
        <w:rPr>
          <w:rFonts w:ascii="Simplified Arabic" w:eastAsia="Calibri" w:hAnsi="Simplified Arabic"/>
          <w:rtl/>
          <w:lang w:eastAsia="en-US"/>
        </w:rPr>
        <w:t xml:space="preserve">المجموع الكلي للأفراد المتزوجين في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فلسطين،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حيث بلغت هذه النسبة في الضفة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الغربية</w:t>
      </w:r>
      <w:r w:rsidRPr="001604F6">
        <w:rPr>
          <w:rFonts w:ascii="Simplified Arabic" w:hAnsi="Simplified Arabic"/>
          <w:rtl/>
        </w:rPr>
        <w:t>؛</w:t>
      </w:r>
      <w:proofErr w:type="spellEnd"/>
      <w:r w:rsidRPr="001604F6">
        <w:rPr>
          <w:rFonts w:ascii="Simplified Arabic" w:hAnsi="Simplified Arabic"/>
          <w:rtl/>
        </w:rPr>
        <w:t xml:space="preserve"> </w:t>
      </w:r>
      <w:proofErr w:type="spellStart"/>
      <w:r w:rsidRPr="001604F6">
        <w:rPr>
          <w:rFonts w:ascii="Simplified Arabic" w:hAnsi="Simplified Arabic"/>
          <w:rtl/>
        </w:rPr>
        <w:t>19.7%</w:t>
      </w:r>
      <w:proofErr w:type="spellEnd"/>
      <w:r w:rsidRPr="001604F6">
        <w:rPr>
          <w:rFonts w:ascii="Simplified Arabic" w:hAnsi="Simplified Arabic"/>
          <w:rtl/>
        </w:rPr>
        <w:t xml:space="preserve"> من اجمالي الافراد المتزوجين في الضفة الغربية وفي قطاع غزة </w:t>
      </w:r>
      <w:proofErr w:type="spellStart"/>
      <w:r w:rsidRPr="001604F6">
        <w:rPr>
          <w:rFonts w:ascii="Simplified Arabic" w:hAnsi="Simplified Arabic"/>
          <w:rtl/>
        </w:rPr>
        <w:t>23.7%</w:t>
      </w:r>
      <w:proofErr w:type="spellEnd"/>
      <w:r w:rsidRPr="001604F6">
        <w:rPr>
          <w:rFonts w:ascii="Simplified Arabic" w:hAnsi="Simplified Arabic"/>
          <w:rtl/>
        </w:rPr>
        <w:t xml:space="preserve"> من اجمالي الافراد المتزوجين في قطاع غزة خلال عام 2015.</w:t>
      </w:r>
    </w:p>
    <w:p w:rsidR="001604F6" w:rsidRPr="001604F6" w:rsidRDefault="001604F6" w:rsidP="001604F6">
      <w:pPr>
        <w:pStyle w:val="BodyText"/>
        <w:widowControl w:val="0"/>
        <w:ind w:firstLine="720"/>
        <w:jc w:val="both"/>
        <w:rPr>
          <w:rFonts w:ascii="Simplified Arabic" w:hAnsi="Simplified Arabic"/>
          <w:sz w:val="16"/>
          <w:szCs w:val="16"/>
          <w:rtl/>
        </w:rPr>
      </w:pPr>
    </w:p>
    <w:p w:rsidR="001604F6" w:rsidRPr="001604F6" w:rsidRDefault="001604F6" w:rsidP="001604F6">
      <w:pPr>
        <w:pStyle w:val="BodyText"/>
        <w:widowControl w:val="0"/>
        <w:jc w:val="both"/>
        <w:rPr>
          <w:rFonts w:ascii="Simplified Arabic" w:hAnsi="Simplified Arabic"/>
          <w:rtl/>
        </w:rPr>
      </w:pPr>
      <w:r w:rsidRPr="001604F6">
        <w:rPr>
          <w:rFonts w:ascii="Simplified Arabic" w:hAnsi="Simplified Arabic"/>
          <w:rtl/>
        </w:rPr>
        <w:t xml:space="preserve">وعلى مستوى محافظات الضفة الغربية بلغت أعلى نسبة للزواج المبكر للإناث في محافظة الخليل بنسبة </w:t>
      </w:r>
      <w:proofErr w:type="spellStart"/>
      <w:r w:rsidRPr="001604F6">
        <w:rPr>
          <w:rFonts w:ascii="Simplified Arabic" w:hAnsi="Simplified Arabic"/>
          <w:rtl/>
        </w:rPr>
        <w:t>36.2%،</w:t>
      </w:r>
      <w:proofErr w:type="spellEnd"/>
      <w:r w:rsidRPr="001604F6">
        <w:rPr>
          <w:rFonts w:ascii="Simplified Arabic" w:hAnsi="Simplified Arabic"/>
          <w:rtl/>
        </w:rPr>
        <w:t xml:space="preserve"> وأقلها في محافظة أريحا والأغوار بنسبة </w:t>
      </w:r>
      <w:proofErr w:type="spellStart"/>
      <w:r w:rsidRPr="001604F6">
        <w:rPr>
          <w:rFonts w:ascii="Simplified Arabic" w:hAnsi="Simplified Arabic"/>
          <w:rtl/>
        </w:rPr>
        <w:t>1.3%</w:t>
      </w:r>
      <w:proofErr w:type="spellEnd"/>
      <w:r w:rsidRPr="001604F6">
        <w:rPr>
          <w:rFonts w:ascii="Simplified Arabic" w:hAnsi="Simplified Arabic"/>
          <w:rtl/>
        </w:rPr>
        <w:t xml:space="preserve"> وذلك من مجموع الاناث المتزوجات (في عمر أقل من 18 سنة</w:t>
      </w:r>
      <w:proofErr w:type="spellStart"/>
      <w:r w:rsidRPr="001604F6">
        <w:rPr>
          <w:rFonts w:ascii="Simplified Arabic" w:hAnsi="Simplified Arabic"/>
          <w:rtl/>
        </w:rPr>
        <w:t>)</w:t>
      </w:r>
      <w:proofErr w:type="spellEnd"/>
      <w:r w:rsidRPr="001604F6">
        <w:rPr>
          <w:rFonts w:ascii="Simplified Arabic" w:hAnsi="Simplified Arabic"/>
          <w:rtl/>
        </w:rPr>
        <w:t xml:space="preserve"> في الضفة </w:t>
      </w:r>
      <w:proofErr w:type="spellStart"/>
      <w:r w:rsidRPr="001604F6">
        <w:rPr>
          <w:rFonts w:ascii="Simplified Arabic" w:hAnsi="Simplified Arabic"/>
          <w:rtl/>
        </w:rPr>
        <w:t>الغربية،</w:t>
      </w:r>
      <w:proofErr w:type="spellEnd"/>
      <w:r w:rsidRPr="001604F6">
        <w:rPr>
          <w:rFonts w:ascii="Simplified Arabic" w:hAnsi="Simplified Arabic"/>
          <w:rtl/>
        </w:rPr>
        <w:t xml:space="preserve"> وعلى مستوى محافظات قطاع غزة فقد بلغت أعلى نسبة للزواج المبكر للإناث في محافظة غزة بنسبة </w:t>
      </w:r>
      <w:proofErr w:type="spellStart"/>
      <w:r w:rsidRPr="001604F6">
        <w:rPr>
          <w:rFonts w:ascii="Simplified Arabic" w:hAnsi="Simplified Arabic"/>
          <w:rtl/>
        </w:rPr>
        <w:t>40.8%،</w:t>
      </w:r>
      <w:proofErr w:type="spellEnd"/>
      <w:r w:rsidRPr="001604F6">
        <w:rPr>
          <w:rFonts w:ascii="Simplified Arabic" w:hAnsi="Simplified Arabic"/>
          <w:rtl/>
        </w:rPr>
        <w:t xml:space="preserve"> وأقلها في دير البلح بنسبة </w:t>
      </w:r>
      <w:proofErr w:type="spellStart"/>
      <w:r w:rsidRPr="001604F6">
        <w:rPr>
          <w:rFonts w:ascii="Simplified Arabic" w:hAnsi="Simplified Arabic"/>
          <w:rtl/>
        </w:rPr>
        <w:t>6.9%</w:t>
      </w:r>
      <w:proofErr w:type="spellEnd"/>
      <w:r w:rsidRPr="001604F6">
        <w:rPr>
          <w:rFonts w:ascii="Simplified Arabic" w:hAnsi="Simplified Arabic"/>
          <w:rtl/>
        </w:rPr>
        <w:t xml:space="preserve"> من مجموع الاناث المتزوجات (في عمر أقل من 18 سنة</w:t>
      </w:r>
      <w:proofErr w:type="spellStart"/>
      <w:r w:rsidRPr="001604F6">
        <w:rPr>
          <w:rFonts w:ascii="Simplified Arabic" w:hAnsi="Simplified Arabic"/>
          <w:rtl/>
        </w:rPr>
        <w:t>)</w:t>
      </w:r>
      <w:proofErr w:type="spellEnd"/>
      <w:r w:rsidRPr="001604F6">
        <w:rPr>
          <w:rFonts w:ascii="Simplified Arabic" w:hAnsi="Simplified Arabic"/>
          <w:rtl/>
        </w:rPr>
        <w:t xml:space="preserve"> في قطاع غزة.</w:t>
      </w:r>
    </w:p>
    <w:p w:rsidR="001604F6" w:rsidRPr="001604F6" w:rsidRDefault="001604F6" w:rsidP="001604F6">
      <w:pPr>
        <w:pStyle w:val="BodyText"/>
        <w:widowControl w:val="0"/>
        <w:jc w:val="both"/>
        <w:rPr>
          <w:rFonts w:ascii="Simplified Arabic" w:hAnsi="Simplified Arabic"/>
          <w:sz w:val="16"/>
          <w:szCs w:val="16"/>
          <w:rtl/>
        </w:rPr>
      </w:pPr>
    </w:p>
    <w:p w:rsidR="001604F6" w:rsidRPr="001604F6" w:rsidRDefault="001604F6" w:rsidP="001604F6">
      <w:pPr>
        <w:tabs>
          <w:tab w:val="left" w:pos="9071"/>
        </w:tabs>
        <w:ind w:right="720"/>
        <w:rPr>
          <w:rFonts w:ascii="Simplified Arabic" w:hAnsi="Simplified Arabic" w:cs="Simplified Arabic"/>
          <w:b/>
          <w:bCs/>
          <w:sz w:val="25"/>
          <w:szCs w:val="25"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حوالي </w:t>
      </w:r>
      <w:proofErr w:type="spellStart"/>
      <w:r w:rsidRPr="001604F6">
        <w:rPr>
          <w:rFonts w:ascii="Simplified Arabic" w:eastAsia="Times New Roman" w:hAnsi="Simplified Arabic" w:cs="Simplified Arabic"/>
          <w:b/>
          <w:bCs/>
          <w:sz w:val="25"/>
          <w:szCs w:val="25"/>
          <w:rtl/>
          <w:lang w:eastAsia="ar-SA"/>
        </w:rPr>
        <w:t>62%</w:t>
      </w:r>
      <w:proofErr w:type="spellEnd"/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من الاناث في العمر </w:t>
      </w:r>
      <w:r w:rsidRPr="001604F6">
        <w:rPr>
          <w:rFonts w:ascii="Simplified Arabic" w:eastAsia="Times New Roman" w:hAnsi="Simplified Arabic" w:cs="Simplified Arabic"/>
          <w:b/>
          <w:bCs/>
          <w:sz w:val="25"/>
          <w:szCs w:val="25"/>
          <w:rtl/>
          <w:lang w:eastAsia="ar-SA"/>
        </w:rPr>
        <w:t>18</w:t>
      </w: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سنة فأكثر متزوجات</w:t>
      </w:r>
    </w:p>
    <w:p w:rsidR="001604F6" w:rsidRPr="001604F6" w:rsidRDefault="001604F6" w:rsidP="001604F6">
      <w:pPr>
        <w:pStyle w:val="BodyText"/>
        <w:jc w:val="both"/>
        <w:rPr>
          <w:rFonts w:ascii="Simplified Arabic" w:eastAsia="Calibri" w:hAnsi="Simplified Arabic"/>
          <w:lang w:eastAsia="en-US"/>
        </w:rPr>
      </w:pPr>
      <w:r w:rsidRPr="001604F6">
        <w:rPr>
          <w:rFonts w:ascii="Simplified Arabic" w:eastAsia="Calibri" w:hAnsi="Simplified Arabic"/>
          <w:rtl/>
          <w:lang w:eastAsia="en-US"/>
        </w:rPr>
        <w:t xml:space="preserve">بلغت نسبة الإناث المتزوجات من مجموع النساء في العمر 18 سنة فأكثر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62.3%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في العام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2016،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و26.4%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لم يتزوجن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أبدا،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وبلغت نسبة الأرامل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6.6%،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ونسبة المطلقات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2.0%،</w:t>
      </w:r>
      <w:proofErr w:type="spellEnd"/>
      <w:r w:rsidRPr="001604F6">
        <w:rPr>
          <w:rFonts w:ascii="Simplified Arabic" w:eastAsia="Calibri" w:hAnsi="Simplified Arabic"/>
          <w:rtl/>
          <w:lang w:eastAsia="en-US"/>
        </w:rPr>
        <w:t xml:space="preserve"> فيما كانت نسبة اللواتي عقدن قرانهن لأول مرة </w:t>
      </w:r>
      <w:proofErr w:type="spellStart"/>
      <w:r w:rsidRPr="001604F6">
        <w:rPr>
          <w:rFonts w:ascii="Simplified Arabic" w:eastAsia="Calibri" w:hAnsi="Simplified Arabic"/>
          <w:rtl/>
          <w:lang w:eastAsia="en-US"/>
        </w:rPr>
        <w:t>2.7%.</w:t>
      </w:r>
      <w:proofErr w:type="spellEnd"/>
    </w:p>
    <w:bookmarkEnd w:id="0"/>
    <w:p w:rsidR="001604F6" w:rsidRPr="001604F6" w:rsidRDefault="001604F6" w:rsidP="001604F6">
      <w:pPr>
        <w:pStyle w:val="Heading3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p w:rsidR="001604F6" w:rsidRPr="001604F6" w:rsidRDefault="001604F6" w:rsidP="001604F6">
      <w:pPr>
        <w:pStyle w:val="Heading3"/>
        <w:jc w:val="center"/>
        <w:rPr>
          <w:rFonts w:ascii="Simplified Arabic" w:hAnsi="Simplified Arabic" w:cs="Simplified Arabic"/>
          <w:color w:val="auto"/>
          <w:sz w:val="25"/>
          <w:szCs w:val="25"/>
          <w:rtl/>
        </w:rPr>
      </w:pPr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 xml:space="preserve">معدلات معرفة القراءة والكتابة بين النساء والرجال 15 سنة </w:t>
      </w:r>
      <w:proofErr w:type="spellStart"/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فأكثر،</w:t>
      </w:r>
      <w:proofErr w:type="spellEnd"/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 xml:space="preserve">   2001-2016</w:t>
      </w:r>
    </w:p>
    <w:p w:rsidR="001604F6" w:rsidRPr="00E476D7" w:rsidRDefault="001604F6" w:rsidP="00E476D7">
      <w:pPr>
        <w:tabs>
          <w:tab w:val="left" w:pos="-72"/>
          <w:tab w:val="left" w:pos="6330"/>
        </w:tabs>
        <w:ind w:left="70" w:right="-142" w:hanging="142"/>
        <w:jc w:val="center"/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</w:pPr>
      <w:r w:rsidRPr="001604F6">
        <w:rPr>
          <w:rFonts w:ascii="Simplified Arabic" w:hAnsi="Simplified Arabic" w:cs="Simplified Arabic"/>
          <w:b/>
          <w:bCs/>
          <w:noProof/>
          <w:sz w:val="24"/>
          <w:szCs w:val="24"/>
          <w:bdr w:val="single" w:sz="8" w:space="0" w:color="000000"/>
        </w:rPr>
        <w:drawing>
          <wp:inline distT="0" distB="0" distL="0" distR="0">
            <wp:extent cx="3276600" cy="1885950"/>
            <wp:effectExtent l="0" t="0" r="0" b="0"/>
            <wp:docPr id="2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04F6" w:rsidRPr="001604F6" w:rsidRDefault="001604F6" w:rsidP="001604F6">
      <w:pPr>
        <w:pStyle w:val="Heading3"/>
        <w:jc w:val="lowKashida"/>
        <w:rPr>
          <w:rFonts w:ascii="Simplified Arabic" w:eastAsia="Calibri" w:hAnsi="Simplified Arabic" w:cs="Simplified Arabic"/>
          <w:color w:val="auto"/>
          <w:sz w:val="25"/>
          <w:szCs w:val="25"/>
          <w:rtl/>
        </w:rPr>
      </w:pPr>
      <w:r w:rsidRPr="001604F6">
        <w:rPr>
          <w:rFonts w:ascii="Simplified Arabic" w:eastAsia="Calibri" w:hAnsi="Simplified Arabic" w:cs="Simplified Arabic"/>
          <w:color w:val="auto"/>
          <w:sz w:val="25"/>
          <w:szCs w:val="25"/>
          <w:rtl/>
        </w:rPr>
        <w:t xml:space="preserve">استمرار تقدم النساء في مجال معرفة القراءة والكتابة </w:t>
      </w:r>
    </w:p>
    <w:p w:rsidR="001604F6" w:rsidRPr="001604F6" w:rsidRDefault="001604F6" w:rsidP="001604F6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رغم التقدم الحاصل على معرفة القراءة والكتابة لدى الإناث خلال العقد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الماضي،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إلا أنه ما زالت هناك فجوة لصالح الذكور بفارق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3.4%،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حيث بلغ معدل معرفة القراءة والكتابة لدى الإناث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95.2%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98.6%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للذكور خلال عام 2016.</w:t>
      </w:r>
    </w:p>
    <w:p w:rsidR="001604F6" w:rsidRPr="001604F6" w:rsidRDefault="001604F6" w:rsidP="001604F6">
      <w:pPr>
        <w:pStyle w:val="Heading3"/>
        <w:jc w:val="center"/>
        <w:rPr>
          <w:rFonts w:ascii="Simplified Arabic" w:hAnsi="Simplified Arabic" w:cs="Simplified Arabic"/>
          <w:color w:val="auto"/>
          <w:sz w:val="25"/>
          <w:szCs w:val="25"/>
          <w:rtl/>
        </w:rPr>
      </w:pPr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معدلات الالتحاق الإجمالية في المرحلة الثانوية حسب الجنس للأعوام الدراسية  (2009/2010-2015/2016</w:t>
      </w:r>
      <w:proofErr w:type="spellStart"/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)</w:t>
      </w:r>
      <w:proofErr w:type="spellEnd"/>
    </w:p>
    <w:p w:rsidR="001604F6" w:rsidRPr="001604F6" w:rsidRDefault="001604F6" w:rsidP="001604F6">
      <w:pPr>
        <w:pStyle w:val="Heading3"/>
        <w:jc w:val="center"/>
        <w:rPr>
          <w:rFonts w:ascii="Simplified Arabic" w:eastAsia="Calibri" w:hAnsi="Simplified Arabic" w:cs="Simplified Arabic"/>
          <w:sz w:val="24"/>
          <w:szCs w:val="24"/>
          <w:rtl/>
        </w:rPr>
      </w:pPr>
      <w:r w:rsidRPr="00E476D7">
        <w:rPr>
          <w:rFonts w:ascii="Simplified Arabic" w:eastAsia="Calibri" w:hAnsi="Simplified Arabic" w:cs="Simplified Arabic"/>
          <w:noProof/>
          <w:sz w:val="24"/>
          <w:szCs w:val="24"/>
          <w:bdr w:val="single" w:sz="8" w:space="0" w:color="000000"/>
          <w:rtl/>
        </w:rPr>
        <w:drawing>
          <wp:inline distT="0" distB="0" distL="0" distR="0">
            <wp:extent cx="3084195" cy="1781175"/>
            <wp:effectExtent l="19050" t="0" r="20955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604F6" w:rsidRPr="001604F6" w:rsidRDefault="001604F6" w:rsidP="001604F6">
      <w:pPr>
        <w:pStyle w:val="Heading3"/>
        <w:jc w:val="lowKashida"/>
        <w:rPr>
          <w:rFonts w:ascii="Simplified Arabic" w:eastAsia="Calibri" w:hAnsi="Simplified Arabic" w:cs="Simplified Arabic"/>
          <w:color w:val="auto"/>
          <w:sz w:val="25"/>
          <w:szCs w:val="25"/>
          <w:rtl/>
        </w:rPr>
      </w:pPr>
      <w:r w:rsidRPr="001604F6">
        <w:rPr>
          <w:rFonts w:ascii="Simplified Arabic" w:eastAsia="Calibri" w:hAnsi="Simplified Arabic" w:cs="Simplified Arabic"/>
          <w:color w:val="auto"/>
          <w:sz w:val="25"/>
          <w:szCs w:val="25"/>
          <w:rtl/>
        </w:rPr>
        <w:t>ارتفاع معدل الالتحاق في المرحلة الثانوية للإناث مقابل الذكور</w:t>
      </w:r>
    </w:p>
    <w:p w:rsidR="001604F6" w:rsidRDefault="001604F6" w:rsidP="001604F6">
      <w:pPr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تشير البيانات الى أن معدلات الالتحاق الإجمالية للذكور في المرحلة الثانوية بلغت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58.7%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78.6%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للإناث للأعوام 2015/2016.</w:t>
      </w:r>
    </w:p>
    <w:p w:rsidR="003C080D" w:rsidRPr="003C080D" w:rsidRDefault="003C080D" w:rsidP="003C080D">
      <w:pPr>
        <w:tabs>
          <w:tab w:val="left" w:pos="6401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p w:rsidR="001604F6" w:rsidRDefault="001604F6" w:rsidP="001604F6">
      <w:pPr>
        <w:pStyle w:val="Heading3"/>
        <w:jc w:val="center"/>
        <w:rPr>
          <w:rFonts w:ascii="Simplified Arabic" w:hAnsi="Simplified Arabic" w:cs="Simplified Arabic"/>
          <w:color w:val="auto"/>
          <w:sz w:val="25"/>
          <w:szCs w:val="25"/>
          <w:rtl/>
        </w:rPr>
      </w:pPr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نسبة المشاركة في القوى العاملة عند النساء والرجال 15 سنة</w:t>
      </w:r>
      <w:r w:rsidR="003C080D">
        <w:rPr>
          <w:rFonts w:ascii="Simplified Arabic" w:hAnsi="Simplified Arabic" w:cs="Simplified Arabic" w:hint="cs"/>
          <w:color w:val="auto"/>
          <w:sz w:val="25"/>
          <w:szCs w:val="25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فأكثر،</w:t>
      </w:r>
      <w:proofErr w:type="spellEnd"/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2001-</w:t>
      </w:r>
      <w:proofErr w:type="spellEnd"/>
      <w:r w:rsidRPr="001604F6">
        <w:rPr>
          <w:rFonts w:ascii="Simplified Arabic" w:hAnsi="Simplified Arabic" w:cs="Simplified Arabic"/>
          <w:color w:val="auto"/>
          <w:sz w:val="25"/>
          <w:szCs w:val="25"/>
        </w:rPr>
        <w:t xml:space="preserve"> </w:t>
      </w:r>
      <w:r w:rsidRPr="001604F6">
        <w:rPr>
          <w:rFonts w:ascii="Simplified Arabic" w:hAnsi="Simplified Arabic" w:cs="Simplified Arabic"/>
          <w:color w:val="auto"/>
          <w:sz w:val="25"/>
          <w:szCs w:val="25"/>
          <w:rtl/>
        </w:rPr>
        <w:t>2016</w:t>
      </w:r>
    </w:p>
    <w:p w:rsidR="001604F6" w:rsidRPr="001604F6" w:rsidRDefault="001604F6" w:rsidP="001604F6">
      <w:pPr>
        <w:rPr>
          <w:sz w:val="8"/>
          <w:szCs w:val="8"/>
          <w:rtl/>
        </w:rPr>
      </w:pPr>
    </w:p>
    <w:p w:rsidR="001604F6" w:rsidRPr="001604F6" w:rsidRDefault="001604F6" w:rsidP="001604F6">
      <w:pPr>
        <w:widowControl w:val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604F6">
        <w:rPr>
          <w:rFonts w:ascii="Simplified Arabic" w:hAnsi="Simplified Arabic" w:cs="Simplified Arabic"/>
          <w:b/>
          <w:bCs/>
          <w:noProof/>
          <w:sz w:val="24"/>
          <w:szCs w:val="24"/>
          <w:bdr w:val="single" w:sz="8" w:space="0" w:color="000000"/>
        </w:rPr>
        <w:drawing>
          <wp:inline distT="0" distB="0" distL="0" distR="0">
            <wp:extent cx="3448050" cy="1914525"/>
            <wp:effectExtent l="0" t="0" r="0" b="0"/>
            <wp:docPr id="9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76D7" w:rsidRDefault="00E476D7" w:rsidP="003C080D">
      <w:pPr>
        <w:tabs>
          <w:tab w:val="left" w:pos="70"/>
          <w:tab w:val="left" w:pos="6330"/>
        </w:tabs>
        <w:ind w:right="-142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3C080D" w:rsidRDefault="003C080D" w:rsidP="001604F6">
      <w:pPr>
        <w:tabs>
          <w:tab w:val="left" w:pos="70"/>
          <w:tab w:val="left" w:pos="6330"/>
        </w:tabs>
        <w:ind w:left="70" w:right="-142"/>
        <w:jc w:val="both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1604F6" w:rsidRPr="001604F6" w:rsidRDefault="001604F6" w:rsidP="001604F6">
      <w:pPr>
        <w:tabs>
          <w:tab w:val="left" w:pos="70"/>
          <w:tab w:val="left" w:pos="6330"/>
        </w:tabs>
        <w:ind w:left="70" w:right="-142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فجوة في نسبة المشاركة في قوة العمل والأجرة اليومية بين النساء والرجال </w:t>
      </w:r>
    </w:p>
    <w:p w:rsidR="001604F6" w:rsidRPr="001604F6" w:rsidRDefault="001604F6" w:rsidP="001604F6">
      <w:pPr>
        <w:widowControl w:val="0"/>
        <w:ind w:left="7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بلغت نسبة مشاركة الإناث في القوى العاملة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19.3%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مجمل الإناث في سن العمل في العام </w:t>
      </w:r>
      <w:r w:rsidRPr="001604F6">
        <w:rPr>
          <w:rFonts w:ascii="Simplified Arabic" w:hAnsi="Simplified Arabic" w:cs="Simplified Arabic"/>
          <w:sz w:val="24"/>
          <w:szCs w:val="24"/>
        </w:rPr>
        <w:t>2016</w:t>
      </w: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10.3%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في العام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2001،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وبلغت نسبة مشاركة الذكور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71.6%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للعام 2016.  مع وجود فجوة في معدلات الأجرة اليومية بين الإناث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والذكور،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إذ بلغ معدل الأجر اليومي للإناث 83.3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شيقل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114.1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شيقل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للذكور.</w:t>
      </w:r>
    </w:p>
    <w:p w:rsidR="001604F6" w:rsidRPr="00E476D7" w:rsidRDefault="001604F6" w:rsidP="001604F6">
      <w:pPr>
        <w:widowControl w:val="0"/>
        <w:ind w:left="7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04F6" w:rsidRPr="001604F6" w:rsidRDefault="001604F6" w:rsidP="001604F6">
      <w:pPr>
        <w:widowControl w:val="0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>حوالي نصف النساء الحاصلات على 13 سنة دراسية فأكثر عاطلات عن العمل</w:t>
      </w:r>
    </w:p>
    <w:p w:rsidR="001604F6" w:rsidRPr="001604F6" w:rsidRDefault="001604F6" w:rsidP="001604F6">
      <w:pPr>
        <w:pStyle w:val="BodyText"/>
        <w:widowControl w:val="0"/>
        <w:jc w:val="both"/>
        <w:rPr>
          <w:rFonts w:ascii="Simplified Arabic" w:hAnsi="Simplified Arabic"/>
          <w:rtl/>
        </w:rPr>
      </w:pPr>
      <w:r w:rsidRPr="001604F6">
        <w:rPr>
          <w:rFonts w:ascii="Simplified Arabic" w:hAnsi="Simplified Arabic"/>
          <w:rtl/>
        </w:rPr>
        <w:t xml:space="preserve">بلغ معدل البطالة  بين النساء المشاركات في القوى العاملة </w:t>
      </w:r>
      <w:proofErr w:type="spellStart"/>
      <w:r w:rsidRPr="001604F6">
        <w:rPr>
          <w:rFonts w:ascii="Simplified Arabic" w:hAnsi="Simplified Arabic"/>
          <w:rtl/>
        </w:rPr>
        <w:t>44.7%</w:t>
      </w:r>
      <w:proofErr w:type="spellEnd"/>
      <w:r w:rsidRPr="001604F6">
        <w:rPr>
          <w:rFonts w:ascii="Simplified Arabic" w:hAnsi="Simplified Arabic"/>
          <w:rtl/>
        </w:rPr>
        <w:t xml:space="preserve"> في العام 2016 مقابل </w:t>
      </w:r>
      <w:proofErr w:type="spellStart"/>
      <w:r w:rsidRPr="001604F6">
        <w:rPr>
          <w:rFonts w:ascii="Simplified Arabic" w:hAnsi="Simplified Arabic"/>
          <w:rtl/>
        </w:rPr>
        <w:t>22.2%</w:t>
      </w:r>
      <w:proofErr w:type="spellEnd"/>
      <w:r w:rsidRPr="001604F6">
        <w:rPr>
          <w:rFonts w:ascii="Simplified Arabic" w:hAnsi="Simplified Arabic"/>
          <w:rtl/>
        </w:rPr>
        <w:t xml:space="preserve"> بين </w:t>
      </w:r>
      <w:proofErr w:type="spellStart"/>
      <w:r w:rsidRPr="001604F6">
        <w:rPr>
          <w:rFonts w:ascii="Simplified Arabic" w:hAnsi="Simplified Arabic"/>
          <w:rtl/>
        </w:rPr>
        <w:t>الرجال،</w:t>
      </w:r>
      <w:proofErr w:type="spellEnd"/>
      <w:r w:rsidRPr="001604F6">
        <w:rPr>
          <w:rFonts w:ascii="Simplified Arabic" w:hAnsi="Simplified Arabic"/>
          <w:rtl/>
        </w:rPr>
        <w:t xml:space="preserve"> وتصل معدلات البطالة بين النساء الحاصلات على 13 سنة دراسية فأكثر إلى </w:t>
      </w:r>
      <w:proofErr w:type="spellStart"/>
      <w:r w:rsidRPr="001604F6">
        <w:rPr>
          <w:rFonts w:ascii="Simplified Arabic" w:hAnsi="Simplified Arabic"/>
          <w:rtl/>
        </w:rPr>
        <w:t>50.6%</w:t>
      </w:r>
      <w:proofErr w:type="spellEnd"/>
      <w:r w:rsidRPr="001604F6">
        <w:rPr>
          <w:rFonts w:ascii="Simplified Arabic" w:hAnsi="Simplified Arabic"/>
          <w:rtl/>
        </w:rPr>
        <w:t xml:space="preserve"> من مجموع هذه الفئة من النساء.</w:t>
      </w:r>
    </w:p>
    <w:p w:rsidR="001604F6" w:rsidRPr="001604F6" w:rsidRDefault="001604F6" w:rsidP="001604F6">
      <w:pPr>
        <w:pStyle w:val="BodyText"/>
        <w:widowControl w:val="0"/>
        <w:tabs>
          <w:tab w:val="left" w:pos="3746"/>
        </w:tabs>
        <w:jc w:val="both"/>
        <w:rPr>
          <w:rFonts w:ascii="Simplified Arabic" w:hAnsi="Simplified Arabic"/>
          <w:sz w:val="16"/>
          <w:szCs w:val="16"/>
          <w:rtl/>
        </w:rPr>
      </w:pPr>
      <w:r>
        <w:rPr>
          <w:rFonts w:ascii="Simplified Arabic" w:hAnsi="Simplified Arabic"/>
          <w:rtl/>
        </w:rPr>
        <w:tab/>
      </w:r>
    </w:p>
    <w:p w:rsidR="001604F6" w:rsidRDefault="001604F6" w:rsidP="001604F6">
      <w:pPr>
        <w:pStyle w:val="BodyText"/>
        <w:widowControl w:val="0"/>
        <w:jc w:val="center"/>
        <w:rPr>
          <w:rFonts w:ascii="Simplified Arabic" w:hAnsi="Simplified Arabic"/>
          <w:b/>
          <w:bCs/>
          <w:sz w:val="25"/>
          <w:szCs w:val="25"/>
          <w:rtl/>
        </w:rPr>
      </w:pPr>
      <w:r w:rsidRPr="001604F6">
        <w:rPr>
          <w:rFonts w:ascii="Simplified Arabic" w:hAnsi="Simplified Arabic"/>
          <w:sz w:val="25"/>
          <w:szCs w:val="25"/>
          <w:rtl/>
        </w:rPr>
        <w:t xml:space="preserve">  </w:t>
      </w:r>
      <w:r w:rsidRPr="001604F6">
        <w:rPr>
          <w:rFonts w:ascii="Simplified Arabic" w:hAnsi="Simplified Arabic"/>
          <w:b/>
          <w:bCs/>
          <w:sz w:val="25"/>
          <w:szCs w:val="25"/>
          <w:rtl/>
        </w:rPr>
        <w:t xml:space="preserve">معدل البطالة بين النساء والرجال المشاركين في القوى العاملة 15 سنة </w:t>
      </w:r>
      <w:proofErr w:type="spellStart"/>
      <w:r w:rsidRPr="001604F6">
        <w:rPr>
          <w:rFonts w:ascii="Simplified Arabic" w:hAnsi="Simplified Arabic"/>
          <w:b/>
          <w:bCs/>
          <w:sz w:val="25"/>
          <w:szCs w:val="25"/>
          <w:rtl/>
        </w:rPr>
        <w:t>فأكثر،</w:t>
      </w:r>
      <w:proofErr w:type="spellEnd"/>
      <w:r w:rsidRPr="001604F6">
        <w:rPr>
          <w:rFonts w:ascii="Simplified Arabic" w:hAnsi="Simplified Arabic"/>
          <w:b/>
          <w:bCs/>
          <w:sz w:val="25"/>
          <w:szCs w:val="25"/>
          <w:rtl/>
        </w:rPr>
        <w:t xml:space="preserve"> </w:t>
      </w:r>
      <w:proofErr w:type="spellStart"/>
      <w:r w:rsidRPr="001604F6">
        <w:rPr>
          <w:rFonts w:ascii="Simplified Arabic" w:hAnsi="Simplified Arabic"/>
          <w:b/>
          <w:bCs/>
          <w:sz w:val="25"/>
          <w:szCs w:val="25"/>
          <w:rtl/>
        </w:rPr>
        <w:t>2001-</w:t>
      </w:r>
      <w:proofErr w:type="spellEnd"/>
      <w:r w:rsidRPr="001604F6">
        <w:rPr>
          <w:rFonts w:ascii="Simplified Arabic" w:hAnsi="Simplified Arabic"/>
          <w:b/>
          <w:bCs/>
          <w:sz w:val="25"/>
          <w:szCs w:val="25"/>
        </w:rPr>
        <w:t xml:space="preserve"> </w:t>
      </w:r>
      <w:r w:rsidRPr="001604F6">
        <w:rPr>
          <w:rFonts w:ascii="Simplified Arabic" w:hAnsi="Simplified Arabic"/>
          <w:b/>
          <w:bCs/>
          <w:sz w:val="25"/>
          <w:szCs w:val="25"/>
          <w:rtl/>
        </w:rPr>
        <w:t>2016</w:t>
      </w:r>
    </w:p>
    <w:p w:rsidR="001604F6" w:rsidRPr="001604F6" w:rsidRDefault="001604F6" w:rsidP="001604F6">
      <w:pPr>
        <w:pStyle w:val="BodyText"/>
        <w:widowControl w:val="0"/>
        <w:jc w:val="center"/>
        <w:rPr>
          <w:rFonts w:ascii="Simplified Arabic" w:hAnsi="Simplified Arabic"/>
          <w:b/>
          <w:bCs/>
          <w:sz w:val="8"/>
          <w:szCs w:val="8"/>
          <w:rtl/>
        </w:rPr>
      </w:pPr>
    </w:p>
    <w:p w:rsidR="001604F6" w:rsidRPr="001604F6" w:rsidRDefault="001604F6" w:rsidP="001604F6">
      <w:pPr>
        <w:jc w:val="center"/>
        <w:rPr>
          <w:rFonts w:ascii="Simplified Arabic" w:hAnsi="Simplified Arabic" w:cs="Simplified Arabic"/>
          <w:sz w:val="24"/>
          <w:szCs w:val="24"/>
          <w:rtl/>
          <w:lang w:eastAsia="ar-SA"/>
        </w:rPr>
      </w:pPr>
      <w:r w:rsidRPr="001604F6">
        <w:rPr>
          <w:rFonts w:ascii="Simplified Arabic" w:eastAsia="Times New Roman" w:hAnsi="Simplified Arabic" w:cs="Simplified Arabic"/>
          <w:b/>
          <w:bCs/>
          <w:noProof/>
          <w:sz w:val="24"/>
          <w:szCs w:val="24"/>
          <w:bdr w:val="single" w:sz="8" w:space="0" w:color="000000"/>
        </w:rPr>
        <w:drawing>
          <wp:inline distT="0" distB="0" distL="0" distR="0">
            <wp:extent cx="3019425" cy="1828800"/>
            <wp:effectExtent l="0" t="0" r="0" b="0"/>
            <wp:docPr id="10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04F6" w:rsidRPr="001604F6" w:rsidRDefault="001604F6" w:rsidP="001604F6">
      <w:pPr>
        <w:tabs>
          <w:tab w:val="left" w:pos="70"/>
          <w:tab w:val="left" w:pos="6330"/>
        </w:tabs>
        <w:ind w:left="7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604F6" w:rsidRPr="001604F6" w:rsidRDefault="001604F6" w:rsidP="001604F6">
      <w:pPr>
        <w:tabs>
          <w:tab w:val="left" w:pos="70"/>
          <w:tab w:val="left" w:pos="6330"/>
        </w:tabs>
        <w:ind w:left="70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>فجوة لدى الاناث مقارنة بالذكور الذين ينتقلون من التعليم الى سوق العمل</w:t>
      </w:r>
      <w:r w:rsidRPr="001604F6">
        <w:rPr>
          <w:rStyle w:val="FootnoteReference"/>
          <w:rFonts w:ascii="Simplified Arabic" w:hAnsi="Simplified Arabic" w:cs="Simplified Arabic"/>
          <w:b/>
          <w:bCs/>
          <w:sz w:val="25"/>
          <w:szCs w:val="25"/>
          <w:rtl/>
        </w:rPr>
        <w:footnoteReference w:id="1"/>
      </w:r>
    </w:p>
    <w:p w:rsidR="003C080D" w:rsidRDefault="001604F6" w:rsidP="003C080D">
      <w:pPr>
        <w:widowControl w:val="0"/>
        <w:ind w:left="70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1604F6">
        <w:rPr>
          <w:rFonts w:ascii="Simplified Arabic" w:hAnsi="Simplified Arabic" w:cs="Simplified Arabic"/>
          <w:sz w:val="24"/>
          <w:szCs w:val="24"/>
          <w:rtl/>
        </w:rPr>
        <w:t>تشير البيانات أن نسبة الاناث (15-29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سنة اللواتي انتقلن من التعليم الى سوق العمل قد بلغت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6.6%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44.8%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ذكور،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كما بلغت نسبة الاناث الذين لم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يبدأو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مرحلة الانتقال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58.5%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25.0%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للذكور,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أما نسبة النساء اللواتي مروا بمرحلة الانتقال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34.9%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30.2%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الذكور خلال عام 2015.</w:t>
      </w:r>
    </w:p>
    <w:p w:rsidR="003C080D" w:rsidRPr="003C080D" w:rsidRDefault="003C080D" w:rsidP="003C080D">
      <w:pPr>
        <w:widowControl w:val="0"/>
        <w:tabs>
          <w:tab w:val="left" w:pos="3011"/>
        </w:tabs>
        <w:ind w:left="70"/>
        <w:jc w:val="both"/>
        <w:rPr>
          <w:rFonts w:ascii="Simplified Arabic" w:hAnsi="Simplified Arabic" w:cs="Simplified Arabic" w:hint="cs"/>
          <w:sz w:val="8"/>
          <w:szCs w:val="8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p w:rsidR="001604F6" w:rsidRPr="003C080D" w:rsidRDefault="001604F6" w:rsidP="003C080D">
      <w:pPr>
        <w:widowControl w:val="0"/>
        <w:tabs>
          <w:tab w:val="left" w:pos="3056"/>
        </w:tabs>
        <w:ind w:left="70"/>
        <w:jc w:val="center"/>
        <w:rPr>
          <w:rFonts w:ascii="Simplified Arabic" w:hAnsi="Simplified Arabic" w:cs="Simplified Arabic"/>
          <w:sz w:val="16"/>
          <w:szCs w:val="16"/>
          <w:rtl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  <w:t>التوزيع النسبي للأفراد (15-29</w:t>
      </w:r>
      <w:proofErr w:type="spellStart"/>
      <w:r w:rsidRPr="001604F6"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  <w:t>)</w:t>
      </w:r>
      <w:proofErr w:type="spellEnd"/>
      <w:r w:rsidRPr="001604F6"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  <w:t xml:space="preserve"> سنة حسب حالة الانتقال من التعليم لسوق العمل وحسب </w:t>
      </w:r>
      <w:proofErr w:type="spellStart"/>
      <w:r w:rsidRPr="001604F6"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  <w:t>الجنس،</w:t>
      </w:r>
      <w:proofErr w:type="spellEnd"/>
      <w:r w:rsidRPr="001604F6"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  <w:t xml:space="preserve"> 2015</w:t>
      </w:r>
    </w:p>
    <w:p w:rsidR="001604F6" w:rsidRDefault="001604F6" w:rsidP="001604F6">
      <w:pPr>
        <w:tabs>
          <w:tab w:val="left" w:pos="9071"/>
        </w:tabs>
        <w:ind w:left="-1"/>
        <w:jc w:val="center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604F6">
        <w:rPr>
          <w:rFonts w:ascii="Simplified Arabic" w:hAnsi="Simplified Arabic" w:cs="Simplified Arabic"/>
          <w:noProof/>
          <w:sz w:val="24"/>
          <w:szCs w:val="24"/>
          <w:bdr w:val="single" w:sz="8" w:space="0" w:color="000000"/>
          <w:rtl/>
        </w:rPr>
        <w:drawing>
          <wp:inline distT="0" distB="0" distL="0" distR="0">
            <wp:extent cx="3105150" cy="1800225"/>
            <wp:effectExtent l="0" t="0" r="0" b="0"/>
            <wp:docPr id="11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C080D" w:rsidRDefault="003C080D" w:rsidP="00E476D7">
      <w:pPr>
        <w:ind w:right="142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1604F6" w:rsidRPr="001604F6" w:rsidRDefault="001604F6" w:rsidP="00E476D7">
      <w:pPr>
        <w:ind w:right="142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604F6">
        <w:rPr>
          <w:rFonts w:ascii="Simplified Arabic" w:hAnsi="Simplified Arabic" w:cs="Simplified Arabic"/>
          <w:b/>
          <w:bCs/>
          <w:sz w:val="25"/>
          <w:szCs w:val="25"/>
          <w:rtl/>
        </w:rPr>
        <w:t>النساء الفلسطينيات في الحياة العامة</w:t>
      </w:r>
    </w:p>
    <w:p w:rsidR="001604F6" w:rsidRPr="001604F6" w:rsidRDefault="001604F6" w:rsidP="001604F6">
      <w:pPr>
        <w:ind w:left="70" w:right="142"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82.8%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القضاة هم ذكور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17.2%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اناث،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و77.5%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المحامين المزاولين للمهنة هم ذكور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22.5%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إناث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و83.3%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أعضاء النيابة العامة هم من الرجال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16.7%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النساء خلال عام 2015.  كما لم تزد نسبة السفيرات الفلسطينيات عن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5.8%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مقارنة مع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94.2%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للسفراء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و21.1%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المهندسين المسجلين في نقابة المهندسين هن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نساء،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مقارنة بما نسبته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78.9%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الرجال،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وحوالي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23.2%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أعضاء مجلس الطلبة في جامعات الضفة الغربية هم من الاناث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76.8%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الذكور. </w:t>
      </w:r>
    </w:p>
    <w:p w:rsidR="001604F6" w:rsidRPr="001604F6" w:rsidRDefault="001604F6" w:rsidP="001604F6">
      <w:pPr>
        <w:ind w:left="70" w:right="14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476D7" w:rsidRDefault="001604F6" w:rsidP="003C080D">
      <w:pPr>
        <w:ind w:left="70" w:right="142"/>
        <w:rPr>
          <w:rFonts w:ascii="Simplified Arabic" w:hAnsi="Simplified Arabic" w:cs="Simplified Arabic"/>
          <w:sz w:val="24"/>
          <w:szCs w:val="24"/>
        </w:rPr>
      </w:pPr>
      <w:r w:rsidRPr="001604F6">
        <w:rPr>
          <w:rFonts w:ascii="Simplified Arabic" w:hAnsi="Simplified Arabic" w:cs="Simplified Arabic"/>
          <w:sz w:val="24"/>
          <w:szCs w:val="24"/>
        </w:rPr>
        <w:t>42.6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الموظفين في القطاع العام المدني إناث مقابل </w:t>
      </w:r>
      <w:r w:rsidRPr="001604F6">
        <w:rPr>
          <w:rFonts w:ascii="Simplified Arabic" w:hAnsi="Simplified Arabic" w:cs="Simplified Arabic"/>
          <w:sz w:val="24"/>
          <w:szCs w:val="24"/>
        </w:rPr>
        <w:t>57.4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ذكور،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حيث تشكل الاناث (في القطاع المدني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حوالي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11.7%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درجة مدير عام</w:t>
      </w:r>
      <w:r w:rsidRPr="001604F6">
        <w:rPr>
          <w:rFonts w:ascii="Simplified Arabic" w:hAnsi="Simplified Arabic" w:cs="Simplified Arabic"/>
          <w:sz w:val="24"/>
          <w:szCs w:val="24"/>
        </w:rPr>
        <w:t xml:space="preserve"> </w:t>
      </w:r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فأعلى من مجموع  المدراء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العاميين،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Pr="001604F6">
        <w:rPr>
          <w:rFonts w:ascii="Simplified Arabic" w:hAnsi="Simplified Arabic" w:cs="Simplified Arabic"/>
          <w:sz w:val="24"/>
          <w:szCs w:val="24"/>
          <w:rtl/>
        </w:rPr>
        <w:t>88.3%</w:t>
      </w:r>
      <w:proofErr w:type="spellEnd"/>
      <w:r w:rsidRPr="001604F6">
        <w:rPr>
          <w:rFonts w:ascii="Simplified Arabic" w:hAnsi="Simplified Arabic" w:cs="Simplified Arabic"/>
          <w:sz w:val="24"/>
          <w:szCs w:val="24"/>
          <w:rtl/>
        </w:rPr>
        <w:t xml:space="preserve"> من الذكور لنفس الدرجة.</w:t>
      </w:r>
    </w:p>
    <w:sectPr w:rsidR="00E476D7" w:rsidSect="00E476D7"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7D" w:rsidRDefault="0028527D" w:rsidP="001604F6">
      <w:r>
        <w:separator/>
      </w:r>
    </w:p>
  </w:endnote>
  <w:endnote w:type="continuationSeparator" w:id="0">
    <w:p w:rsidR="0028527D" w:rsidRDefault="0028527D" w:rsidP="0016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4055684"/>
      <w:docPartObj>
        <w:docPartGallery w:val="Page Numbers (Bottom of Page)"/>
        <w:docPartUnique/>
      </w:docPartObj>
    </w:sdtPr>
    <w:sdtContent>
      <w:p w:rsidR="00E476D7" w:rsidRDefault="00F75E71">
        <w:pPr>
          <w:pStyle w:val="Footer"/>
          <w:jc w:val="center"/>
        </w:pPr>
        <w:fldSimple w:instr=" PAGE   \* MERGEFORMAT ">
          <w:r w:rsidR="003C080D">
            <w:rPr>
              <w:noProof/>
              <w:rtl/>
            </w:rPr>
            <w:t>4</w:t>
          </w:r>
        </w:fldSimple>
      </w:p>
    </w:sdtContent>
  </w:sdt>
  <w:p w:rsidR="00E476D7" w:rsidRDefault="00E476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7D" w:rsidRDefault="0028527D" w:rsidP="001604F6">
      <w:r>
        <w:separator/>
      </w:r>
    </w:p>
  </w:footnote>
  <w:footnote w:type="continuationSeparator" w:id="0">
    <w:p w:rsidR="0028527D" w:rsidRDefault="0028527D" w:rsidP="001604F6">
      <w:r>
        <w:continuationSeparator/>
      </w:r>
    </w:p>
  </w:footnote>
  <w:footnote w:id="1">
    <w:p w:rsidR="001604F6" w:rsidRPr="001604F6" w:rsidRDefault="001604F6" w:rsidP="001604F6">
      <w:pPr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>الانتقال من التعليم الى سوق العمل:</w:t>
      </w:r>
    </w:p>
    <w:p w:rsidR="001604F6" w:rsidRPr="001604F6" w:rsidRDefault="001604F6" w:rsidP="001604F6">
      <w:pPr>
        <w:jc w:val="lowKashida"/>
        <w:rPr>
          <w:rFonts w:asciiTheme="majorBidi" w:hAnsiTheme="majorBidi" w:cstheme="majorBidi"/>
          <w:sz w:val="20"/>
          <w:szCs w:val="20"/>
        </w:rPr>
      </w:pPr>
      <w:r w:rsidRPr="001604F6">
        <w:rPr>
          <w:rFonts w:asciiTheme="majorBidi" w:hAnsiTheme="majorBidi" w:cstheme="majorBidi"/>
          <w:sz w:val="20"/>
          <w:szCs w:val="20"/>
          <w:rtl/>
        </w:rPr>
        <w:t>هي المرحلة الانتقالية للشباب (15-29</w:t>
      </w:r>
      <w:proofErr w:type="spellStart"/>
      <w:r w:rsidRPr="001604F6">
        <w:rPr>
          <w:rFonts w:asciiTheme="majorBidi" w:hAnsiTheme="majorBidi" w:cstheme="majorBidi"/>
          <w:sz w:val="20"/>
          <w:szCs w:val="20"/>
          <w:rtl/>
        </w:rPr>
        <w:t>)</w:t>
      </w:r>
      <w:proofErr w:type="spellEnd"/>
      <w:r w:rsidRPr="001604F6">
        <w:rPr>
          <w:rFonts w:asciiTheme="majorBidi" w:hAnsiTheme="majorBidi" w:cstheme="majorBidi"/>
          <w:sz w:val="20"/>
          <w:szCs w:val="20"/>
          <w:rtl/>
        </w:rPr>
        <w:t xml:space="preserve"> سنة من اخر مرحلة تعليمية الى أول وظيفة مرضية ومستقرة </w:t>
      </w:r>
      <w:proofErr w:type="spellStart"/>
      <w:r w:rsidRPr="001604F6">
        <w:rPr>
          <w:rFonts w:asciiTheme="majorBidi" w:hAnsiTheme="majorBidi" w:cstheme="majorBidi"/>
          <w:sz w:val="20"/>
          <w:szCs w:val="20"/>
          <w:rtl/>
        </w:rPr>
        <w:t>(</w:t>
      </w:r>
      <w:proofErr w:type="spellEnd"/>
      <w:r w:rsidRPr="001604F6">
        <w:rPr>
          <w:rFonts w:asciiTheme="majorBidi" w:hAnsiTheme="majorBidi" w:cstheme="majorBidi"/>
          <w:sz w:val="20"/>
          <w:szCs w:val="20"/>
          <w:rtl/>
        </w:rPr>
        <w:t xml:space="preserve"> من حيث عقد العمل ومدة العقد</w:t>
      </w:r>
      <w:proofErr w:type="spellStart"/>
      <w:r w:rsidRPr="001604F6">
        <w:rPr>
          <w:rFonts w:asciiTheme="majorBidi" w:hAnsiTheme="majorBidi" w:cstheme="majorBidi"/>
          <w:sz w:val="20"/>
          <w:szCs w:val="20"/>
          <w:rtl/>
        </w:rPr>
        <w:t>).</w:t>
      </w:r>
      <w:proofErr w:type="spellEnd"/>
      <w:r w:rsidRPr="001604F6">
        <w:rPr>
          <w:rFonts w:asciiTheme="majorBidi" w:hAnsiTheme="majorBidi" w:cstheme="majorBidi"/>
          <w:sz w:val="20"/>
          <w:szCs w:val="20"/>
          <w:rtl/>
        </w:rPr>
        <w:t xml:space="preserve"> وتصنف مراحل التحول كتالي:</w:t>
      </w:r>
    </w:p>
    <w:p w:rsidR="001604F6" w:rsidRPr="001604F6" w:rsidRDefault="001604F6" w:rsidP="001604F6">
      <w:pPr>
        <w:pStyle w:val="ListParagraph"/>
        <w:numPr>
          <w:ilvl w:val="0"/>
          <w:numId w:val="1"/>
        </w:numPr>
        <w:ind w:left="212" w:hanging="212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لم تبدأ فترة </w:t>
      </w:r>
      <w:proofErr w:type="spellStart"/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>الانتقال:</w:t>
      </w:r>
      <w:proofErr w:type="spellEnd"/>
      <w:r w:rsidRPr="001604F6">
        <w:rPr>
          <w:rFonts w:asciiTheme="majorBidi" w:hAnsiTheme="majorBidi" w:cstheme="majorBidi"/>
          <w:sz w:val="20"/>
          <w:szCs w:val="20"/>
          <w:rtl/>
        </w:rPr>
        <w:t xml:space="preserve"> تشمل الشباب غير النشيطين حالياً وليسو في التعليم مع عدم وجود رغبة لديهم للعمل.</w:t>
      </w:r>
    </w:p>
    <w:p w:rsidR="001604F6" w:rsidRPr="001604F6" w:rsidRDefault="001604F6" w:rsidP="001604F6">
      <w:pPr>
        <w:pStyle w:val="ListParagraph"/>
        <w:numPr>
          <w:ilvl w:val="0"/>
          <w:numId w:val="1"/>
        </w:numPr>
        <w:ind w:left="212" w:hanging="212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يمر بالمرحلة </w:t>
      </w:r>
      <w:proofErr w:type="spellStart"/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>الانتقالية:</w:t>
      </w:r>
      <w:proofErr w:type="spellEnd"/>
      <w:r w:rsidRPr="001604F6">
        <w:rPr>
          <w:rFonts w:asciiTheme="majorBidi" w:hAnsiTheme="majorBidi" w:cstheme="majorBidi"/>
          <w:sz w:val="20"/>
          <w:szCs w:val="20"/>
          <w:rtl/>
        </w:rPr>
        <w:t xml:space="preserve"> تشمل الشباب الذين لا يعملون </w:t>
      </w:r>
      <w:proofErr w:type="spellStart"/>
      <w:r w:rsidRPr="001604F6">
        <w:rPr>
          <w:rFonts w:asciiTheme="majorBidi" w:hAnsiTheme="majorBidi" w:cstheme="majorBidi"/>
          <w:sz w:val="20"/>
          <w:szCs w:val="20"/>
          <w:rtl/>
        </w:rPr>
        <w:t>حالياً،</w:t>
      </w:r>
      <w:proofErr w:type="spellEnd"/>
      <w:r w:rsidRPr="001604F6">
        <w:rPr>
          <w:rFonts w:asciiTheme="majorBidi" w:hAnsiTheme="majorBidi" w:cstheme="majorBidi"/>
          <w:sz w:val="20"/>
          <w:szCs w:val="20"/>
          <w:rtl/>
        </w:rPr>
        <w:t xml:space="preserve"> أو يعملوا في وظائف مؤقتة وغير مرضية.</w:t>
      </w:r>
    </w:p>
    <w:p w:rsidR="001604F6" w:rsidRPr="001604F6" w:rsidRDefault="001604F6" w:rsidP="001604F6">
      <w:pPr>
        <w:pStyle w:val="ListParagraph"/>
        <w:numPr>
          <w:ilvl w:val="0"/>
          <w:numId w:val="1"/>
        </w:numPr>
        <w:ind w:left="212" w:hanging="212"/>
        <w:contextualSpacing w:val="0"/>
        <w:jc w:val="both"/>
        <w:rPr>
          <w:rFonts w:asciiTheme="majorBidi" w:hAnsiTheme="majorBidi" w:cstheme="majorBidi"/>
          <w:sz w:val="20"/>
          <w:szCs w:val="20"/>
          <w:rtl/>
        </w:rPr>
      </w:pPr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اكملوا </w:t>
      </w:r>
      <w:proofErr w:type="spellStart"/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>الانتقال:</w:t>
      </w:r>
      <w:proofErr w:type="spellEnd"/>
      <w:r w:rsidRPr="001604F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1604F6">
        <w:rPr>
          <w:rFonts w:asciiTheme="majorBidi" w:hAnsiTheme="majorBidi" w:cstheme="majorBidi"/>
          <w:sz w:val="20"/>
          <w:szCs w:val="20"/>
          <w:rtl/>
        </w:rPr>
        <w:t>تشمل الشباب العاملين حالياً في وظائف ثابتة أو مستقرة.</w:t>
      </w:r>
    </w:p>
    <w:p w:rsidR="001604F6" w:rsidRDefault="001604F6" w:rsidP="001604F6">
      <w:pPr>
        <w:rPr>
          <w:sz w:val="24"/>
          <w:szCs w:val="24"/>
          <w:rtl/>
        </w:rPr>
      </w:pPr>
    </w:p>
    <w:p w:rsidR="001604F6" w:rsidRDefault="001604F6" w:rsidP="001604F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04F6"/>
    <w:rsid w:val="001604F6"/>
    <w:rsid w:val="0028527D"/>
    <w:rsid w:val="003C080D"/>
    <w:rsid w:val="00897B93"/>
    <w:rsid w:val="00AA5F7F"/>
    <w:rsid w:val="00BD1620"/>
    <w:rsid w:val="00E476D7"/>
    <w:rsid w:val="00F7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F6"/>
    <w:pPr>
      <w:bidi/>
      <w:spacing w:after="0" w:line="240" w:lineRule="auto"/>
    </w:pPr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604F6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604F6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4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nhideWhenUsed/>
    <w:rsid w:val="001604F6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604F6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1604F6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1604F6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604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60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F6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4F6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4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809228814051925"/>
          <c:y val="3.9932573083537051E-2"/>
          <c:w val="0.81395641065021063"/>
          <c:h val="0.60450697910589668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695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3.6246986354583496E-2"/>
                  <c:y val="7.570413612091742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layout>
                <c:manualLayout>
                  <c:x val="-1.6782198412881796E-2"/>
                  <c:y val="-2.7974487060085249E-2"/>
                </c:manualLayout>
              </c:layout>
              <c:dLblPos val="r"/>
              <c:showVal val="1"/>
            </c:dLbl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95.3</c:v>
                </c:pt>
                <c:pt idx="1">
                  <c:v>95.7</c:v>
                </c:pt>
                <c:pt idx="2">
                  <c:v>96.3</c:v>
                </c:pt>
                <c:pt idx="3">
                  <c:v>96.5</c:v>
                </c:pt>
                <c:pt idx="4">
                  <c:v>96.9</c:v>
                </c:pt>
                <c:pt idx="5">
                  <c:v>97.1</c:v>
                </c:pt>
                <c:pt idx="6">
                  <c:v>97.2</c:v>
                </c:pt>
                <c:pt idx="7">
                  <c:v>97.1</c:v>
                </c:pt>
                <c:pt idx="8">
                  <c:v>97.4</c:v>
                </c:pt>
                <c:pt idx="9">
                  <c:v>97.6</c:v>
                </c:pt>
                <c:pt idx="10">
                  <c:v>97.9</c:v>
                </c:pt>
                <c:pt idx="11">
                  <c:v>98.2</c:v>
                </c:pt>
                <c:pt idx="12">
                  <c:v>98.4</c:v>
                </c:pt>
                <c:pt idx="13">
                  <c:v>98.4</c:v>
                </c:pt>
                <c:pt idx="14">
                  <c:v>98.5</c:v>
                </c:pt>
                <c:pt idx="15">
                  <c:v>98.6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695"/>
          </c:spPr>
          <c:marker>
            <c:symbol val="square"/>
            <c:size val="4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layout>
                <c:manualLayout>
                  <c:x val="-2.0692266839079255E-2"/>
                  <c:y val="5.8047018316258851E-2"/>
                </c:manualLayout>
              </c:layout>
              <c:dLblPos val="r"/>
              <c:showVal val="1"/>
            </c:dLbl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Sheet1!$C$2:$C$17</c:f>
              <c:numCache>
                <c:formatCode>General</c:formatCode>
                <c:ptCount val="16"/>
                <c:pt idx="0">
                  <c:v>84.7</c:v>
                </c:pt>
                <c:pt idx="1">
                  <c:v>86.4</c:v>
                </c:pt>
                <c:pt idx="2">
                  <c:v>87.4</c:v>
                </c:pt>
                <c:pt idx="3" formatCode="0.0">
                  <c:v>88</c:v>
                </c:pt>
                <c:pt idx="4">
                  <c:v>88.9</c:v>
                </c:pt>
                <c:pt idx="5">
                  <c:v>89.8</c:v>
                </c:pt>
                <c:pt idx="6">
                  <c:v>90.5</c:v>
                </c:pt>
                <c:pt idx="7">
                  <c:v>90.9</c:v>
                </c:pt>
                <c:pt idx="8">
                  <c:v>91.7</c:v>
                </c:pt>
                <c:pt idx="9">
                  <c:v>92.2</c:v>
                </c:pt>
                <c:pt idx="10">
                  <c:v>92.6</c:v>
                </c:pt>
                <c:pt idx="11">
                  <c:v>93.6</c:v>
                </c:pt>
                <c:pt idx="12">
                  <c:v>94.1</c:v>
                </c:pt>
                <c:pt idx="13">
                  <c:v>94.4</c:v>
                </c:pt>
                <c:pt idx="14">
                  <c:v>94.9</c:v>
                </c:pt>
                <c:pt idx="15">
                  <c:v>95.2</c:v>
                </c:pt>
              </c:numCache>
            </c:numRef>
          </c:val>
        </c:ser>
        <c:marker val="1"/>
        <c:axId val="50039808"/>
        <c:axId val="50379392"/>
      </c:lineChart>
      <c:catAx>
        <c:axId val="50039808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48673565351158671"/>
              <c:y val="0.89405273204485947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379392"/>
        <c:crosses val="autoZero"/>
        <c:auto val="1"/>
        <c:lblAlgn val="ctr"/>
        <c:lblOffset val="100"/>
      </c:catAx>
      <c:valAx>
        <c:axId val="50379392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المعدل</a:t>
                </a:r>
              </a:p>
            </c:rich>
          </c:tx>
          <c:layout>
            <c:manualLayout>
              <c:xMode val="edge"/>
              <c:yMode val="edge"/>
              <c:x val="1.7111886561059882E-2"/>
              <c:y val="0.2928544357057679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039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8260817850937"/>
          <c:y val="0.41382009067048703"/>
          <c:w val="0.45850243039861732"/>
          <c:h val="0.13371748985922455"/>
        </c:manualLayout>
      </c:layout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9.5137205065633598E-2"/>
          <c:y val="4.4404758795413585E-2"/>
          <c:w val="0.88114207817543444"/>
          <c:h val="0.65162461530896465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ذكور </c:v>
                </c:pt>
              </c:strCache>
            </c:strRef>
          </c:tx>
          <c:dLbls>
            <c:dLbl>
              <c:idx val="0"/>
              <c:layout>
                <c:manualLayout>
                  <c:x val="-4.9395809114831934E-2"/>
                  <c:y val="-6.6149894535546913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4.9892529295905166E-2"/>
                  <c:y val="-7.171582807855495E-2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2009/2010</c:v>
                </c:pt>
                <c:pt idx="1">
                  <c:v>2010/2011</c:v>
                </c:pt>
                <c:pt idx="2">
                  <c:v>2011/2012</c:v>
                </c:pt>
                <c:pt idx="3">
                  <c:v>2012/2013</c:v>
                </c:pt>
                <c:pt idx="4">
                  <c:v>2013/2014</c:v>
                </c:pt>
                <c:pt idx="5">
                  <c:v>2014/2015</c:v>
                </c:pt>
                <c:pt idx="6">
                  <c:v>2015/2016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72.900000000000006</c:v>
                </c:pt>
                <c:pt idx="1">
                  <c:v>68.3</c:v>
                </c:pt>
                <c:pt idx="2">
                  <c:v>67.900000000000006</c:v>
                </c:pt>
                <c:pt idx="3">
                  <c:v>64.900000000000006</c:v>
                </c:pt>
                <c:pt idx="4">
                  <c:v>61.2</c:v>
                </c:pt>
                <c:pt idx="5">
                  <c:v>60.1</c:v>
                </c:pt>
                <c:pt idx="6">
                  <c:v>58.7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إناث </c:v>
                </c:pt>
              </c:strCache>
            </c:strRef>
          </c:tx>
          <c:spPr>
            <a:ln>
              <a:prstDash val="lgDash"/>
            </a:ln>
          </c:spPr>
          <c:marker>
            <c:spPr>
              <a:ln>
                <a:prstDash val="lgDash"/>
              </a:ln>
            </c:spPr>
          </c:marker>
          <c:dLbls>
            <c:dLbl>
              <c:idx val="0"/>
              <c:layout>
                <c:manualLayout>
                  <c:x val="-5.8427322020273363E-2"/>
                  <c:y val="-6.112622313312432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3.722958471912835E-2"/>
                  <c:y val="-7.0272746790140117E-2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2009/2010</c:v>
                </c:pt>
                <c:pt idx="1">
                  <c:v>2010/2011</c:v>
                </c:pt>
                <c:pt idx="2">
                  <c:v>2011/2012</c:v>
                </c:pt>
                <c:pt idx="3">
                  <c:v>2012/2013</c:v>
                </c:pt>
                <c:pt idx="4">
                  <c:v>2013/2014</c:v>
                </c:pt>
                <c:pt idx="5">
                  <c:v>2014/2015</c:v>
                </c:pt>
                <c:pt idx="6">
                  <c:v>2015/2016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 formatCode="0.0">
                  <c:v>90</c:v>
                </c:pt>
                <c:pt idx="1">
                  <c:v>87.1</c:v>
                </c:pt>
                <c:pt idx="2">
                  <c:v>84.5</c:v>
                </c:pt>
                <c:pt idx="3">
                  <c:v>82.5</c:v>
                </c:pt>
                <c:pt idx="4">
                  <c:v>80.099999999999994</c:v>
                </c:pt>
                <c:pt idx="5">
                  <c:v>78.7</c:v>
                </c:pt>
                <c:pt idx="6">
                  <c:v>78.599999999999994</c:v>
                </c:pt>
              </c:numCache>
            </c:numRef>
          </c:val>
        </c:ser>
        <c:marker val="1"/>
        <c:axId val="50692864"/>
        <c:axId val="50718208"/>
      </c:lineChart>
      <c:catAx>
        <c:axId val="506928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ar-SA"/>
          </a:p>
        </c:txPr>
        <c:crossAx val="50718208"/>
        <c:crosses val="autoZero"/>
        <c:auto val="1"/>
        <c:lblAlgn val="ctr"/>
        <c:lblOffset val="100"/>
      </c:catAx>
      <c:valAx>
        <c:axId val="50718208"/>
        <c:scaling>
          <c:orientation val="minMax"/>
          <c:max val="100"/>
          <c:min val="50"/>
        </c:scaling>
        <c:axPos val="l"/>
        <c:majorGridlines>
          <c:spPr>
            <a:ln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1"/>
        <c:majorTickMark val="none"/>
        <c:tickLblPos val="nextTo"/>
        <c:crossAx val="50692864"/>
        <c:crosses val="autoZero"/>
        <c:crossBetween val="between"/>
        <c:majorUnit val="10"/>
        <c:minorUnit val="5"/>
      </c:valAx>
      <c:spPr>
        <a:ln>
          <a:solidFill>
            <a:schemeClr val="bg1">
              <a:lumMod val="85000"/>
            </a:schemeClr>
          </a:solidFill>
        </a:ln>
      </c:spPr>
    </c:plotArea>
    <c:legend>
      <c:legendPos val="t"/>
      <c:layout>
        <c:manualLayout>
          <c:xMode val="edge"/>
          <c:yMode val="edge"/>
          <c:x val="0.36757293399419638"/>
          <c:y val="5.7556699593414112E-2"/>
          <c:w val="0.58325322385741307"/>
          <c:h val="9.4587407109881547E-2"/>
        </c:manualLayout>
      </c:layout>
      <c:spPr>
        <a:ln w="6350">
          <a:solidFill>
            <a:sysClr val="window" lastClr="FFFFFF">
              <a:lumMod val="65000"/>
            </a:sysClr>
          </a:solidFill>
        </a:ln>
      </c:sp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ar-S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023419693038121"/>
          <c:y val="3.7930190852840245E-2"/>
          <c:w val="0.80136472284742555"/>
          <c:h val="0.56456976045050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0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5.6587161539821323E-2"/>
                  <c:y val="8.508307502286195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txPr>
              <a:bodyPr rot="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Sheet1!$B$2:$B$17</c:f>
              <c:numCache>
                <c:formatCode>0.0</c:formatCode>
                <c:ptCount val="16"/>
                <c:pt idx="0">
                  <c:v>66.8</c:v>
                </c:pt>
                <c:pt idx="1">
                  <c:v>65.5</c:v>
                </c:pt>
                <c:pt idx="2">
                  <c:v>67.5</c:v>
                </c:pt>
                <c:pt idx="3" formatCode="General">
                  <c:v>66.900000000000006</c:v>
                </c:pt>
                <c:pt idx="4" formatCode="General">
                  <c:v>67.599999999999994</c:v>
                </c:pt>
                <c:pt idx="5" formatCode="General">
                  <c:v>67.7</c:v>
                </c:pt>
                <c:pt idx="6" formatCode="General">
                  <c:v>67.7</c:v>
                </c:pt>
                <c:pt idx="7" formatCode="General">
                  <c:v>66.8</c:v>
                </c:pt>
                <c:pt idx="8" formatCode="General">
                  <c:v>67</c:v>
                </c:pt>
                <c:pt idx="9" formatCode="General">
                  <c:v>66.8</c:v>
                </c:pt>
                <c:pt idx="10" formatCode="General">
                  <c:v>68.7</c:v>
                </c:pt>
                <c:pt idx="11" formatCode="General">
                  <c:v>69.099999999999994</c:v>
                </c:pt>
                <c:pt idx="12" formatCode="General">
                  <c:v>69.3</c:v>
                </c:pt>
                <c:pt idx="13">
                  <c:v>71.5</c:v>
                </c:pt>
                <c:pt idx="14">
                  <c:v>71.900000000000006</c:v>
                </c:pt>
                <c:pt idx="15">
                  <c:v>71.599999999999994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0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3"/>
          </c:marker>
          <c:dLbls>
            <c:dLbl>
              <c:idx val="0"/>
              <c:layout>
                <c:manualLayout>
                  <c:x val="-4.8710044564634222E-2"/>
                  <c:y val="-8.508307502286195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txPr>
              <a:bodyPr rot="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t"/>
            <c:showVal val="1"/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Sheet1!$C$2:$C$17</c:f>
              <c:numCache>
                <c:formatCode>0.0</c:formatCode>
                <c:ptCount val="16"/>
                <c:pt idx="0">
                  <c:v>10.3</c:v>
                </c:pt>
                <c:pt idx="1">
                  <c:v>10.3</c:v>
                </c:pt>
                <c:pt idx="2">
                  <c:v>12.8</c:v>
                </c:pt>
                <c:pt idx="3" formatCode="General">
                  <c:v>13.5</c:v>
                </c:pt>
                <c:pt idx="4" formatCode="General">
                  <c:v>13.4</c:v>
                </c:pt>
                <c:pt idx="5" formatCode="General">
                  <c:v>14.5</c:v>
                </c:pt>
                <c:pt idx="6" formatCode="General">
                  <c:v>15.7</c:v>
                </c:pt>
                <c:pt idx="7" formatCode="General">
                  <c:v>15.2</c:v>
                </c:pt>
                <c:pt idx="8" formatCode="General">
                  <c:v>15.5</c:v>
                </c:pt>
                <c:pt idx="9" formatCode="General">
                  <c:v>14.7</c:v>
                </c:pt>
                <c:pt idx="10" formatCode="General">
                  <c:v>16.600000000000001</c:v>
                </c:pt>
                <c:pt idx="11" formatCode="General">
                  <c:v>17.399999999999999</c:v>
                </c:pt>
                <c:pt idx="12" formatCode="General">
                  <c:v>17.3</c:v>
                </c:pt>
                <c:pt idx="13">
                  <c:v>19.399999999999999</c:v>
                </c:pt>
                <c:pt idx="14">
                  <c:v>19.100000000000001</c:v>
                </c:pt>
                <c:pt idx="15">
                  <c:v>19.3</c:v>
                </c:pt>
              </c:numCache>
            </c:numRef>
          </c:val>
        </c:ser>
        <c:marker val="1"/>
        <c:axId val="50897280"/>
        <c:axId val="50934912"/>
      </c:lineChart>
      <c:catAx>
        <c:axId val="5089728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51027244911416336"/>
              <c:y val="0.8356328547206866"/>
            </c:manualLayout>
          </c:layout>
        </c:title>
        <c:numFmt formatCode="General" sourceLinked="1"/>
        <c:tickLblPos val="nextTo"/>
        <c:spPr>
          <a:noFill/>
        </c:spPr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934912"/>
        <c:crosses val="autoZero"/>
        <c:auto val="1"/>
        <c:lblAlgn val="ctr"/>
        <c:lblOffset val="100"/>
      </c:catAx>
      <c:valAx>
        <c:axId val="50934912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897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072318087898783"/>
          <c:y val="0.27994439051282982"/>
          <c:w val="0.45190085281892967"/>
          <c:h val="0.11295389446182251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458687890116969"/>
          <c:y val="3.9932573083537051E-2"/>
          <c:w val="0.79746180192812"/>
          <c:h val="0.62305512063674162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4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3.6246986354583496E-2"/>
                  <c:y val="7.5704136120916934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txPr>
              <a:bodyPr rot="0" vert="horz"/>
              <a:lstStyle/>
              <a:p>
                <a:pPr>
                  <a:defRPr sz="7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Sheet1!$B$2:$B$17</c:f>
              <c:numCache>
                <c:formatCode>0.0</c:formatCode>
                <c:ptCount val="16"/>
                <c:pt idx="0">
                  <c:v>27.1</c:v>
                </c:pt>
                <c:pt idx="1">
                  <c:v>33.5</c:v>
                </c:pt>
                <c:pt idx="2">
                  <c:v>26.9</c:v>
                </c:pt>
                <c:pt idx="3">
                  <c:v>28.1</c:v>
                </c:pt>
                <c:pt idx="4">
                  <c:v>23.7</c:v>
                </c:pt>
                <c:pt idx="5">
                  <c:v>24.2</c:v>
                </c:pt>
                <c:pt idx="6">
                  <c:v>22.1</c:v>
                </c:pt>
                <c:pt idx="7">
                  <c:v>26.5</c:v>
                </c:pt>
                <c:pt idx="8">
                  <c:v>24.1</c:v>
                </c:pt>
                <c:pt idx="9">
                  <c:v>23.1</c:v>
                </c:pt>
                <c:pt idx="10">
                  <c:v>19.2</c:v>
                </c:pt>
                <c:pt idx="11">
                  <c:v>20.5</c:v>
                </c:pt>
                <c:pt idx="12">
                  <c:v>20.6</c:v>
                </c:pt>
                <c:pt idx="13">
                  <c:v>23.9</c:v>
                </c:pt>
                <c:pt idx="14">
                  <c:v>22.5</c:v>
                </c:pt>
                <c:pt idx="15">
                  <c:v>22.2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4"/>
          </c:spPr>
          <c:marker>
            <c:symbol val="square"/>
            <c:size val="5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txPr>
              <a:bodyPr rot="0" vert="horz"/>
              <a:lstStyle/>
              <a:p>
                <a:pPr>
                  <a:defRPr sz="7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Sheet1!$C$2:$C$17</c:f>
              <c:numCache>
                <c:formatCode>0.0</c:formatCode>
                <c:ptCount val="16"/>
                <c:pt idx="0">
                  <c:v>13.8</c:v>
                </c:pt>
                <c:pt idx="1">
                  <c:v>17</c:v>
                </c:pt>
                <c:pt idx="2">
                  <c:v>18.5</c:v>
                </c:pt>
                <c:pt idx="3">
                  <c:v>20.100000000000001</c:v>
                </c:pt>
                <c:pt idx="4">
                  <c:v>22.3</c:v>
                </c:pt>
                <c:pt idx="5">
                  <c:v>20.5</c:v>
                </c:pt>
                <c:pt idx="6">
                  <c:v>19</c:v>
                </c:pt>
                <c:pt idx="7">
                  <c:v>23.8</c:v>
                </c:pt>
                <c:pt idx="8">
                  <c:v>26.4</c:v>
                </c:pt>
                <c:pt idx="9">
                  <c:v>26.8</c:v>
                </c:pt>
                <c:pt idx="10">
                  <c:v>28.4</c:v>
                </c:pt>
                <c:pt idx="11">
                  <c:v>32.9</c:v>
                </c:pt>
                <c:pt idx="12">
                  <c:v>35</c:v>
                </c:pt>
                <c:pt idx="13">
                  <c:v>38.4</c:v>
                </c:pt>
                <c:pt idx="14">
                  <c:v>39.200000000000003</c:v>
                </c:pt>
                <c:pt idx="15">
                  <c:v>44.7</c:v>
                </c:pt>
              </c:numCache>
            </c:numRef>
          </c:val>
        </c:ser>
        <c:marker val="1"/>
        <c:axId val="51169920"/>
        <c:axId val="51196672"/>
      </c:lineChart>
      <c:catAx>
        <c:axId val="5116992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4867359169680337"/>
              <c:y val="0.89640704002908722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196672"/>
        <c:crosses val="autoZero"/>
        <c:auto val="1"/>
        <c:lblAlgn val="ctr"/>
        <c:lblOffset val="100"/>
      </c:catAx>
      <c:valAx>
        <c:axId val="51196672"/>
        <c:scaling>
          <c:orientation val="minMax"/>
          <c:max val="50"/>
          <c:min val="0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800"/>
                  <a:t>المعدل</a:t>
                </a:r>
              </a:p>
            </c:rich>
          </c:tx>
          <c:layout>
            <c:manualLayout>
              <c:xMode val="edge"/>
              <c:yMode val="edge"/>
              <c:x val="8.4211786230303839E-3"/>
              <c:y val="0.29892717955710307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169920"/>
        <c:crosses val="autoZero"/>
        <c:crossBetween val="between"/>
        <c:majorUnit val="10"/>
        <c:minorUnit val="10"/>
      </c:valAx>
    </c:plotArea>
    <c:legend>
      <c:legendPos val="r"/>
      <c:layout>
        <c:manualLayout>
          <c:xMode val="edge"/>
          <c:yMode val="edge"/>
          <c:x val="0.35846150233173368"/>
          <c:y val="0.53606650302942749"/>
          <c:w val="0.4585023126180886"/>
          <c:h val="0.13371737623706226"/>
        </c:manualLayout>
      </c:layout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1574834645930671"/>
          <c:y val="6.1254746193095365E-2"/>
          <c:w val="0.86156820416399305"/>
          <c:h val="0.6448408108229878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إناث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الافراد الذين لم يبدأو مرحلة الانتقال</c:v>
                </c:pt>
                <c:pt idx="1">
                  <c:v>الافراد الذين مروا بمرحلة الانتقال</c:v>
                </c:pt>
                <c:pt idx="2">
                  <c:v>الافراد الذين انتقلوا من التعليم الى سوق العمل</c:v>
                </c:pt>
              </c:strCache>
            </c:strRef>
          </c:cat>
          <c:val>
            <c:numRef>
              <c:f>Sheet1!$B$2:$B$4</c:f>
              <c:numCache>
                <c:formatCode>_-* #,##0.0_-;_-* #,##0.0\-;_-* "-"??_-;_-@_-</c:formatCode>
                <c:ptCount val="3"/>
                <c:pt idx="0">
                  <c:v>58.525211308656367</c:v>
                </c:pt>
                <c:pt idx="1">
                  <c:v>34.9</c:v>
                </c:pt>
                <c:pt idx="2">
                  <c:v>6.6307199067327307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19-4602-8B32-FD6F249B35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ذكور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cs typeface="+mn-cs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الافراد الذين لم يبدأو مرحلة الانتقال</c:v>
                </c:pt>
                <c:pt idx="1">
                  <c:v>الافراد الذين مروا بمرحلة الانتقال</c:v>
                </c:pt>
                <c:pt idx="2">
                  <c:v>الافراد الذين انتقلوا من التعليم الى سوق العمل</c:v>
                </c:pt>
              </c:strCache>
            </c:strRef>
          </c:cat>
          <c:val>
            <c:numRef>
              <c:f>Sheet1!$C$2:$C$4</c:f>
              <c:numCache>
                <c:formatCode>_-* #,##0.0_-;_-* #,##0.0\-;_-* "-"??_-;_-@_-</c:formatCode>
                <c:ptCount val="3"/>
                <c:pt idx="0">
                  <c:v>25.010467550593162</c:v>
                </c:pt>
                <c:pt idx="1">
                  <c:v>30.160502442428474</c:v>
                </c:pt>
                <c:pt idx="2">
                  <c:v>44.829030006978449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19-4602-8B32-FD6F249B3538}"/>
            </c:ext>
          </c:extLst>
        </c:ser>
        <c:axId val="73527296"/>
        <c:axId val="85243008"/>
      </c:barChart>
      <c:catAx>
        <c:axId val="735272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5243008"/>
        <c:crosses val="autoZero"/>
        <c:auto val="1"/>
        <c:lblAlgn val="ctr"/>
        <c:lblOffset val="100"/>
      </c:catAx>
      <c:valAx>
        <c:axId val="85243008"/>
        <c:scaling>
          <c:orientation val="minMax"/>
        </c:scaling>
        <c:axPos val="l"/>
        <c:numFmt formatCode="#,##0" sourceLinked="0"/>
        <c:tickLblPos val="nextTo"/>
        <c:crossAx val="73527296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40184729336017488"/>
          <c:y val="5.1468941382327195E-2"/>
          <c:w val="0.38848692555250119"/>
          <c:h val="0.11342481776792332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CC064-F327-49CE-B7C5-F40A5B2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dcterms:created xsi:type="dcterms:W3CDTF">2017-03-07T09:05:00Z</dcterms:created>
  <dcterms:modified xsi:type="dcterms:W3CDTF">2017-03-07T09:35:00Z</dcterms:modified>
</cp:coreProperties>
</file>