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6F" w:rsidRDefault="00E3026F" w:rsidP="00521E2A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3026F" w:rsidRDefault="00E3026F" w:rsidP="00521E2A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21E2A" w:rsidRPr="00521E2A" w:rsidRDefault="00521E2A" w:rsidP="00521E2A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السيدة </w:t>
      </w:r>
      <w:proofErr w:type="spellStart"/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>عوض،</w:t>
      </w:r>
      <w:proofErr w:type="spellEnd"/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تستعرض أوضاع المرأة الفلسطينية عشية يوم المرأة العالمي، 08/03/2019.</w:t>
      </w:r>
    </w:p>
    <w:p w:rsidR="00521E2A" w:rsidRPr="00521E2A" w:rsidRDefault="00521E2A" w:rsidP="00521E2A">
      <w:pPr>
        <w:jc w:val="center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521E2A" w:rsidRPr="00521E2A" w:rsidRDefault="00521E2A" w:rsidP="00E3026F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معالي السيدة علا عوض، رئيس الاحصاء الفلسطيني اليوم الخميس 07/03/2019، اوضاع المرأة الفلسطينية عشية يوم المرأة العالمي، </w:t>
      </w:r>
      <w:proofErr w:type="spellStart"/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>08/03/2019</w:t>
      </w:r>
      <w:r w:rsidRPr="00521E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 w:rsidRPr="00521E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النحو الآتي:</w:t>
      </w:r>
    </w:p>
    <w:p w:rsidR="00526658" w:rsidRPr="00521E2A" w:rsidRDefault="00526658" w:rsidP="00526658">
      <w:pPr>
        <w:tabs>
          <w:tab w:val="left" w:pos="9071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E3026F" w:rsidRDefault="00E3026F" w:rsidP="00173C8F">
      <w:pPr>
        <w:tabs>
          <w:tab w:val="left" w:pos="9071"/>
        </w:tabs>
        <w:ind w:right="720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bookmarkStart w:id="0" w:name="OLE_LINK2"/>
    </w:p>
    <w:p w:rsidR="00652F7E" w:rsidRPr="00521E2A" w:rsidRDefault="00173C8F" w:rsidP="00173C8F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المرأة </w:t>
      </w:r>
      <w:r w:rsidR="00652F7E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نصف</w:t>
      </w:r>
      <w:r w:rsidR="00652F7E" w:rsidRPr="00521E2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F7E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المجتمع الفلسطيني </w:t>
      </w:r>
    </w:p>
    <w:p w:rsidR="00A31E75" w:rsidRDefault="00A31E75" w:rsidP="00A31E75">
      <w:pPr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>بلغ عدد السكان</w:t>
      </w:r>
      <w:r w:rsidRPr="00521E2A">
        <w:rPr>
          <w:rFonts w:ascii="Simplified Arabic" w:hAnsi="Simplified Arabic" w:cs="Simplified Arabic"/>
          <w:sz w:val="24"/>
          <w:szCs w:val="24"/>
          <w:vertAlign w:val="superscript"/>
          <w:rtl/>
        </w:rPr>
        <w:footnoteReference w:id="1"/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المقدر في منتصف عام 2019 في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فلسطين،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حوالي 4.98 مليون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فرد؛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منهم 2.53 مليون ذكر بنسبة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51%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و2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.45 مليون أنثى بنسبة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49%،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فيما وصلت نسبة الجنس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103.5،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أي أن هناك 103.5 ذكر لكل 100 أنثى. </w:t>
      </w:r>
    </w:p>
    <w:p w:rsidR="00E3026F" w:rsidRPr="00E3026F" w:rsidRDefault="00E3026F" w:rsidP="00E3026F">
      <w:pPr>
        <w:tabs>
          <w:tab w:val="left" w:pos="3971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tbl>
      <w:tblPr>
        <w:bidiVisual/>
        <w:tblW w:w="4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1332"/>
        <w:gridCol w:w="1272"/>
        <w:gridCol w:w="1272"/>
      </w:tblGrid>
      <w:tr w:rsidR="00D2172C" w:rsidRPr="00521E2A" w:rsidTr="00E3026F">
        <w:trPr>
          <w:trHeight w:val="333"/>
          <w:jc w:val="center"/>
        </w:trPr>
        <w:tc>
          <w:tcPr>
            <w:tcW w:w="1096" w:type="dxa"/>
            <w:vAlign w:val="center"/>
          </w:tcPr>
          <w:p w:rsidR="00D2172C" w:rsidRPr="00521E2A" w:rsidRDefault="00D2172C" w:rsidP="00D217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المنطقة</w:t>
            </w:r>
          </w:p>
        </w:tc>
        <w:tc>
          <w:tcPr>
            <w:tcW w:w="1332" w:type="dxa"/>
            <w:vAlign w:val="center"/>
          </w:tcPr>
          <w:p w:rsidR="00D2172C" w:rsidRPr="00521E2A" w:rsidRDefault="00D2172C" w:rsidP="00D217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ذكور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إناث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كلا الجنسين</w:t>
            </w:r>
          </w:p>
        </w:tc>
      </w:tr>
      <w:tr w:rsidR="00D2172C" w:rsidRPr="00521E2A" w:rsidTr="00E3026F">
        <w:trPr>
          <w:trHeight w:val="333"/>
          <w:jc w:val="center"/>
        </w:trPr>
        <w:tc>
          <w:tcPr>
            <w:tcW w:w="1096" w:type="dxa"/>
          </w:tcPr>
          <w:p w:rsidR="00D2172C" w:rsidRPr="00521E2A" w:rsidRDefault="00D2172C" w:rsidP="00C960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فلسطين</w:t>
            </w:r>
          </w:p>
        </w:tc>
        <w:tc>
          <w:tcPr>
            <w:tcW w:w="133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2,530,966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2,445,718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4,976,684</w:t>
            </w:r>
          </w:p>
        </w:tc>
      </w:tr>
      <w:tr w:rsidR="00D2172C" w:rsidRPr="00521E2A" w:rsidTr="00E3026F">
        <w:trPr>
          <w:trHeight w:val="666"/>
          <w:jc w:val="center"/>
        </w:trPr>
        <w:tc>
          <w:tcPr>
            <w:tcW w:w="1096" w:type="dxa"/>
          </w:tcPr>
          <w:p w:rsidR="00D2172C" w:rsidRPr="00521E2A" w:rsidRDefault="00D2172C" w:rsidP="00C960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133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1,522,334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1,464,380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2,986,714</w:t>
            </w:r>
          </w:p>
        </w:tc>
      </w:tr>
      <w:tr w:rsidR="00D2172C" w:rsidRPr="00521E2A" w:rsidTr="00E3026F">
        <w:trPr>
          <w:trHeight w:val="99"/>
          <w:jc w:val="center"/>
        </w:trPr>
        <w:tc>
          <w:tcPr>
            <w:tcW w:w="1096" w:type="dxa"/>
          </w:tcPr>
          <w:p w:rsidR="00D2172C" w:rsidRPr="00521E2A" w:rsidRDefault="00D2172C" w:rsidP="00C960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قطاع غزة</w:t>
            </w:r>
          </w:p>
        </w:tc>
        <w:tc>
          <w:tcPr>
            <w:tcW w:w="133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1,008,632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981,338</w:t>
            </w:r>
          </w:p>
        </w:tc>
        <w:tc>
          <w:tcPr>
            <w:tcW w:w="1272" w:type="dxa"/>
            <w:vAlign w:val="center"/>
          </w:tcPr>
          <w:p w:rsidR="00D2172C" w:rsidRPr="00521E2A" w:rsidRDefault="00D2172C" w:rsidP="00D217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</w:rPr>
              <w:t>1,989,970</w:t>
            </w:r>
          </w:p>
        </w:tc>
      </w:tr>
    </w:tbl>
    <w:p w:rsidR="00AB6350" w:rsidRPr="00521E2A" w:rsidRDefault="00AB6350" w:rsidP="007959CC">
      <w:pPr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631999" w:rsidRPr="00521E2A" w:rsidRDefault="003508A5" w:rsidP="00861857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أكثر من</w:t>
      </w:r>
      <w:r w:rsidR="00631999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عُشر الأسر الفلسطينية ترأسها نساء </w:t>
      </w:r>
    </w:p>
    <w:p w:rsidR="00631999" w:rsidRPr="00521E2A" w:rsidRDefault="003508A5" w:rsidP="003508A5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>ترأس النساء في فلسطين حوالي</w:t>
      </w:r>
      <w:r w:rsidR="00D43110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7314FE" w:rsidRPr="00521E2A">
        <w:rPr>
          <w:rFonts w:ascii="Simplified Arabic" w:hAnsi="Simplified Arabic" w:cs="Simplified Arabic"/>
          <w:sz w:val="24"/>
          <w:szCs w:val="24"/>
          <w:rtl/>
        </w:rPr>
        <w:t>11</w:t>
      </w:r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proofErr w:type="spellStart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ال</w:t>
      </w:r>
      <w:r w:rsidR="00F241C3" w:rsidRPr="00521E2A">
        <w:rPr>
          <w:rFonts w:ascii="Simplified Arabic" w:hAnsi="Simplified Arabic" w:cs="Simplified Arabic"/>
          <w:sz w:val="24"/>
          <w:szCs w:val="24"/>
          <w:rtl/>
        </w:rPr>
        <w:t>أ</w:t>
      </w:r>
      <w:r w:rsidR="007314FE" w:rsidRPr="00521E2A">
        <w:rPr>
          <w:rFonts w:ascii="Simplified Arabic" w:hAnsi="Simplified Arabic" w:cs="Simplified Arabic"/>
          <w:sz w:val="24"/>
          <w:szCs w:val="24"/>
          <w:rtl/>
        </w:rPr>
        <w:t>سر</w:t>
      </w:r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proofErr w:type="spellStart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12%</w:t>
      </w:r>
      <w:proofErr w:type="spellEnd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 xml:space="preserve"> في الضفة الغربية </w:t>
      </w:r>
      <w:proofErr w:type="spellStart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و9%</w:t>
      </w:r>
      <w:proofErr w:type="spellEnd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 xml:space="preserve"> في قطاع </w:t>
      </w:r>
      <w:proofErr w:type="spellStart"/>
      <w:r w:rsidR="00631999" w:rsidRPr="00521E2A">
        <w:rPr>
          <w:rFonts w:ascii="Simplified Arabic" w:hAnsi="Simplified Arabic" w:cs="Simplified Arabic"/>
          <w:sz w:val="24"/>
          <w:szCs w:val="24"/>
          <w:rtl/>
        </w:rPr>
        <w:t>غزة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وذلك بناءً على بيانات القوى العاملة للعام 2018.</w:t>
      </w:r>
    </w:p>
    <w:p w:rsidR="00631999" w:rsidRPr="00521E2A" w:rsidRDefault="00631999" w:rsidP="00C73E98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959CC" w:rsidRPr="00521E2A" w:rsidRDefault="003508A5" w:rsidP="003508A5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ملحوظ في نسبة الزواج المبكر في فلسطين</w:t>
      </w:r>
      <w:r w:rsidR="00500553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521E2A" w:rsidRDefault="006E0B0A" w:rsidP="00521E2A">
      <w:pPr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هناك </w:t>
      </w:r>
      <w:r w:rsidR="00B1381C" w:rsidRPr="00521E2A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761429" w:rsidRPr="00521E2A">
        <w:rPr>
          <w:rFonts w:ascii="Simplified Arabic" w:hAnsi="Simplified Arabic" w:cs="Simplified Arabic"/>
          <w:sz w:val="24"/>
          <w:szCs w:val="24"/>
          <w:rtl/>
        </w:rPr>
        <w:t xml:space="preserve"> في نسبة</w:t>
      </w:r>
      <w:r w:rsidR="007959CC" w:rsidRPr="00521E2A">
        <w:rPr>
          <w:rFonts w:ascii="Simplified Arabic" w:hAnsi="Simplified Arabic" w:cs="Simplified Arabic"/>
          <w:sz w:val="24"/>
          <w:szCs w:val="24"/>
          <w:rtl/>
        </w:rPr>
        <w:t xml:space="preserve"> الزواج المبكر</w:t>
      </w:r>
      <w:r w:rsidR="004F26CC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(لمن هم أقل من 18 سنة</w:t>
      </w:r>
      <w:proofErr w:type="spellStart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="00761429" w:rsidRPr="00521E2A">
        <w:rPr>
          <w:rFonts w:ascii="Simplified Arabic" w:hAnsi="Simplified Arabic" w:cs="Simplified Arabic"/>
          <w:sz w:val="24"/>
          <w:szCs w:val="24"/>
          <w:rtl/>
        </w:rPr>
        <w:t xml:space="preserve"> لكلا </w:t>
      </w:r>
      <w:proofErr w:type="spellStart"/>
      <w:r w:rsidR="00761429" w:rsidRPr="00521E2A">
        <w:rPr>
          <w:rFonts w:ascii="Simplified Arabic" w:hAnsi="Simplified Arabic" w:cs="Simplified Arabic"/>
          <w:sz w:val="24"/>
          <w:szCs w:val="24"/>
          <w:rtl/>
        </w:rPr>
        <w:t>الجنسين،</w:t>
      </w:r>
      <w:proofErr w:type="spellEnd"/>
      <w:r w:rsidR="00761429" w:rsidRPr="00521E2A">
        <w:rPr>
          <w:rFonts w:ascii="Simplified Arabic" w:hAnsi="Simplified Arabic" w:cs="Simplified Arabic"/>
          <w:sz w:val="24"/>
          <w:szCs w:val="24"/>
          <w:rtl/>
        </w:rPr>
        <w:t xml:space="preserve"> فقد بلغت</w:t>
      </w:r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 نسبة الإناث أقل من 18 سنة </w:t>
      </w:r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>و</w:t>
      </w:r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اللواتي عقد قرانهن خلال عام 2017 حوالي</w:t>
      </w:r>
      <w:r w:rsidR="007959CC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20%</w:t>
      </w:r>
      <w:proofErr w:type="spellEnd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إجمالي الإناث اللواتي عقد قرانهن خلال نفس </w:t>
      </w:r>
      <w:proofErr w:type="spellStart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العام؛</w:t>
      </w:r>
      <w:proofErr w:type="spellEnd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بواقع </w:t>
      </w:r>
      <w:proofErr w:type="spellStart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19%</w:t>
      </w:r>
      <w:proofErr w:type="spellEnd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إجمالي الإناث </w:t>
      </w:r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>اللواتي عقد قرانهن</w:t>
      </w:r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 في الضفة </w:t>
      </w:r>
      <w:proofErr w:type="spellStart"/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>الغربية،</w:t>
      </w:r>
      <w:proofErr w:type="spellEnd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>و21%</w:t>
      </w:r>
      <w:proofErr w:type="spellEnd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B3653" w:rsidRPr="00521E2A">
        <w:rPr>
          <w:rFonts w:ascii="Simplified Arabic" w:hAnsi="Simplified Arabic" w:cs="Simplified Arabic"/>
          <w:sz w:val="24"/>
          <w:szCs w:val="24"/>
          <w:rtl/>
        </w:rPr>
        <w:t xml:space="preserve">من إجمالي الإناث </w:t>
      </w:r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اللواتي عقد قرانهن في قطاع </w:t>
      </w:r>
      <w:proofErr w:type="spellStart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>غزة،</w:t>
      </w:r>
      <w:proofErr w:type="spellEnd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 في حين كانت النسبة </w:t>
      </w:r>
      <w:r w:rsidR="00AE4F2A" w:rsidRPr="00521E2A">
        <w:rPr>
          <w:rFonts w:ascii="Simplified Arabic" w:hAnsi="Simplified Arabic" w:cs="Simplified Arabic"/>
          <w:sz w:val="24"/>
          <w:szCs w:val="24"/>
          <w:rtl/>
        </w:rPr>
        <w:t xml:space="preserve">للإناث </w:t>
      </w:r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عام 2010 حوالي </w:t>
      </w:r>
      <w:proofErr w:type="spellStart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>24%.</w:t>
      </w:r>
      <w:proofErr w:type="spellEnd"/>
      <w:r w:rsidR="006671C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521E2A" w:rsidRDefault="00521E2A" w:rsidP="00521E2A">
      <w:pPr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7959CC" w:rsidRDefault="006671C5" w:rsidP="00521E2A">
      <w:pPr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>كما بلغت نسبة الذكور</w:t>
      </w:r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 xml:space="preserve"> أقل من 18 سنة والذين عقد قرانهم خلال عام 2017 حوالي </w:t>
      </w:r>
      <w:proofErr w:type="spellStart"/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>1%</w:t>
      </w:r>
      <w:proofErr w:type="spellEnd"/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إجمالي الذكور الذين عقد قرانهم خلال نفس </w:t>
      </w:r>
      <w:proofErr w:type="spellStart"/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>العام،</w:t>
      </w:r>
      <w:proofErr w:type="spellEnd"/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 xml:space="preserve"> في حين كانت النسبة </w:t>
      </w:r>
      <w:r w:rsidR="00AE4F2A" w:rsidRPr="00521E2A">
        <w:rPr>
          <w:rFonts w:ascii="Simplified Arabic" w:hAnsi="Simplified Arabic" w:cs="Simplified Arabic"/>
          <w:sz w:val="24"/>
          <w:szCs w:val="24"/>
          <w:rtl/>
        </w:rPr>
        <w:t xml:space="preserve">للذكور </w:t>
      </w:r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 xml:space="preserve">عام 2010 حوالي </w:t>
      </w:r>
      <w:proofErr w:type="spellStart"/>
      <w:r w:rsidR="009A7C5F" w:rsidRPr="00521E2A">
        <w:rPr>
          <w:rFonts w:ascii="Simplified Arabic" w:hAnsi="Simplified Arabic" w:cs="Simplified Arabic"/>
          <w:sz w:val="24"/>
          <w:szCs w:val="24"/>
          <w:rtl/>
        </w:rPr>
        <w:t>1.5%.</w:t>
      </w:r>
      <w:proofErr w:type="spellEnd"/>
    </w:p>
    <w:p w:rsidR="00521E2A" w:rsidRPr="00521E2A" w:rsidRDefault="00521E2A" w:rsidP="00521E2A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7959CC" w:rsidRPr="00521E2A" w:rsidRDefault="007959CC" w:rsidP="005A55B8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 xml:space="preserve">وعلى مستوى محافظات الضفة الغربية بلغت أعلى نسبة للزواج المبكر للإناث في محافظة الخليل بنسبة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38%،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وأقلها في محافظة أريحا والأغوار بنسبة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1%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وذلك من مجموع الإناث </w:t>
      </w:r>
      <w:r w:rsidR="00AE4F2A" w:rsidRPr="00521E2A">
        <w:rPr>
          <w:rFonts w:ascii="Simplified Arabic" w:hAnsi="Simplified Arabic"/>
          <w:rtl/>
        </w:rPr>
        <w:t>اللواتي عقد قرانهن</w:t>
      </w:r>
      <w:r w:rsidR="003508A5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Pr="00521E2A">
        <w:rPr>
          <w:rFonts w:ascii="Simplified Arabic" w:eastAsia="Calibri" w:hAnsi="Simplified Arabic"/>
          <w:rtl/>
          <w:lang w:eastAsia="en-US"/>
        </w:rPr>
        <w:t xml:space="preserve">في الضفة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الغربية،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وعلى مستوى محافظات قطاع غزة فقد بلغت أعلى نسبة للزواج المبكر للإناث في محافظة غزة بنسبة </w:t>
      </w:r>
      <w:proofErr w:type="spellStart"/>
      <w:r w:rsidR="00F266E8" w:rsidRPr="00521E2A">
        <w:rPr>
          <w:rFonts w:ascii="Simplified Arabic" w:eastAsia="Calibri" w:hAnsi="Simplified Arabic"/>
          <w:rtl/>
          <w:lang w:eastAsia="en-US"/>
        </w:rPr>
        <w:t>42</w:t>
      </w:r>
      <w:r w:rsidRPr="00521E2A">
        <w:rPr>
          <w:rFonts w:ascii="Simplified Arabic" w:eastAsia="Calibri" w:hAnsi="Simplified Arabic"/>
          <w:rtl/>
          <w:lang w:eastAsia="en-US"/>
        </w:rPr>
        <w:t>%،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وأقلها في دير البلح بنسبة </w:t>
      </w:r>
      <w:proofErr w:type="spellStart"/>
      <w:r w:rsidR="00F266E8" w:rsidRPr="00521E2A">
        <w:rPr>
          <w:rFonts w:ascii="Simplified Arabic" w:eastAsia="Calibri" w:hAnsi="Simplified Arabic"/>
          <w:rtl/>
          <w:lang w:eastAsia="en-US"/>
        </w:rPr>
        <w:t>8</w:t>
      </w:r>
      <w:r w:rsidRPr="00521E2A">
        <w:rPr>
          <w:rFonts w:ascii="Simplified Arabic" w:eastAsia="Calibri" w:hAnsi="Simplified Arabic"/>
          <w:rtl/>
          <w:lang w:eastAsia="en-US"/>
        </w:rPr>
        <w:t>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من مجموع الإناث </w:t>
      </w:r>
      <w:r w:rsidR="00AE4F2A" w:rsidRPr="00521E2A">
        <w:rPr>
          <w:rFonts w:ascii="Simplified Arabic" w:hAnsi="Simplified Arabic"/>
          <w:rtl/>
        </w:rPr>
        <w:t>اللواتي عقد قرانهن</w:t>
      </w:r>
      <w:r w:rsidRPr="00521E2A">
        <w:rPr>
          <w:rFonts w:ascii="Simplified Arabic" w:eastAsia="Calibri" w:hAnsi="Simplified Arabic"/>
          <w:rtl/>
          <w:lang w:eastAsia="en-US"/>
        </w:rPr>
        <w:t xml:space="preserve"> في قطاع غزة</w:t>
      </w:r>
      <w:r w:rsidR="0051108C" w:rsidRPr="00521E2A">
        <w:rPr>
          <w:rFonts w:ascii="Simplified Arabic" w:hAnsi="Simplified Arabic"/>
          <w:rtl/>
        </w:rPr>
        <w:t xml:space="preserve"> خلال العام 2017</w:t>
      </w:r>
      <w:r w:rsidRPr="00521E2A">
        <w:rPr>
          <w:rFonts w:ascii="Simplified Arabic" w:eastAsia="Calibri" w:hAnsi="Simplified Arabic"/>
          <w:rtl/>
          <w:lang w:eastAsia="en-US"/>
        </w:rPr>
        <w:t>.</w:t>
      </w:r>
    </w:p>
    <w:p w:rsidR="007959CC" w:rsidRPr="00521E2A" w:rsidRDefault="007959CC" w:rsidP="009629DC">
      <w:pPr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bookmarkEnd w:id="0"/>
    <w:p w:rsidR="00A51113" w:rsidRPr="00521E2A" w:rsidRDefault="00674F3A" w:rsidP="0051108C">
      <w:pPr>
        <w:pStyle w:val="Heading3"/>
        <w:jc w:val="both"/>
        <w:rPr>
          <w:rFonts w:ascii="Simplified Arabic" w:eastAsia="Calibri" w:hAnsi="Simplified Arabic"/>
          <w:sz w:val="26"/>
          <w:szCs w:val="26"/>
          <w:rtl/>
          <w:lang w:eastAsia="en-US"/>
        </w:rPr>
      </w:pPr>
      <w:r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>حوالي ثلثي</w:t>
      </w:r>
      <w:r w:rsidR="00A51113"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 xml:space="preserve"> </w:t>
      </w:r>
      <w:r w:rsidR="00FD5A10"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>النساء</w:t>
      </w:r>
      <w:r w:rsidR="00A51113"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 xml:space="preserve"> في العمر 18 سنة فأكثر متزوجات</w:t>
      </w:r>
      <w:r w:rsidR="00500553"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 xml:space="preserve">       </w:t>
      </w:r>
      <w:r w:rsidR="00BE7E2C" w:rsidRPr="00521E2A">
        <w:rPr>
          <w:rFonts w:ascii="Simplified Arabic" w:eastAsia="Calibri" w:hAnsi="Simplified Arabic"/>
          <w:sz w:val="26"/>
          <w:szCs w:val="26"/>
          <w:rtl/>
          <w:lang w:eastAsia="en-US"/>
        </w:rPr>
        <w:t xml:space="preserve"> </w:t>
      </w:r>
    </w:p>
    <w:p w:rsidR="00A51113" w:rsidRPr="00521E2A" w:rsidRDefault="00D43110" w:rsidP="00211B04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proofErr w:type="spellStart"/>
      <w:r w:rsidRPr="00521E2A">
        <w:rPr>
          <w:rFonts w:ascii="Simplified Arabic" w:eastAsia="Calibri" w:hAnsi="Simplified Arabic"/>
          <w:rtl/>
          <w:lang w:eastAsia="en-US"/>
        </w:rPr>
        <w:t>إستناداً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إلى</w:t>
      </w:r>
      <w:r w:rsidR="0038141F" w:rsidRPr="00521E2A">
        <w:rPr>
          <w:rFonts w:ascii="Simplified Arabic" w:eastAsia="Calibri" w:hAnsi="Simplified Arabic"/>
          <w:rtl/>
          <w:lang w:eastAsia="en-US"/>
        </w:rPr>
        <w:t xml:space="preserve"> بيانات مسح القوى العاملة </w:t>
      </w:r>
      <w:proofErr w:type="spellStart"/>
      <w:r w:rsidR="00806BCC" w:rsidRPr="00521E2A">
        <w:rPr>
          <w:rFonts w:ascii="Simplified Arabic" w:eastAsia="Calibri" w:hAnsi="Simplified Arabic"/>
          <w:rtl/>
          <w:lang w:eastAsia="en-US"/>
        </w:rPr>
        <w:t>2018،</w:t>
      </w:r>
      <w:proofErr w:type="spellEnd"/>
      <w:r w:rsidR="0038141F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7314FE" w:rsidRPr="00521E2A">
        <w:rPr>
          <w:rFonts w:ascii="Simplified Arabic" w:eastAsia="Calibri" w:hAnsi="Simplified Arabic"/>
          <w:rtl/>
          <w:lang w:eastAsia="en-US"/>
        </w:rPr>
        <w:t>بلغت</w:t>
      </w:r>
      <w:r w:rsidR="0038141F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A51113" w:rsidRPr="00521E2A">
        <w:rPr>
          <w:rFonts w:ascii="Simplified Arabic" w:eastAsia="Calibri" w:hAnsi="Simplified Arabic"/>
          <w:rtl/>
          <w:lang w:eastAsia="en-US"/>
        </w:rPr>
        <w:t xml:space="preserve">نسبة </w:t>
      </w:r>
      <w:r w:rsidR="00FD5A10" w:rsidRPr="00521E2A">
        <w:rPr>
          <w:rFonts w:ascii="Simplified Arabic" w:eastAsia="Calibri" w:hAnsi="Simplified Arabic"/>
          <w:rtl/>
          <w:lang w:eastAsia="en-US"/>
        </w:rPr>
        <w:t>النساء</w:t>
      </w:r>
      <w:r w:rsidR="00A51113" w:rsidRPr="00521E2A">
        <w:rPr>
          <w:rFonts w:ascii="Simplified Arabic" w:eastAsia="Calibri" w:hAnsi="Simplified Arabic"/>
          <w:rtl/>
          <w:lang w:eastAsia="en-US"/>
        </w:rPr>
        <w:t xml:space="preserve"> المتزوجات من مجموع الن</w:t>
      </w:r>
      <w:r w:rsidR="007314FE" w:rsidRPr="00521E2A">
        <w:rPr>
          <w:rFonts w:ascii="Simplified Arabic" w:eastAsia="Calibri" w:hAnsi="Simplified Arabic"/>
          <w:rtl/>
          <w:lang w:eastAsia="en-US"/>
        </w:rPr>
        <w:t xml:space="preserve">ساء في العمر 18 سنة فأكثر </w:t>
      </w:r>
      <w:proofErr w:type="spellStart"/>
      <w:r w:rsidR="007314FE" w:rsidRPr="00521E2A">
        <w:rPr>
          <w:rFonts w:ascii="Simplified Arabic" w:eastAsia="Calibri" w:hAnsi="Simplified Arabic"/>
          <w:rtl/>
          <w:lang w:eastAsia="en-US"/>
        </w:rPr>
        <w:t>64%</w:t>
      </w:r>
      <w:r w:rsidR="00A51113"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="00A51113" w:rsidRPr="00521E2A">
        <w:rPr>
          <w:rFonts w:ascii="Simplified Arabic" w:eastAsia="Calibri" w:hAnsi="Simplified Arabic"/>
          <w:rtl/>
          <w:lang w:eastAsia="en-US"/>
        </w:rPr>
        <w:t xml:space="preserve"> </w:t>
      </w:r>
      <w:proofErr w:type="spellStart"/>
      <w:r w:rsidR="00A51113" w:rsidRPr="00521E2A">
        <w:rPr>
          <w:rFonts w:ascii="Simplified Arabic" w:eastAsia="Calibri" w:hAnsi="Simplified Arabic"/>
          <w:rtl/>
          <w:lang w:eastAsia="en-US"/>
        </w:rPr>
        <w:t>و</w:t>
      </w:r>
      <w:r w:rsidR="00F266E8" w:rsidRPr="00521E2A">
        <w:rPr>
          <w:rFonts w:ascii="Simplified Arabic" w:eastAsia="Calibri" w:hAnsi="Simplified Arabic"/>
          <w:rtl/>
          <w:lang w:eastAsia="en-US"/>
        </w:rPr>
        <w:t>2</w:t>
      </w:r>
      <w:r w:rsidR="00D16878" w:rsidRPr="00521E2A">
        <w:rPr>
          <w:rFonts w:ascii="Simplified Arabic" w:eastAsia="Calibri" w:hAnsi="Simplified Arabic"/>
          <w:rtl/>
          <w:lang w:eastAsia="en-US"/>
        </w:rPr>
        <w:t>8</w:t>
      </w:r>
      <w:r w:rsidR="00A51113" w:rsidRPr="00521E2A">
        <w:rPr>
          <w:rFonts w:ascii="Simplified Arabic" w:eastAsia="Calibri" w:hAnsi="Simplified Arabic"/>
          <w:rtl/>
          <w:lang w:eastAsia="en-US"/>
        </w:rPr>
        <w:t>%</w:t>
      </w:r>
      <w:proofErr w:type="spellEnd"/>
      <w:r w:rsidR="00A51113" w:rsidRPr="00521E2A">
        <w:rPr>
          <w:rFonts w:ascii="Simplified Arabic" w:eastAsia="Calibri" w:hAnsi="Simplified Arabic"/>
          <w:rtl/>
          <w:lang w:eastAsia="en-US"/>
        </w:rPr>
        <w:t xml:space="preserve"> لم يتزوجن </w:t>
      </w:r>
      <w:proofErr w:type="spellStart"/>
      <w:r w:rsidR="00A51113" w:rsidRPr="00521E2A">
        <w:rPr>
          <w:rFonts w:ascii="Simplified Arabic" w:eastAsia="Calibri" w:hAnsi="Simplified Arabic"/>
          <w:rtl/>
          <w:lang w:eastAsia="en-US"/>
        </w:rPr>
        <w:t>أبدا</w:t>
      </w:r>
      <w:r w:rsidR="001F53C5" w:rsidRPr="00521E2A">
        <w:rPr>
          <w:rFonts w:ascii="Simplified Arabic" w:eastAsia="Calibri" w:hAnsi="Simplified Arabic"/>
          <w:rtl/>
          <w:lang w:eastAsia="en-US"/>
        </w:rPr>
        <w:t>ً</w:t>
      </w:r>
      <w:r w:rsidR="00A51113"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="00A51113" w:rsidRPr="00521E2A">
        <w:rPr>
          <w:rFonts w:ascii="Simplified Arabic" w:eastAsia="Calibri" w:hAnsi="Simplified Arabic"/>
          <w:rtl/>
          <w:lang w:eastAsia="en-US"/>
        </w:rPr>
        <w:t xml:space="preserve"> وبلغت نسبة الأرامل </w:t>
      </w:r>
      <w:proofErr w:type="spellStart"/>
      <w:r w:rsidR="00A51113" w:rsidRPr="00521E2A">
        <w:rPr>
          <w:rFonts w:ascii="Simplified Arabic" w:eastAsia="Calibri" w:hAnsi="Simplified Arabic"/>
          <w:rtl/>
          <w:lang w:eastAsia="en-US"/>
        </w:rPr>
        <w:t>6%،</w:t>
      </w:r>
      <w:proofErr w:type="spellEnd"/>
      <w:r w:rsidR="00A51113" w:rsidRPr="00521E2A">
        <w:rPr>
          <w:rFonts w:ascii="Simplified Arabic" w:eastAsia="Calibri" w:hAnsi="Simplified Arabic"/>
          <w:rtl/>
          <w:lang w:eastAsia="en-US"/>
        </w:rPr>
        <w:t xml:space="preserve"> ونسبة المطلقات </w:t>
      </w:r>
      <w:proofErr w:type="spellStart"/>
      <w:r w:rsidR="00F266E8" w:rsidRPr="00521E2A">
        <w:rPr>
          <w:rFonts w:ascii="Simplified Arabic" w:eastAsia="Calibri" w:hAnsi="Simplified Arabic"/>
          <w:rtl/>
          <w:lang w:eastAsia="en-US"/>
        </w:rPr>
        <w:t>2</w:t>
      </w:r>
      <w:r w:rsidR="00A51113" w:rsidRPr="00521E2A">
        <w:rPr>
          <w:rFonts w:ascii="Simplified Arabic" w:eastAsia="Calibri" w:hAnsi="Simplified Arabic"/>
          <w:rtl/>
          <w:lang w:eastAsia="en-US"/>
        </w:rPr>
        <w:t>%</w:t>
      </w:r>
      <w:r w:rsidR="003508A5" w:rsidRPr="00521E2A">
        <w:rPr>
          <w:rFonts w:ascii="Simplified Arabic" w:eastAsia="Calibri" w:hAnsi="Simplified Arabic"/>
          <w:rtl/>
          <w:lang w:eastAsia="en-US"/>
        </w:rPr>
        <w:t>.</w:t>
      </w:r>
      <w:proofErr w:type="spellEnd"/>
    </w:p>
    <w:p w:rsidR="006312F5" w:rsidRPr="00521E2A" w:rsidRDefault="006312F5" w:rsidP="00D0416F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</w:p>
    <w:p w:rsidR="00E3026F" w:rsidRDefault="00E3026F" w:rsidP="0074309C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E3026F" w:rsidRDefault="00E3026F" w:rsidP="0074309C">
      <w:pPr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D0416F" w:rsidRPr="00521E2A" w:rsidRDefault="00D0416F" w:rsidP="0074309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النساء ذوات ال</w:t>
      </w:r>
      <w:r w:rsidR="0074309C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إ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عاقة</w:t>
      </w:r>
    </w:p>
    <w:p w:rsidR="00675D8C" w:rsidRPr="00521E2A" w:rsidRDefault="005D1AD5" w:rsidP="005A55B8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>حسب النتائج النهائية للتعداد العام للسكان والمساكن والمنشآت</w:t>
      </w:r>
      <w:r w:rsidR="0093656B" w:rsidRPr="00521E2A">
        <w:rPr>
          <w:rFonts w:ascii="Simplified Arabic" w:eastAsia="Calibri" w:hAnsi="Simplified Arabic"/>
          <w:rtl/>
          <w:lang w:eastAsia="en-US"/>
        </w:rPr>
        <w:t xml:space="preserve"> 2017 يزيد</w:t>
      </w:r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93656B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74309C" w:rsidRPr="00521E2A">
        <w:rPr>
          <w:rFonts w:ascii="Simplified Arabic" w:eastAsia="Calibri" w:hAnsi="Simplified Arabic"/>
          <w:rtl/>
          <w:lang w:eastAsia="en-US"/>
        </w:rPr>
        <w:t>عدد</w:t>
      </w:r>
      <w:r w:rsidR="0093656B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D0416F" w:rsidRPr="00521E2A">
        <w:rPr>
          <w:rFonts w:ascii="Simplified Arabic" w:eastAsia="Calibri" w:hAnsi="Simplified Arabic"/>
          <w:rtl/>
          <w:lang w:eastAsia="en-US"/>
        </w:rPr>
        <w:t>الأفراد ذوي الاعاقة</w:t>
      </w:r>
      <w:r w:rsidR="00D0416F" w:rsidRPr="00521E2A">
        <w:rPr>
          <w:rStyle w:val="FootnoteReference"/>
          <w:rFonts w:ascii="Simplified Arabic" w:hAnsi="Simplified Arabic"/>
          <w:rtl/>
        </w:rPr>
        <w:footnoteReference w:id="2"/>
      </w:r>
      <w:r w:rsidR="00D0416F" w:rsidRPr="00521E2A">
        <w:rPr>
          <w:rFonts w:ascii="Simplified Arabic" w:eastAsia="Calibri" w:hAnsi="Simplified Arabic"/>
          <w:rtl/>
          <w:lang w:eastAsia="en-US"/>
        </w:rPr>
        <w:t xml:space="preserve"> في قطاع غزة عنه في الضفة الغربية لكلا </w:t>
      </w:r>
      <w:proofErr w:type="spellStart"/>
      <w:r w:rsidR="00D0416F" w:rsidRPr="00521E2A">
        <w:rPr>
          <w:rFonts w:ascii="Simplified Arabic" w:eastAsia="Calibri" w:hAnsi="Simplified Arabic"/>
          <w:rtl/>
          <w:lang w:eastAsia="en-US"/>
        </w:rPr>
        <w:t>الجنسين</w:t>
      </w:r>
      <w:r w:rsidR="0093656B" w:rsidRPr="00521E2A">
        <w:rPr>
          <w:rFonts w:ascii="Simplified Arabic" w:eastAsia="Calibri" w:hAnsi="Simplified Arabic"/>
          <w:rtl/>
          <w:lang w:eastAsia="en-US"/>
        </w:rPr>
        <w:t>؛</w:t>
      </w:r>
      <w:proofErr w:type="spellEnd"/>
      <w:r w:rsidR="00D0416F" w:rsidRPr="00521E2A">
        <w:rPr>
          <w:rFonts w:ascii="Simplified Arabic" w:eastAsia="Calibri" w:hAnsi="Simplified Arabic"/>
          <w:rtl/>
          <w:lang w:eastAsia="en-US"/>
        </w:rPr>
        <w:t xml:space="preserve"> فقد بلغ</w:t>
      </w:r>
      <w:r w:rsidR="0074309C" w:rsidRPr="00521E2A">
        <w:rPr>
          <w:rFonts w:ascii="Simplified Arabic" w:eastAsia="Calibri" w:hAnsi="Simplified Arabic"/>
          <w:rtl/>
          <w:lang w:eastAsia="en-US"/>
        </w:rPr>
        <w:t xml:space="preserve"> عدد الأفراد ذوي الإعاقة من الذكور حوالي</w:t>
      </w:r>
      <w:r w:rsidR="00D0416F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74309C" w:rsidRPr="00521E2A">
        <w:rPr>
          <w:rFonts w:ascii="Simplified Arabic" w:eastAsia="Calibri" w:hAnsi="Simplified Arabic"/>
          <w:rtl/>
          <w:lang w:eastAsia="en-US"/>
        </w:rPr>
        <w:t>27 ألف</w:t>
      </w:r>
      <w:r w:rsidR="00675D8C" w:rsidRPr="00521E2A">
        <w:rPr>
          <w:rFonts w:ascii="Simplified Arabic" w:eastAsia="Calibri" w:hAnsi="Simplified Arabic"/>
          <w:rtl/>
          <w:lang w:eastAsia="en-US"/>
        </w:rPr>
        <w:t xml:space="preserve"> بنسبة </w:t>
      </w:r>
      <w:proofErr w:type="spellStart"/>
      <w:r w:rsidR="00675D8C" w:rsidRPr="00521E2A">
        <w:rPr>
          <w:rFonts w:ascii="Simplified Arabic" w:eastAsia="Calibri" w:hAnsi="Simplified Arabic"/>
          <w:rtl/>
          <w:lang w:eastAsia="en-US"/>
        </w:rPr>
        <w:t>2.9%</w:t>
      </w:r>
      <w:proofErr w:type="spellEnd"/>
      <w:r w:rsidR="0093656B" w:rsidRPr="00521E2A">
        <w:rPr>
          <w:rFonts w:ascii="Simplified Arabic" w:eastAsia="Calibri" w:hAnsi="Simplified Arabic"/>
          <w:rtl/>
          <w:lang w:eastAsia="en-US"/>
        </w:rPr>
        <w:t xml:space="preserve"> من مجموع الذكور</w:t>
      </w:r>
      <w:r w:rsidR="00675D8C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74309C" w:rsidRPr="00521E2A">
        <w:rPr>
          <w:rFonts w:ascii="Simplified Arabic" w:eastAsia="Calibri" w:hAnsi="Simplified Arabic"/>
          <w:rtl/>
          <w:lang w:eastAsia="en-US"/>
        </w:rPr>
        <w:t xml:space="preserve">وحوالي 21 ألف </w:t>
      </w:r>
      <w:r w:rsidR="00D0416F" w:rsidRPr="00521E2A">
        <w:rPr>
          <w:rFonts w:ascii="Simplified Arabic" w:eastAsia="Calibri" w:hAnsi="Simplified Arabic"/>
          <w:rtl/>
          <w:lang w:eastAsia="en-US"/>
        </w:rPr>
        <w:t>للإناث</w:t>
      </w:r>
      <w:r w:rsidR="00675D8C" w:rsidRPr="00521E2A">
        <w:rPr>
          <w:rFonts w:ascii="Simplified Arabic" w:eastAsia="Calibri" w:hAnsi="Simplified Arabic"/>
          <w:rtl/>
          <w:lang w:eastAsia="en-US"/>
        </w:rPr>
        <w:t xml:space="preserve"> بنسبة </w:t>
      </w:r>
      <w:proofErr w:type="spellStart"/>
      <w:r w:rsidR="00675D8C" w:rsidRPr="00521E2A">
        <w:rPr>
          <w:rFonts w:ascii="Simplified Arabic" w:eastAsia="Calibri" w:hAnsi="Simplified Arabic"/>
          <w:rtl/>
          <w:lang w:eastAsia="en-US"/>
        </w:rPr>
        <w:t>2.3%</w:t>
      </w:r>
      <w:proofErr w:type="spellEnd"/>
      <w:r w:rsidR="0093656B" w:rsidRPr="00521E2A">
        <w:rPr>
          <w:rFonts w:ascii="Simplified Arabic" w:eastAsia="Calibri" w:hAnsi="Simplified Arabic"/>
          <w:rtl/>
          <w:lang w:eastAsia="en-US"/>
        </w:rPr>
        <w:t xml:space="preserve"> من مجموع الاناث </w:t>
      </w:r>
      <w:r w:rsidR="00D0416F" w:rsidRPr="00521E2A">
        <w:rPr>
          <w:rFonts w:ascii="Simplified Arabic" w:eastAsia="Calibri" w:hAnsi="Simplified Arabic"/>
          <w:rtl/>
          <w:lang w:eastAsia="en-US"/>
        </w:rPr>
        <w:t xml:space="preserve">في قطاع </w:t>
      </w:r>
      <w:proofErr w:type="spellStart"/>
      <w:r w:rsidR="00D0416F" w:rsidRPr="00521E2A">
        <w:rPr>
          <w:rFonts w:ascii="Simplified Arabic" w:eastAsia="Calibri" w:hAnsi="Simplified Arabic"/>
          <w:rtl/>
          <w:lang w:eastAsia="en-US"/>
        </w:rPr>
        <w:t>غزة</w:t>
      </w:r>
      <w:r w:rsidR="00675D8C"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="00D0416F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93656B" w:rsidRPr="00521E2A">
        <w:rPr>
          <w:rFonts w:ascii="Simplified Arabic" w:eastAsia="Calibri" w:hAnsi="Simplified Arabic"/>
          <w:rtl/>
          <w:lang w:eastAsia="en-US"/>
        </w:rPr>
        <w:t>و</w:t>
      </w:r>
      <w:r w:rsidR="00D7186C" w:rsidRPr="00521E2A">
        <w:rPr>
          <w:rFonts w:ascii="Simplified Arabic" w:eastAsia="Calibri" w:hAnsi="Simplified Arabic"/>
          <w:rtl/>
          <w:lang w:eastAsia="en-US"/>
        </w:rPr>
        <w:t xml:space="preserve">بلغ عدد الأفراد ذوي الإعاقة من الذكور حوالي </w:t>
      </w:r>
      <w:r w:rsidR="00675D8C" w:rsidRPr="00521E2A">
        <w:rPr>
          <w:rFonts w:ascii="Simplified Arabic" w:eastAsia="Calibri" w:hAnsi="Simplified Arabic"/>
          <w:rtl/>
          <w:lang w:eastAsia="en-US"/>
        </w:rPr>
        <w:t xml:space="preserve">24 ألف بنسبة </w:t>
      </w:r>
      <w:proofErr w:type="spellStart"/>
      <w:r w:rsidR="00675D8C" w:rsidRPr="00521E2A">
        <w:rPr>
          <w:rFonts w:ascii="Simplified Arabic" w:eastAsia="Calibri" w:hAnsi="Simplified Arabic"/>
          <w:rtl/>
          <w:lang w:eastAsia="en-US"/>
        </w:rPr>
        <w:t>1.9%</w:t>
      </w:r>
      <w:proofErr w:type="spellEnd"/>
      <w:r w:rsidR="0093656B" w:rsidRPr="00521E2A">
        <w:rPr>
          <w:rFonts w:ascii="Simplified Arabic" w:eastAsia="Calibri" w:hAnsi="Simplified Arabic"/>
          <w:rtl/>
          <w:lang w:eastAsia="en-US"/>
        </w:rPr>
        <w:t xml:space="preserve"> من مجموع الذكور</w:t>
      </w:r>
      <w:r w:rsidR="00675D8C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D7186C" w:rsidRPr="00521E2A">
        <w:rPr>
          <w:rFonts w:ascii="Simplified Arabic" w:eastAsia="Calibri" w:hAnsi="Simplified Arabic"/>
          <w:rtl/>
          <w:lang w:eastAsia="en-US"/>
        </w:rPr>
        <w:t xml:space="preserve">وحوالي 20 ألف </w:t>
      </w:r>
      <w:proofErr w:type="spellStart"/>
      <w:r w:rsidR="00D7186C" w:rsidRPr="00521E2A">
        <w:rPr>
          <w:rFonts w:ascii="Simplified Arabic" w:eastAsia="Calibri" w:hAnsi="Simplified Arabic"/>
          <w:rtl/>
          <w:lang w:eastAsia="en-US"/>
        </w:rPr>
        <w:t>للاناث</w:t>
      </w:r>
      <w:proofErr w:type="spellEnd"/>
      <w:r w:rsidR="00D7186C" w:rsidRPr="00521E2A">
        <w:rPr>
          <w:rFonts w:ascii="Simplified Arabic" w:eastAsia="Calibri" w:hAnsi="Simplified Arabic"/>
          <w:rtl/>
          <w:lang w:eastAsia="en-US"/>
        </w:rPr>
        <w:t xml:space="preserve"> بنسبة </w:t>
      </w:r>
      <w:proofErr w:type="spellStart"/>
      <w:r w:rsidR="00766F56" w:rsidRPr="00521E2A">
        <w:rPr>
          <w:rFonts w:ascii="Simplified Arabic" w:eastAsia="Calibri" w:hAnsi="Simplified Arabic"/>
          <w:rtl/>
          <w:lang w:eastAsia="en-US"/>
        </w:rPr>
        <w:t>1.6%</w:t>
      </w:r>
      <w:proofErr w:type="spellEnd"/>
      <w:r w:rsidR="0093656B" w:rsidRPr="00521E2A">
        <w:rPr>
          <w:rFonts w:ascii="Simplified Arabic" w:eastAsia="Calibri" w:hAnsi="Simplified Arabic"/>
          <w:rtl/>
          <w:lang w:eastAsia="en-US"/>
        </w:rPr>
        <w:t xml:space="preserve"> من مجموع الاناث في </w:t>
      </w:r>
      <w:r w:rsidR="005A55B8" w:rsidRPr="00521E2A">
        <w:rPr>
          <w:rFonts w:ascii="Simplified Arabic" w:eastAsia="Calibri" w:hAnsi="Simplified Arabic"/>
          <w:rtl/>
          <w:lang w:eastAsia="en-US"/>
        </w:rPr>
        <w:t>الضفة الغربية</w:t>
      </w:r>
      <w:r w:rsidR="00D7186C" w:rsidRPr="00521E2A">
        <w:rPr>
          <w:rFonts w:ascii="Simplified Arabic" w:eastAsia="Calibri" w:hAnsi="Simplified Arabic"/>
          <w:rtl/>
          <w:lang w:eastAsia="en-US"/>
        </w:rPr>
        <w:t xml:space="preserve">.  </w:t>
      </w:r>
    </w:p>
    <w:p w:rsidR="00D0416F" w:rsidRPr="00521E2A" w:rsidRDefault="00675D8C" w:rsidP="00D7186C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  <w:r w:rsidRPr="00521E2A">
        <w:rPr>
          <w:rFonts w:ascii="Simplified Arabic" w:eastAsia="Calibri" w:hAnsi="Simplified Arabic"/>
          <w:sz w:val="10"/>
          <w:szCs w:val="10"/>
          <w:rtl/>
          <w:lang w:eastAsia="en-US"/>
        </w:rPr>
        <w:t xml:space="preserve"> </w:t>
      </w:r>
    </w:p>
    <w:p w:rsidR="00D0416F" w:rsidRDefault="00662DF5" w:rsidP="00E3026F">
      <w:pPr>
        <w:pStyle w:val="Heading3"/>
        <w:jc w:val="center"/>
        <w:rPr>
          <w:rFonts w:ascii="Simplified Arabic" w:eastAsia="Calibri" w:hAnsi="Simplified Arabic" w:hint="cs"/>
          <w:sz w:val="26"/>
          <w:szCs w:val="26"/>
          <w:rtl/>
          <w:lang w:eastAsia="en-US"/>
        </w:rPr>
      </w:pPr>
      <w:r w:rsidRPr="00521E2A">
        <w:rPr>
          <w:rFonts w:ascii="Simplified Arabic" w:hAnsi="Simplified Arabic"/>
          <w:sz w:val="26"/>
          <w:szCs w:val="26"/>
          <w:rtl/>
        </w:rPr>
        <w:t>عدد</w:t>
      </w:r>
      <w:r w:rsidR="00D0416F" w:rsidRPr="00521E2A">
        <w:rPr>
          <w:rFonts w:ascii="Simplified Arabic" w:hAnsi="Simplified Arabic"/>
          <w:sz w:val="26"/>
          <w:szCs w:val="26"/>
          <w:rtl/>
        </w:rPr>
        <w:t xml:space="preserve"> الأفراد ذوي الاعاقة من مجمل السكان حسب المنطقة</w:t>
      </w:r>
      <w:r w:rsidR="002B761F" w:rsidRPr="00521E2A">
        <w:rPr>
          <w:rFonts w:ascii="Simplified Arabic" w:hAnsi="Simplified Arabic"/>
          <w:sz w:val="26"/>
          <w:szCs w:val="26"/>
          <w:rtl/>
        </w:rPr>
        <w:t xml:space="preserve"> </w:t>
      </w:r>
      <w:r w:rsidR="00D0416F" w:rsidRPr="00521E2A">
        <w:rPr>
          <w:rFonts w:ascii="Simplified Arabic" w:hAnsi="Simplified Arabic"/>
          <w:sz w:val="26"/>
          <w:szCs w:val="26"/>
          <w:rtl/>
        </w:rPr>
        <w:t xml:space="preserve"> </w:t>
      </w:r>
      <w:proofErr w:type="spellStart"/>
      <w:r w:rsidR="00D0416F" w:rsidRPr="00521E2A">
        <w:rPr>
          <w:rFonts w:ascii="Simplified Arabic" w:hAnsi="Simplified Arabic"/>
          <w:sz w:val="26"/>
          <w:szCs w:val="26"/>
          <w:rtl/>
        </w:rPr>
        <w:t>والجنس،</w:t>
      </w:r>
      <w:proofErr w:type="spellEnd"/>
      <w:r w:rsidR="00D0416F" w:rsidRPr="00521E2A">
        <w:rPr>
          <w:rFonts w:ascii="Simplified Arabic" w:hAnsi="Simplified Arabic"/>
          <w:sz w:val="26"/>
          <w:szCs w:val="26"/>
          <w:rtl/>
        </w:rPr>
        <w:t xml:space="preserve"> 2017</w:t>
      </w:r>
    </w:p>
    <w:p w:rsidR="00E3026F" w:rsidRPr="00E3026F" w:rsidRDefault="00E3026F" w:rsidP="00E3026F">
      <w:pPr>
        <w:jc w:val="center"/>
        <w:rPr>
          <w:sz w:val="10"/>
          <w:szCs w:val="10"/>
          <w:rtl/>
        </w:rPr>
      </w:pPr>
    </w:p>
    <w:tbl>
      <w:tblPr>
        <w:bidiVisual/>
        <w:tblW w:w="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975"/>
        <w:gridCol w:w="975"/>
        <w:gridCol w:w="1208"/>
      </w:tblGrid>
      <w:tr w:rsidR="001372EE" w:rsidRPr="00521E2A" w:rsidTr="00E3026F">
        <w:trPr>
          <w:trHeight w:val="341"/>
          <w:jc w:val="center"/>
        </w:trPr>
        <w:tc>
          <w:tcPr>
            <w:tcW w:w="1266" w:type="dxa"/>
            <w:vAlign w:val="center"/>
          </w:tcPr>
          <w:p w:rsidR="001372EE" w:rsidRPr="00521E2A" w:rsidRDefault="001372EE" w:rsidP="005D1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المنطقة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ذكور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إناث</w:t>
            </w:r>
          </w:p>
        </w:tc>
        <w:tc>
          <w:tcPr>
            <w:tcW w:w="1208" w:type="dxa"/>
            <w:vAlign w:val="center"/>
          </w:tcPr>
          <w:p w:rsidR="001372EE" w:rsidRPr="00521E2A" w:rsidRDefault="001372EE" w:rsidP="005D1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كلا الجنسين</w:t>
            </w:r>
          </w:p>
        </w:tc>
      </w:tr>
      <w:tr w:rsidR="001372EE" w:rsidRPr="00521E2A" w:rsidTr="00E3026F">
        <w:trPr>
          <w:trHeight w:val="341"/>
          <w:jc w:val="center"/>
        </w:trPr>
        <w:tc>
          <w:tcPr>
            <w:tcW w:w="1266" w:type="dxa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فلسطين</w:t>
            </w:r>
            <w:r w:rsidR="0074309C"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*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51,693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41,017</w:t>
            </w:r>
          </w:p>
        </w:tc>
        <w:tc>
          <w:tcPr>
            <w:tcW w:w="1208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92,710</w:t>
            </w:r>
          </w:p>
        </w:tc>
      </w:tr>
      <w:tr w:rsidR="001372EE" w:rsidRPr="00521E2A" w:rsidTr="00E3026F">
        <w:trPr>
          <w:trHeight w:val="701"/>
          <w:jc w:val="center"/>
        </w:trPr>
        <w:tc>
          <w:tcPr>
            <w:tcW w:w="1266" w:type="dxa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الضفة الغربية</w:t>
            </w:r>
            <w:r w:rsidR="0074309C"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*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24,440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20,130</w:t>
            </w:r>
          </w:p>
        </w:tc>
        <w:tc>
          <w:tcPr>
            <w:tcW w:w="1208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44,570</w:t>
            </w:r>
          </w:p>
        </w:tc>
      </w:tr>
      <w:tr w:rsidR="001372EE" w:rsidRPr="00521E2A" w:rsidTr="00E3026F">
        <w:trPr>
          <w:trHeight w:val="101"/>
          <w:jc w:val="center"/>
        </w:trPr>
        <w:tc>
          <w:tcPr>
            <w:tcW w:w="1266" w:type="dxa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قطاع غزة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27,253</w:t>
            </w:r>
          </w:p>
        </w:tc>
        <w:tc>
          <w:tcPr>
            <w:tcW w:w="975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20,887</w:t>
            </w:r>
          </w:p>
        </w:tc>
        <w:tc>
          <w:tcPr>
            <w:tcW w:w="1208" w:type="dxa"/>
            <w:vAlign w:val="center"/>
          </w:tcPr>
          <w:p w:rsidR="001372EE" w:rsidRPr="00521E2A" w:rsidRDefault="001372EE" w:rsidP="005D1AD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1E2A">
              <w:rPr>
                <w:rFonts w:asciiTheme="majorBidi" w:hAnsiTheme="majorBidi" w:cstheme="majorBidi"/>
                <w:sz w:val="24"/>
                <w:szCs w:val="24"/>
                <w:rtl/>
              </w:rPr>
              <w:t>48,140</w:t>
            </w:r>
          </w:p>
        </w:tc>
      </w:tr>
    </w:tbl>
    <w:p w:rsidR="001372EE" w:rsidRPr="00521E2A" w:rsidRDefault="0074309C" w:rsidP="00521E2A">
      <w:pPr>
        <w:rPr>
          <w:rFonts w:ascii="Simplified Arabic" w:hAnsi="Simplified Arabic" w:cs="Simplified Arabic"/>
          <w:sz w:val="24"/>
          <w:szCs w:val="24"/>
          <w:rtl/>
        </w:rPr>
      </w:pP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*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البيانات لا تشمل ذلك الجزء من محافظة القدس والذي ضمه الاحتلال الإسرائيلي إليه عنوة بعيد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إحتلاله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للضفة الغربية عام 1967</w:t>
      </w:r>
    </w:p>
    <w:p w:rsidR="001372EE" w:rsidRPr="00521E2A" w:rsidRDefault="001372EE" w:rsidP="001372EE">
      <w:pPr>
        <w:rPr>
          <w:rFonts w:ascii="Simplified Arabic" w:hAnsi="Simplified Arabic" w:cs="Simplified Arabic"/>
          <w:sz w:val="10"/>
          <w:szCs w:val="10"/>
          <w:rtl/>
        </w:rPr>
      </w:pPr>
    </w:p>
    <w:p w:rsidR="00D27FAB" w:rsidRPr="00521E2A" w:rsidRDefault="00D27FAB" w:rsidP="00861857">
      <w:pPr>
        <w:tabs>
          <w:tab w:val="left" w:pos="9071"/>
        </w:tabs>
        <w:ind w:left="141" w:right="720" w:hanging="141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 ملحوظ في معدلات الأمية بين النساء  </w:t>
      </w:r>
    </w:p>
    <w:p w:rsidR="00D27FAB" w:rsidRPr="00521E2A" w:rsidRDefault="00D27FAB" w:rsidP="009C12C0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 xml:space="preserve">رغم الانخفاض في معدلات الأمية لدى </w:t>
      </w:r>
      <w:r w:rsidR="009031BB" w:rsidRPr="00521E2A">
        <w:rPr>
          <w:rFonts w:ascii="Simplified Arabic" w:eastAsia="Calibri" w:hAnsi="Simplified Arabic"/>
          <w:rtl/>
          <w:lang w:eastAsia="en-US"/>
        </w:rPr>
        <w:t>النساء</w:t>
      </w:r>
      <w:r w:rsidRPr="00521E2A">
        <w:rPr>
          <w:rFonts w:ascii="Simplified Arabic" w:eastAsia="Calibri" w:hAnsi="Simplified Arabic"/>
          <w:rtl/>
          <w:lang w:eastAsia="en-US"/>
        </w:rPr>
        <w:t xml:space="preserve"> خلال العقد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الماضي،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إلا أنه ما زالت هناك فجوة لصالح </w:t>
      </w:r>
      <w:proofErr w:type="spellStart"/>
      <w:r w:rsidR="009031BB" w:rsidRPr="00521E2A">
        <w:rPr>
          <w:rFonts w:ascii="Simplified Arabic" w:eastAsia="Calibri" w:hAnsi="Simplified Arabic"/>
          <w:rtl/>
          <w:lang w:eastAsia="en-US"/>
        </w:rPr>
        <w:t>الرجال</w:t>
      </w:r>
      <w:r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حيث بلغ معدل الأمية لدى </w:t>
      </w:r>
      <w:r w:rsidR="009031BB" w:rsidRPr="00521E2A">
        <w:rPr>
          <w:rFonts w:ascii="Simplified Arabic" w:eastAsia="Calibri" w:hAnsi="Simplified Arabic"/>
          <w:rtl/>
          <w:lang w:eastAsia="en-US"/>
        </w:rPr>
        <w:t>النساء</w:t>
      </w:r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4%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مقابل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1%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9031BB" w:rsidRPr="00521E2A">
        <w:rPr>
          <w:rFonts w:ascii="Simplified Arabic" w:eastAsia="Calibri" w:hAnsi="Simplified Arabic"/>
          <w:rtl/>
          <w:lang w:eastAsia="en-US"/>
        </w:rPr>
        <w:t>للرجال</w:t>
      </w:r>
      <w:r w:rsidR="009615B4" w:rsidRPr="00521E2A">
        <w:rPr>
          <w:rFonts w:ascii="Simplified Arabic" w:eastAsia="Calibri" w:hAnsi="Simplified Arabic"/>
          <w:rtl/>
          <w:lang w:eastAsia="en-US"/>
        </w:rPr>
        <w:t xml:space="preserve"> حسب بيانات مسح القوى العاملة 2018</w:t>
      </w:r>
      <w:r w:rsidR="002D2519" w:rsidRPr="00521E2A">
        <w:rPr>
          <w:rFonts w:ascii="Simplified Arabic" w:eastAsia="Calibri" w:hAnsi="Simplified Arabic"/>
          <w:rtl/>
          <w:lang w:eastAsia="en-US"/>
        </w:rPr>
        <w:t>.</w:t>
      </w:r>
    </w:p>
    <w:p w:rsidR="00574F5A" w:rsidRPr="00521E2A" w:rsidRDefault="00574F5A" w:rsidP="009C12C0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</w:p>
    <w:p w:rsidR="005E6289" w:rsidRPr="00521E2A" w:rsidRDefault="001B05CF" w:rsidP="001B05CF">
      <w:pPr>
        <w:pStyle w:val="Heading3"/>
        <w:jc w:val="center"/>
        <w:rPr>
          <w:rFonts w:ascii="Simplified Arabic" w:hAnsi="Simplified Arabic"/>
          <w:sz w:val="26"/>
          <w:szCs w:val="26"/>
          <w:rtl/>
        </w:rPr>
      </w:pPr>
      <w:r w:rsidRPr="00521E2A">
        <w:rPr>
          <w:rFonts w:ascii="Simplified Arabic" w:hAnsi="Simplified Arabic"/>
          <w:sz w:val="26"/>
          <w:szCs w:val="26"/>
          <w:rtl/>
          <w:lang w:eastAsia="en-US"/>
        </w:rPr>
        <w:t xml:space="preserve">معدلات الأمية </w:t>
      </w:r>
      <w:r w:rsidR="005E6289" w:rsidRPr="00521E2A">
        <w:rPr>
          <w:rFonts w:ascii="Simplified Arabic" w:hAnsi="Simplified Arabic"/>
          <w:sz w:val="26"/>
          <w:szCs w:val="26"/>
          <w:rtl/>
        </w:rPr>
        <w:t xml:space="preserve">بين </w:t>
      </w:r>
      <w:r w:rsidR="001C730A" w:rsidRPr="00521E2A">
        <w:rPr>
          <w:rFonts w:ascii="Simplified Arabic" w:hAnsi="Simplified Arabic"/>
          <w:sz w:val="26"/>
          <w:szCs w:val="26"/>
          <w:rtl/>
        </w:rPr>
        <w:t>النساء والرجال</w:t>
      </w:r>
      <w:r w:rsidR="005E6289" w:rsidRPr="00521E2A">
        <w:rPr>
          <w:rFonts w:ascii="Simplified Arabic" w:hAnsi="Simplified Arabic"/>
          <w:sz w:val="26"/>
          <w:szCs w:val="26"/>
          <w:rtl/>
        </w:rPr>
        <w:t xml:space="preserve"> 15 سنة </w:t>
      </w:r>
      <w:r w:rsidR="00D27FAB" w:rsidRPr="00521E2A">
        <w:rPr>
          <w:rFonts w:ascii="Simplified Arabic" w:hAnsi="Simplified Arabic"/>
          <w:sz w:val="26"/>
          <w:szCs w:val="26"/>
          <w:rtl/>
        </w:rPr>
        <w:t xml:space="preserve"> </w:t>
      </w:r>
      <w:proofErr w:type="spellStart"/>
      <w:r w:rsidR="005E6289" w:rsidRPr="00521E2A">
        <w:rPr>
          <w:rFonts w:ascii="Simplified Arabic" w:hAnsi="Simplified Arabic"/>
          <w:sz w:val="26"/>
          <w:szCs w:val="26"/>
          <w:rtl/>
        </w:rPr>
        <w:t>فأكثر،</w:t>
      </w:r>
      <w:proofErr w:type="spellEnd"/>
      <w:r w:rsidR="001127DC" w:rsidRPr="00521E2A">
        <w:rPr>
          <w:rFonts w:ascii="Simplified Arabic" w:hAnsi="Simplified Arabic"/>
          <w:sz w:val="26"/>
          <w:szCs w:val="26"/>
          <w:rtl/>
        </w:rPr>
        <w:t xml:space="preserve"> </w:t>
      </w:r>
      <w:proofErr w:type="spellStart"/>
      <w:r w:rsidR="005E6289" w:rsidRPr="00521E2A">
        <w:rPr>
          <w:rFonts w:ascii="Simplified Arabic" w:hAnsi="Simplified Arabic"/>
          <w:sz w:val="26"/>
          <w:szCs w:val="26"/>
          <w:rtl/>
        </w:rPr>
        <w:t>200</w:t>
      </w:r>
      <w:r w:rsidR="00AD49BF" w:rsidRPr="00521E2A">
        <w:rPr>
          <w:rFonts w:ascii="Simplified Arabic" w:hAnsi="Simplified Arabic"/>
          <w:sz w:val="26"/>
          <w:szCs w:val="26"/>
          <w:rtl/>
        </w:rPr>
        <w:t>2</w:t>
      </w:r>
      <w:r w:rsidR="005E6289" w:rsidRPr="00521E2A">
        <w:rPr>
          <w:rFonts w:ascii="Simplified Arabic" w:hAnsi="Simplified Arabic"/>
          <w:sz w:val="26"/>
          <w:szCs w:val="26"/>
          <w:rtl/>
        </w:rPr>
        <w:t>-</w:t>
      </w:r>
      <w:proofErr w:type="spellEnd"/>
      <w:r w:rsidR="006312F5" w:rsidRPr="00521E2A">
        <w:rPr>
          <w:rFonts w:ascii="Simplified Arabic" w:hAnsi="Simplified Arabic"/>
          <w:sz w:val="26"/>
          <w:szCs w:val="26"/>
          <w:rtl/>
        </w:rPr>
        <w:t xml:space="preserve"> </w:t>
      </w:r>
      <w:r w:rsidR="00AD49BF" w:rsidRPr="00521E2A">
        <w:rPr>
          <w:rFonts w:ascii="Simplified Arabic" w:hAnsi="Simplified Arabic"/>
          <w:sz w:val="26"/>
          <w:szCs w:val="26"/>
          <w:rtl/>
        </w:rPr>
        <w:t>2018</w:t>
      </w:r>
    </w:p>
    <w:p w:rsidR="002B761F" w:rsidRPr="00521E2A" w:rsidRDefault="002B761F" w:rsidP="00E3026F">
      <w:pPr>
        <w:jc w:val="center"/>
        <w:rPr>
          <w:rFonts w:ascii="Simplified Arabic" w:hAnsi="Simplified Arabic" w:cs="Simplified Arabic"/>
          <w:sz w:val="24"/>
          <w:szCs w:val="24"/>
          <w:rtl/>
          <w:lang w:eastAsia="ar-SA"/>
        </w:rPr>
      </w:pPr>
      <w:r w:rsidRPr="00521E2A">
        <w:rPr>
          <w:rFonts w:ascii="Simplified Arabic" w:hAnsi="Simplified Arabic" w:cs="Simplified Arabic"/>
          <w:noProof/>
          <w:sz w:val="24"/>
          <w:szCs w:val="24"/>
          <w:rtl/>
        </w:rPr>
        <w:drawing>
          <wp:inline distT="0" distB="0" distL="0" distR="0">
            <wp:extent cx="3001645" cy="1953260"/>
            <wp:effectExtent l="19050" t="0" r="27305" b="8890"/>
            <wp:docPr id="8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026F" w:rsidRPr="00E3026F" w:rsidRDefault="00E3026F" w:rsidP="00C77E4F">
      <w:pPr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5B278D" w:rsidRPr="00E3026F" w:rsidRDefault="005B278D" w:rsidP="00C77E4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3026F">
        <w:rPr>
          <w:rFonts w:ascii="Simplified Arabic" w:hAnsi="Simplified Arabic" w:cs="Simplified Arabic"/>
          <w:b/>
          <w:bCs/>
          <w:sz w:val="26"/>
          <w:szCs w:val="26"/>
          <w:rtl/>
        </w:rPr>
        <w:t>معدلات التحاق مرتفعة للإناث</w:t>
      </w:r>
      <w:r w:rsidR="00C77E4F" w:rsidRPr="00E302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</w:t>
      </w:r>
      <w:r w:rsidRPr="00E302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التعليم الثانوي والتعليم العالي </w:t>
      </w:r>
    </w:p>
    <w:p w:rsidR="00C73E98" w:rsidRPr="00521E2A" w:rsidRDefault="005B278D" w:rsidP="00390723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بلغت </w:t>
      </w:r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>معدلات الالتحاق الإجمالية للذكور في المرحلة الثانوية</w:t>
      </w:r>
      <w:r w:rsidRPr="00521E2A">
        <w:rPr>
          <w:rStyle w:val="FootnoteReference"/>
          <w:rFonts w:ascii="Simplified Arabic" w:hAnsi="Simplified Arabic" w:cs="Simplified Arabic"/>
          <w:sz w:val="24"/>
          <w:szCs w:val="24"/>
          <w:rtl/>
        </w:rPr>
        <w:footnoteReference w:id="3"/>
      </w:r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حوالي </w:t>
      </w:r>
      <w:proofErr w:type="spellStart"/>
      <w:r w:rsidR="00976187" w:rsidRPr="00521E2A">
        <w:rPr>
          <w:rFonts w:ascii="Simplified Arabic" w:hAnsi="Simplified Arabic" w:cs="Simplified Arabic"/>
          <w:sz w:val="24"/>
          <w:szCs w:val="24"/>
          <w:rtl/>
        </w:rPr>
        <w:t>7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1</w:t>
      </w:r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>91%</w:t>
      </w:r>
      <w:proofErr w:type="spellEnd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 xml:space="preserve"> للإناث.</w:t>
      </w:r>
      <w:r w:rsidR="00096314" w:rsidRPr="00521E2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390723" w:rsidRPr="00521E2A">
        <w:rPr>
          <w:rFonts w:ascii="Simplified Arabic" w:hAnsi="Simplified Arabic" w:cs="Simplified Arabic"/>
          <w:sz w:val="24"/>
          <w:szCs w:val="24"/>
          <w:rtl/>
        </w:rPr>
        <w:t>كما</w:t>
      </w:r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 xml:space="preserve"> بلغت نسبة الطالبات الملتحقات في مؤسسات التعليم العالي الفلسطينية </w:t>
      </w:r>
      <w:proofErr w:type="spellStart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>60%</w:t>
      </w:r>
      <w:proofErr w:type="spellEnd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مجموع الطلبة الملتحقين في مؤسسات التعليم </w:t>
      </w:r>
      <w:proofErr w:type="spellStart"/>
      <w:r w:rsidR="00C73E98" w:rsidRPr="00521E2A">
        <w:rPr>
          <w:rFonts w:ascii="Simplified Arabic" w:hAnsi="Simplified Arabic" w:cs="Simplified Arabic"/>
          <w:sz w:val="24"/>
          <w:szCs w:val="24"/>
          <w:rtl/>
        </w:rPr>
        <w:t>العالي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وذلك وفق بيانات وزارة التربية والتعليم العالي للعام الدراسي 2017/2018.</w:t>
      </w:r>
    </w:p>
    <w:p w:rsidR="00861857" w:rsidRDefault="00861857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Default="00E3026F" w:rsidP="009D26D2">
      <w:pPr>
        <w:pStyle w:val="BodyText"/>
        <w:jc w:val="both"/>
        <w:rPr>
          <w:rFonts w:ascii="Simplified Arabic" w:eastAsia="Calibri" w:hAnsi="Simplified Arabic" w:hint="cs"/>
          <w:sz w:val="10"/>
          <w:szCs w:val="10"/>
          <w:rtl/>
          <w:lang w:eastAsia="en-US"/>
        </w:rPr>
      </w:pPr>
    </w:p>
    <w:p w:rsidR="00E3026F" w:rsidRPr="00521E2A" w:rsidRDefault="00E3026F" w:rsidP="009D26D2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</w:p>
    <w:p w:rsidR="005B278D" w:rsidRPr="00521E2A" w:rsidRDefault="005B278D" w:rsidP="00252939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فجوة </w:t>
      </w:r>
      <w:r w:rsidR="00C77E4F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واضحة 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نسبة المشاركة في </w:t>
      </w:r>
      <w:r w:rsidR="00252939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القوى العاملة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والأجر اليومي بين النساء والرجال </w:t>
      </w:r>
    </w:p>
    <w:p w:rsidR="005B278D" w:rsidRDefault="00252939" w:rsidP="00E15137">
      <w:pPr>
        <w:pStyle w:val="BodyText"/>
        <w:jc w:val="both"/>
        <w:rPr>
          <w:rFonts w:ascii="Simplified Arabic" w:eastAsia="Calibri" w:hAnsi="Simplified Arabic" w:hint="cs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>رغم ارتفاع مشاركة النساء في القوى العاملة خلال السنوات السابقة ولكنها لا تزال منخفضة جدا</w:t>
      </w:r>
      <w:r w:rsidR="003F1C19" w:rsidRPr="00521E2A">
        <w:rPr>
          <w:rFonts w:ascii="Simplified Arabic" w:eastAsia="Calibri" w:hAnsi="Simplified Arabic"/>
          <w:rtl/>
          <w:lang w:eastAsia="en-US"/>
        </w:rPr>
        <w:t>ً</w:t>
      </w:r>
      <w:r w:rsidRPr="00521E2A">
        <w:rPr>
          <w:rFonts w:ascii="Simplified Arabic" w:eastAsia="Calibri" w:hAnsi="Simplified Arabic"/>
          <w:rtl/>
          <w:lang w:eastAsia="en-US"/>
        </w:rPr>
        <w:t xml:space="preserve"> مقارنة مع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الرجال،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فقد 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بلغت نسبة مشاركة النساء في القوى العاملة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21%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من مجمل </w:t>
      </w:r>
      <w:r w:rsidRPr="00521E2A">
        <w:rPr>
          <w:rFonts w:ascii="Simplified Arabic" w:eastAsia="Calibri" w:hAnsi="Simplified Arabic"/>
          <w:rtl/>
          <w:lang w:eastAsia="en-US"/>
        </w:rPr>
        <w:t>النساء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في سن العمل في العام </w:t>
      </w:r>
      <w:r w:rsidR="005B278D" w:rsidRPr="00521E2A">
        <w:rPr>
          <w:rFonts w:ascii="Simplified Arabic" w:eastAsia="Calibri" w:hAnsi="Simplified Arabic"/>
          <w:lang w:eastAsia="en-US"/>
        </w:rPr>
        <w:t>2018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مقابل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10%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في العام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2001،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وبلغت نسبة مشاركة </w:t>
      </w:r>
      <w:r w:rsidR="00E15137" w:rsidRPr="00521E2A">
        <w:rPr>
          <w:rFonts w:ascii="Simplified Arabic" w:eastAsia="Calibri" w:hAnsi="Simplified Arabic"/>
          <w:rtl/>
          <w:lang w:eastAsia="en-US"/>
        </w:rPr>
        <w:t>الرجال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72%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للعام 2018.  مع وجود فجوة </w:t>
      </w:r>
      <w:r w:rsidRPr="00521E2A">
        <w:rPr>
          <w:rFonts w:ascii="Simplified Arabic" w:eastAsia="Calibri" w:hAnsi="Simplified Arabic"/>
          <w:rtl/>
          <w:lang w:eastAsia="en-US"/>
        </w:rPr>
        <w:t xml:space="preserve">واضحة 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في معدل الأجر اليومي بين </w:t>
      </w:r>
      <w:r w:rsidRPr="00521E2A">
        <w:rPr>
          <w:rFonts w:ascii="Simplified Arabic" w:eastAsia="Calibri" w:hAnsi="Simplified Arabic"/>
          <w:rtl/>
          <w:lang w:eastAsia="en-US"/>
        </w:rPr>
        <w:t xml:space="preserve">النساء والرجال 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إذ بلغ معدل الأجر اليومي </w:t>
      </w:r>
      <w:r w:rsidRPr="00521E2A">
        <w:rPr>
          <w:rFonts w:ascii="Simplified Arabic" w:eastAsia="Calibri" w:hAnsi="Simplified Arabic"/>
          <w:rtl/>
          <w:lang w:eastAsia="en-US"/>
        </w:rPr>
        <w:t>للنساء</w:t>
      </w:r>
      <w:r w:rsidR="005B278D" w:rsidRPr="00521E2A">
        <w:rPr>
          <w:rFonts w:ascii="Simplified Arabic" w:eastAsia="Calibri" w:hAnsi="Simplified Arabic"/>
          <w:rtl/>
          <w:lang w:eastAsia="en-US"/>
        </w:rPr>
        <w:t xml:space="preserve"> 92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شيقل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مقابل 129 </w:t>
      </w:r>
      <w:proofErr w:type="spellStart"/>
      <w:r w:rsidR="005B278D" w:rsidRPr="00521E2A">
        <w:rPr>
          <w:rFonts w:ascii="Simplified Arabic" w:eastAsia="Calibri" w:hAnsi="Simplified Arabic"/>
          <w:rtl/>
          <w:lang w:eastAsia="en-US"/>
        </w:rPr>
        <w:t>شيقل</w:t>
      </w:r>
      <w:proofErr w:type="spellEnd"/>
      <w:r w:rsidR="005B278D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Pr="00521E2A">
        <w:rPr>
          <w:rFonts w:ascii="Simplified Arabic" w:eastAsia="Calibri" w:hAnsi="Simplified Arabic"/>
          <w:rtl/>
          <w:lang w:eastAsia="en-US"/>
        </w:rPr>
        <w:t>للرجال</w:t>
      </w:r>
      <w:r w:rsidR="005B278D" w:rsidRPr="00521E2A">
        <w:rPr>
          <w:rFonts w:ascii="Simplified Arabic" w:eastAsia="Calibri" w:hAnsi="Simplified Arabic"/>
          <w:rtl/>
          <w:lang w:eastAsia="en-US"/>
        </w:rPr>
        <w:t>.</w:t>
      </w:r>
    </w:p>
    <w:p w:rsidR="00521E2A" w:rsidRPr="00521E2A" w:rsidRDefault="00521E2A" w:rsidP="00E15137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</w:p>
    <w:p w:rsidR="00521E2A" w:rsidRDefault="00252939" w:rsidP="00E703BF">
      <w:pPr>
        <w:pStyle w:val="Heading3"/>
        <w:jc w:val="center"/>
        <w:rPr>
          <w:rFonts w:ascii="Simplified Arabic" w:hAnsi="Simplified Arabic" w:hint="cs"/>
          <w:sz w:val="26"/>
          <w:szCs w:val="26"/>
          <w:rtl/>
        </w:rPr>
      </w:pPr>
      <w:r w:rsidRPr="00521E2A">
        <w:rPr>
          <w:rFonts w:ascii="Simplified Arabic" w:hAnsi="Simplified Arabic"/>
          <w:sz w:val="26"/>
          <w:szCs w:val="26"/>
          <w:rtl/>
        </w:rPr>
        <w:t xml:space="preserve">نسبة </w:t>
      </w:r>
      <w:r w:rsidR="00E703BF" w:rsidRPr="00521E2A">
        <w:rPr>
          <w:rFonts w:ascii="Simplified Arabic" w:hAnsi="Simplified Arabic"/>
          <w:sz w:val="26"/>
          <w:szCs w:val="26"/>
          <w:rtl/>
        </w:rPr>
        <w:t>ال</w:t>
      </w:r>
      <w:r w:rsidR="00A51113" w:rsidRPr="00521E2A">
        <w:rPr>
          <w:rFonts w:ascii="Simplified Arabic" w:hAnsi="Simplified Arabic"/>
          <w:sz w:val="26"/>
          <w:szCs w:val="26"/>
          <w:rtl/>
        </w:rPr>
        <w:t>مشاركة</w:t>
      </w:r>
      <w:r w:rsidR="00E703BF" w:rsidRPr="00521E2A">
        <w:rPr>
          <w:rFonts w:ascii="Simplified Arabic" w:hAnsi="Simplified Arabic"/>
          <w:sz w:val="26"/>
          <w:szCs w:val="26"/>
          <w:rtl/>
        </w:rPr>
        <w:t xml:space="preserve"> في القوى العاملة</w:t>
      </w:r>
      <w:r w:rsidR="00A51113" w:rsidRPr="00521E2A">
        <w:rPr>
          <w:rFonts w:ascii="Simplified Arabic" w:hAnsi="Simplified Arabic"/>
          <w:sz w:val="26"/>
          <w:szCs w:val="26"/>
          <w:rtl/>
        </w:rPr>
        <w:t xml:space="preserve"> </w:t>
      </w:r>
      <w:r w:rsidR="00E703BF" w:rsidRPr="00521E2A">
        <w:rPr>
          <w:rFonts w:ascii="Simplified Arabic" w:hAnsi="Simplified Arabic"/>
          <w:sz w:val="26"/>
          <w:szCs w:val="26"/>
          <w:rtl/>
        </w:rPr>
        <w:t>ل</w:t>
      </w:r>
      <w:r w:rsidRPr="00521E2A">
        <w:rPr>
          <w:rFonts w:ascii="Simplified Arabic" w:hAnsi="Simplified Arabic"/>
          <w:sz w:val="26"/>
          <w:szCs w:val="26"/>
          <w:rtl/>
        </w:rPr>
        <w:t>لنساء والرجال</w:t>
      </w:r>
      <w:r w:rsidR="00E703BF" w:rsidRPr="00521E2A">
        <w:rPr>
          <w:rFonts w:ascii="Simplified Arabic" w:hAnsi="Simplified Arabic"/>
          <w:sz w:val="26"/>
          <w:szCs w:val="26"/>
          <w:rtl/>
        </w:rPr>
        <w:t xml:space="preserve"> </w:t>
      </w:r>
    </w:p>
    <w:p w:rsidR="00A51113" w:rsidRPr="00521E2A" w:rsidRDefault="00E703BF" w:rsidP="00521E2A">
      <w:pPr>
        <w:pStyle w:val="Heading3"/>
        <w:jc w:val="center"/>
        <w:rPr>
          <w:rFonts w:ascii="Simplified Arabic" w:hAnsi="Simplified Arabic"/>
          <w:sz w:val="26"/>
          <w:szCs w:val="26"/>
          <w:rtl/>
        </w:rPr>
      </w:pPr>
      <w:r w:rsidRPr="00521E2A">
        <w:rPr>
          <w:rFonts w:ascii="Simplified Arabic" w:hAnsi="Simplified Arabic"/>
          <w:sz w:val="26"/>
          <w:szCs w:val="26"/>
          <w:rtl/>
        </w:rPr>
        <w:t>(</w:t>
      </w:r>
      <w:r w:rsidR="00A51113" w:rsidRPr="00521E2A">
        <w:rPr>
          <w:rFonts w:ascii="Simplified Arabic" w:hAnsi="Simplified Arabic"/>
          <w:sz w:val="26"/>
          <w:szCs w:val="26"/>
          <w:rtl/>
        </w:rPr>
        <w:t>15 سنة</w:t>
      </w:r>
      <w:r w:rsidR="00521E2A">
        <w:rPr>
          <w:rFonts w:ascii="Simplified Arabic" w:hAnsi="Simplified Arabic" w:hint="cs"/>
          <w:sz w:val="26"/>
          <w:szCs w:val="26"/>
          <w:rtl/>
        </w:rPr>
        <w:t xml:space="preserve"> </w:t>
      </w:r>
      <w:r w:rsidR="00A51113" w:rsidRPr="00521E2A">
        <w:rPr>
          <w:rFonts w:ascii="Simplified Arabic" w:hAnsi="Simplified Arabic"/>
          <w:sz w:val="26"/>
          <w:szCs w:val="26"/>
          <w:rtl/>
        </w:rPr>
        <w:t>فأكثر</w:t>
      </w:r>
      <w:proofErr w:type="spellStart"/>
      <w:r w:rsidRPr="00521E2A">
        <w:rPr>
          <w:rFonts w:ascii="Simplified Arabic" w:hAnsi="Simplified Arabic"/>
          <w:sz w:val="26"/>
          <w:szCs w:val="26"/>
          <w:rtl/>
        </w:rPr>
        <w:t>)</w:t>
      </w:r>
      <w:proofErr w:type="spellEnd"/>
      <w:r w:rsidRPr="00521E2A">
        <w:rPr>
          <w:rFonts w:ascii="Simplified Arabic" w:hAnsi="Simplified Arabic"/>
          <w:sz w:val="26"/>
          <w:szCs w:val="26"/>
          <w:rtl/>
        </w:rPr>
        <w:t xml:space="preserve"> في </w:t>
      </w:r>
      <w:proofErr w:type="spellStart"/>
      <w:r w:rsidRPr="00521E2A">
        <w:rPr>
          <w:rFonts w:ascii="Simplified Arabic" w:hAnsi="Simplified Arabic"/>
          <w:sz w:val="26"/>
          <w:szCs w:val="26"/>
          <w:rtl/>
        </w:rPr>
        <w:t>فلسطين</w:t>
      </w:r>
      <w:r w:rsidR="00A51113" w:rsidRPr="00521E2A">
        <w:rPr>
          <w:rFonts w:ascii="Simplified Arabic" w:hAnsi="Simplified Arabic"/>
          <w:sz w:val="26"/>
          <w:szCs w:val="26"/>
          <w:rtl/>
        </w:rPr>
        <w:t>،</w:t>
      </w:r>
      <w:proofErr w:type="spellEnd"/>
      <w:r w:rsidR="00A51113" w:rsidRPr="00521E2A">
        <w:rPr>
          <w:rFonts w:ascii="Simplified Arabic" w:hAnsi="Simplified Arabic"/>
          <w:sz w:val="26"/>
          <w:szCs w:val="26"/>
          <w:rtl/>
        </w:rPr>
        <w:t xml:space="preserve"> </w:t>
      </w:r>
      <w:proofErr w:type="spellStart"/>
      <w:r w:rsidR="00A51113" w:rsidRPr="00521E2A">
        <w:rPr>
          <w:rFonts w:ascii="Simplified Arabic" w:hAnsi="Simplified Arabic"/>
          <w:sz w:val="26"/>
          <w:szCs w:val="26"/>
          <w:rtl/>
        </w:rPr>
        <w:t>2001-</w:t>
      </w:r>
      <w:proofErr w:type="spellEnd"/>
      <w:r w:rsidR="00A51113" w:rsidRPr="00521E2A">
        <w:rPr>
          <w:rFonts w:ascii="Simplified Arabic" w:hAnsi="Simplified Arabic"/>
          <w:sz w:val="26"/>
          <w:szCs w:val="26"/>
        </w:rPr>
        <w:t xml:space="preserve"> </w:t>
      </w:r>
      <w:r w:rsidR="00A51113" w:rsidRPr="00521E2A">
        <w:rPr>
          <w:rFonts w:ascii="Simplified Arabic" w:hAnsi="Simplified Arabic"/>
          <w:sz w:val="26"/>
          <w:szCs w:val="26"/>
          <w:rtl/>
        </w:rPr>
        <w:t>2018</w:t>
      </w:r>
    </w:p>
    <w:tbl>
      <w:tblPr>
        <w:tblStyle w:val="TableGrid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42"/>
      </w:tblGrid>
      <w:tr w:rsidR="00730389" w:rsidRPr="00521E2A" w:rsidTr="00E3026F">
        <w:trPr>
          <w:trHeight w:val="3045"/>
          <w:jc w:val="center"/>
        </w:trPr>
        <w:tc>
          <w:tcPr>
            <w:tcW w:w="4742" w:type="dxa"/>
          </w:tcPr>
          <w:p w:rsidR="00730389" w:rsidRPr="00521E2A" w:rsidRDefault="00730389" w:rsidP="00730389">
            <w:pPr>
              <w:rPr>
                <w:rFonts w:ascii="Simplified Arabic" w:hAnsi="Simplified Arabic" w:cs="Simplified Arabic"/>
                <w:sz w:val="24"/>
                <w:szCs w:val="24"/>
                <w:rtl/>
                <w:lang w:eastAsia="ar-SA"/>
              </w:rPr>
            </w:pPr>
            <w:r w:rsidRPr="00521E2A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762250" cy="1800225"/>
                  <wp:effectExtent l="0" t="0" r="0" b="0"/>
                  <wp:docPr id="9" name="Char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54DD3" w:rsidRPr="00521E2A" w:rsidRDefault="00854DD3" w:rsidP="003F1C19">
      <w:pPr>
        <w:tabs>
          <w:tab w:val="left" w:pos="9071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B278D" w:rsidRPr="00521E2A" w:rsidRDefault="00252939" w:rsidP="000172EC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تتعمق فجوة المشاركة في القوى العاملة</w:t>
      </w:r>
      <w:r w:rsidR="000172EC" w:rsidRPr="00521E2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0172EC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بين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172EC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E703BF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لنساء والرجال</w:t>
      </w:r>
      <w:r w:rsidR="005B278D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</w:t>
      </w:r>
      <w:r w:rsidR="005B278D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ذوي ال</w:t>
      </w:r>
      <w:r w:rsidR="003F1C19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إ</w:t>
      </w:r>
      <w:r w:rsidR="005B278D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عاقة</w:t>
      </w:r>
    </w:p>
    <w:p w:rsidR="005B278D" w:rsidRPr="00521E2A" w:rsidRDefault="005B278D" w:rsidP="00E15137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 xml:space="preserve">أشارت بيانات مسح القوى العاملة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2018،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أن نسبة مشاركة </w:t>
      </w:r>
      <w:r w:rsidR="00252939" w:rsidRPr="00521E2A">
        <w:rPr>
          <w:rFonts w:ascii="Simplified Arabic" w:eastAsia="Calibri" w:hAnsi="Simplified Arabic"/>
          <w:rtl/>
          <w:lang w:eastAsia="en-US"/>
        </w:rPr>
        <w:t>النساء</w:t>
      </w:r>
      <w:r w:rsidRPr="00521E2A">
        <w:rPr>
          <w:rFonts w:ascii="Simplified Arabic" w:eastAsia="Calibri" w:hAnsi="Simplified Arabic"/>
          <w:rtl/>
          <w:lang w:eastAsia="en-US"/>
        </w:rPr>
        <w:t xml:space="preserve"> ذوات ال</w:t>
      </w:r>
      <w:r w:rsidR="00E15137" w:rsidRPr="00521E2A">
        <w:rPr>
          <w:rFonts w:ascii="Simplified Arabic" w:eastAsia="Calibri" w:hAnsi="Simplified Arabic"/>
          <w:rtl/>
          <w:lang w:eastAsia="en-US"/>
        </w:rPr>
        <w:t>إ</w:t>
      </w:r>
      <w:r w:rsidRPr="00521E2A">
        <w:rPr>
          <w:rFonts w:ascii="Simplified Arabic" w:eastAsia="Calibri" w:hAnsi="Simplified Arabic"/>
          <w:rtl/>
          <w:lang w:eastAsia="en-US"/>
        </w:rPr>
        <w:t>عاقة في القوى العاملة في فلسطين</w:t>
      </w:r>
      <w:r w:rsidR="00252939" w:rsidRPr="00521E2A">
        <w:rPr>
          <w:rFonts w:ascii="Simplified Arabic" w:eastAsia="Calibri" w:hAnsi="Simplified Arabic"/>
          <w:rtl/>
          <w:lang w:eastAsia="en-US"/>
        </w:rPr>
        <w:t xml:space="preserve"> بلغت</w:t>
      </w:r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4%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252939" w:rsidRPr="00521E2A">
        <w:rPr>
          <w:rFonts w:ascii="Simplified Arabic" w:eastAsia="Calibri" w:hAnsi="Simplified Arabic"/>
          <w:rtl/>
          <w:lang w:eastAsia="en-US"/>
        </w:rPr>
        <w:t xml:space="preserve">فقط </w:t>
      </w:r>
      <w:r w:rsidRPr="00521E2A">
        <w:rPr>
          <w:rFonts w:ascii="Simplified Arabic" w:eastAsia="Calibri" w:hAnsi="Simplified Arabic"/>
          <w:rtl/>
          <w:lang w:eastAsia="en-US"/>
        </w:rPr>
        <w:t xml:space="preserve">من </w:t>
      </w:r>
      <w:r w:rsidR="00E15137" w:rsidRPr="00521E2A">
        <w:rPr>
          <w:rFonts w:ascii="Simplified Arabic" w:eastAsia="Calibri" w:hAnsi="Simplified Arabic"/>
          <w:rtl/>
          <w:lang w:eastAsia="en-US"/>
        </w:rPr>
        <w:t>إ</w:t>
      </w:r>
      <w:r w:rsidRPr="00521E2A">
        <w:rPr>
          <w:rFonts w:ascii="Simplified Arabic" w:eastAsia="Calibri" w:hAnsi="Simplified Arabic"/>
          <w:rtl/>
          <w:lang w:eastAsia="en-US"/>
        </w:rPr>
        <w:t xml:space="preserve">جمالي </w:t>
      </w:r>
      <w:r w:rsidR="00252939" w:rsidRPr="00521E2A">
        <w:rPr>
          <w:rFonts w:ascii="Simplified Arabic" w:eastAsia="Calibri" w:hAnsi="Simplified Arabic"/>
          <w:rtl/>
          <w:lang w:eastAsia="en-US"/>
        </w:rPr>
        <w:t>النساء</w:t>
      </w:r>
      <w:r w:rsidRPr="00521E2A">
        <w:rPr>
          <w:rFonts w:ascii="Simplified Arabic" w:eastAsia="Calibri" w:hAnsi="Simplified Arabic"/>
          <w:rtl/>
          <w:lang w:eastAsia="en-US"/>
        </w:rPr>
        <w:t xml:space="preserve"> ذوات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الإعاقة</w:t>
      </w:r>
      <w:r w:rsidR="00E703BF"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مقابل </w:t>
      </w:r>
      <w:proofErr w:type="spellStart"/>
      <w:r w:rsidRPr="00521E2A">
        <w:rPr>
          <w:rFonts w:ascii="Simplified Arabic" w:eastAsia="Calibri" w:hAnsi="Simplified Arabic"/>
          <w:rtl/>
          <w:lang w:eastAsia="en-US"/>
        </w:rPr>
        <w:t>21%</w:t>
      </w:r>
      <w:proofErr w:type="spellEnd"/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252939" w:rsidRPr="00521E2A">
        <w:rPr>
          <w:rFonts w:ascii="Simplified Arabic" w:eastAsia="Calibri" w:hAnsi="Simplified Arabic"/>
          <w:rtl/>
          <w:lang w:eastAsia="en-US"/>
        </w:rPr>
        <w:t xml:space="preserve">للرجال </w:t>
      </w:r>
      <w:r w:rsidRPr="00521E2A">
        <w:rPr>
          <w:rFonts w:ascii="Simplified Arabic" w:eastAsia="Calibri" w:hAnsi="Simplified Arabic"/>
          <w:rtl/>
          <w:lang w:eastAsia="en-US"/>
        </w:rPr>
        <w:t xml:space="preserve">من </w:t>
      </w:r>
      <w:r w:rsidR="00E15137" w:rsidRPr="00521E2A">
        <w:rPr>
          <w:rFonts w:ascii="Simplified Arabic" w:eastAsia="Calibri" w:hAnsi="Simplified Arabic"/>
          <w:rtl/>
          <w:lang w:eastAsia="en-US"/>
        </w:rPr>
        <w:t>إ</w:t>
      </w:r>
      <w:r w:rsidRPr="00521E2A">
        <w:rPr>
          <w:rFonts w:ascii="Simplified Arabic" w:eastAsia="Calibri" w:hAnsi="Simplified Arabic"/>
          <w:rtl/>
          <w:lang w:eastAsia="en-US"/>
        </w:rPr>
        <w:t xml:space="preserve">جمالي </w:t>
      </w:r>
      <w:r w:rsidR="00252939" w:rsidRPr="00521E2A">
        <w:rPr>
          <w:rFonts w:ascii="Simplified Arabic" w:eastAsia="Calibri" w:hAnsi="Simplified Arabic"/>
          <w:rtl/>
          <w:lang w:eastAsia="en-US"/>
        </w:rPr>
        <w:t>الرجال</w:t>
      </w:r>
      <w:r w:rsidRPr="00521E2A">
        <w:rPr>
          <w:rFonts w:ascii="Simplified Arabic" w:eastAsia="Calibri" w:hAnsi="Simplified Arabic"/>
          <w:rtl/>
          <w:lang w:eastAsia="en-US"/>
        </w:rPr>
        <w:t xml:space="preserve"> ذوي ال</w:t>
      </w:r>
      <w:r w:rsidR="00E15137" w:rsidRPr="00521E2A">
        <w:rPr>
          <w:rFonts w:ascii="Simplified Arabic" w:eastAsia="Calibri" w:hAnsi="Simplified Arabic"/>
          <w:rtl/>
          <w:lang w:eastAsia="en-US"/>
        </w:rPr>
        <w:t>إ</w:t>
      </w:r>
      <w:r w:rsidRPr="00521E2A">
        <w:rPr>
          <w:rFonts w:ascii="Simplified Arabic" w:eastAsia="Calibri" w:hAnsi="Simplified Arabic"/>
          <w:rtl/>
          <w:lang w:eastAsia="en-US"/>
        </w:rPr>
        <w:t>عاقة</w:t>
      </w:r>
      <w:r w:rsidR="00252939" w:rsidRPr="00521E2A">
        <w:rPr>
          <w:rFonts w:ascii="Simplified Arabic" w:eastAsia="Calibri" w:hAnsi="Simplified Arabic"/>
          <w:rtl/>
          <w:lang w:eastAsia="en-US"/>
        </w:rPr>
        <w:t>.</w:t>
      </w:r>
    </w:p>
    <w:p w:rsidR="00574F5A" w:rsidRPr="00521E2A" w:rsidRDefault="00574F5A" w:rsidP="005B278D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B278D" w:rsidRDefault="005B278D" w:rsidP="00E3026F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 xml:space="preserve">نسبة المشاركة في القوى العاملة </w:t>
      </w:r>
      <w:r w:rsidR="00252939"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للنساء والرجال</w:t>
      </w:r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 xml:space="preserve"> ذوي الاعاقة </w:t>
      </w:r>
      <w:r w:rsidR="00E703BF"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(</w:t>
      </w:r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15 سنة فأكثر</w:t>
      </w:r>
      <w:proofErr w:type="spellStart"/>
      <w:r w:rsidR="00E703BF"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)</w:t>
      </w:r>
      <w:proofErr w:type="spellEnd"/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 xml:space="preserve"> </w:t>
      </w:r>
      <w:r w:rsidR="00E703BF"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 xml:space="preserve">حسب </w:t>
      </w:r>
      <w:proofErr w:type="spellStart"/>
      <w:r w:rsidR="00E703BF"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المنطقة</w:t>
      </w:r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>،</w:t>
      </w:r>
      <w:proofErr w:type="spellEnd"/>
      <w:r w:rsidRPr="00521E2A"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eastAsia="ar-SA"/>
        </w:rPr>
        <w:t xml:space="preserve"> 2018</w:t>
      </w:r>
    </w:p>
    <w:p w:rsidR="00E3026F" w:rsidRPr="00E3026F" w:rsidRDefault="00E3026F" w:rsidP="00E3026F">
      <w:pPr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2975" w:type="dxa"/>
        <w:tblLayout w:type="fixed"/>
        <w:tblLook w:val="04A0"/>
      </w:tblPr>
      <w:tblGrid>
        <w:gridCol w:w="4536"/>
      </w:tblGrid>
      <w:tr w:rsidR="005B278D" w:rsidRPr="00521E2A" w:rsidTr="00E3026F">
        <w:tc>
          <w:tcPr>
            <w:tcW w:w="4536" w:type="dxa"/>
          </w:tcPr>
          <w:p w:rsidR="005B278D" w:rsidRPr="00521E2A" w:rsidRDefault="005B278D" w:rsidP="00E3026F">
            <w:pPr>
              <w:ind w:right="142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21E2A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790825" cy="1457325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5B278D" w:rsidRPr="00521E2A" w:rsidRDefault="005B278D" w:rsidP="005B278D">
      <w:pPr>
        <w:pStyle w:val="BodyText"/>
        <w:jc w:val="both"/>
        <w:rPr>
          <w:rFonts w:ascii="Simplified Arabic" w:eastAsia="Calibri" w:hAnsi="Simplified Arabic"/>
          <w:sz w:val="10"/>
          <w:szCs w:val="10"/>
          <w:rtl/>
          <w:lang w:eastAsia="en-US"/>
        </w:rPr>
      </w:pPr>
    </w:p>
    <w:p w:rsidR="004558CF" w:rsidRPr="00521E2A" w:rsidRDefault="00FA672E" w:rsidP="00053AA4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معدلات بطالة مرتفعة بين </w:t>
      </w:r>
      <w:proofErr w:type="spellStart"/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النساء،</w:t>
      </w:r>
      <w:proofErr w:type="spellEnd"/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</w:t>
      </w:r>
      <w:r w:rsidR="00F569AD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أ</w:t>
      </w:r>
      <w:r w:rsidR="004558CF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كثر من نصف الحاصلات على 13 سنة دراسية فأكثر</w:t>
      </w:r>
      <w:r w:rsidR="00E15137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558CF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عاطلات عن العمل</w:t>
      </w:r>
    </w:p>
    <w:p w:rsidR="00053AA4" w:rsidRPr="00521E2A" w:rsidRDefault="00376027" w:rsidP="00521E2A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 xml:space="preserve">بلغ معدل البطالة </w:t>
      </w:r>
      <w:r w:rsidR="004558CF" w:rsidRPr="00521E2A">
        <w:rPr>
          <w:rFonts w:ascii="Simplified Arabic" w:eastAsia="Calibri" w:hAnsi="Simplified Arabic"/>
          <w:rtl/>
          <w:lang w:eastAsia="en-US"/>
        </w:rPr>
        <w:t xml:space="preserve">بين النساء المشاركات في القوى العاملة </w:t>
      </w:r>
      <w:proofErr w:type="spellStart"/>
      <w:r w:rsidR="004558CF" w:rsidRPr="00521E2A">
        <w:rPr>
          <w:rFonts w:ascii="Simplified Arabic" w:eastAsia="Calibri" w:hAnsi="Simplified Arabic"/>
          <w:rtl/>
          <w:lang w:eastAsia="en-US"/>
        </w:rPr>
        <w:t>51%</w:t>
      </w:r>
      <w:proofErr w:type="spellEnd"/>
      <w:r w:rsidR="004558CF" w:rsidRPr="00521E2A">
        <w:rPr>
          <w:rFonts w:ascii="Simplified Arabic" w:eastAsia="Calibri" w:hAnsi="Simplified Arabic"/>
          <w:rtl/>
          <w:lang w:eastAsia="en-US"/>
        </w:rPr>
        <w:t xml:space="preserve"> في العام 2018 مقابل </w:t>
      </w:r>
      <w:proofErr w:type="spellStart"/>
      <w:r w:rsidR="004558CF" w:rsidRPr="00521E2A">
        <w:rPr>
          <w:rFonts w:ascii="Simplified Arabic" w:eastAsia="Calibri" w:hAnsi="Simplified Arabic"/>
          <w:rtl/>
          <w:lang w:eastAsia="en-US"/>
        </w:rPr>
        <w:t>25%</w:t>
      </w:r>
      <w:proofErr w:type="spellEnd"/>
      <w:r w:rsidR="004558CF" w:rsidRPr="00521E2A">
        <w:rPr>
          <w:rFonts w:ascii="Simplified Arabic" w:eastAsia="Calibri" w:hAnsi="Simplified Arabic"/>
          <w:rtl/>
          <w:lang w:eastAsia="en-US"/>
        </w:rPr>
        <w:t xml:space="preserve"> بين </w:t>
      </w:r>
      <w:proofErr w:type="spellStart"/>
      <w:r w:rsidR="004558CF" w:rsidRPr="00521E2A">
        <w:rPr>
          <w:rFonts w:ascii="Simplified Arabic" w:eastAsia="Calibri" w:hAnsi="Simplified Arabic"/>
          <w:rtl/>
          <w:lang w:eastAsia="en-US"/>
        </w:rPr>
        <w:t>الرجال،</w:t>
      </w:r>
      <w:proofErr w:type="spellEnd"/>
      <w:r w:rsidR="004558CF" w:rsidRPr="00521E2A">
        <w:rPr>
          <w:rFonts w:ascii="Simplified Arabic" w:eastAsia="Calibri" w:hAnsi="Simplified Arabic"/>
          <w:rtl/>
          <w:lang w:eastAsia="en-US"/>
        </w:rPr>
        <w:t xml:space="preserve"> وتصل معدلات البطالة بين النساء الحاصلات على 13 سنة دراسية فأكثر إلى </w:t>
      </w:r>
      <w:proofErr w:type="spellStart"/>
      <w:r w:rsidR="004558CF" w:rsidRPr="00521E2A">
        <w:rPr>
          <w:rFonts w:ascii="Simplified Arabic" w:eastAsia="Calibri" w:hAnsi="Simplified Arabic"/>
          <w:rtl/>
          <w:lang w:eastAsia="en-US"/>
        </w:rPr>
        <w:t>54%</w:t>
      </w:r>
      <w:r w:rsidR="000172EC" w:rsidRPr="00521E2A">
        <w:rPr>
          <w:rFonts w:ascii="Simplified Arabic" w:eastAsia="Calibri" w:hAnsi="Simplified Arabic"/>
          <w:rtl/>
          <w:lang w:eastAsia="en-US"/>
        </w:rPr>
        <w:t>.</w:t>
      </w:r>
      <w:proofErr w:type="spellEnd"/>
    </w:p>
    <w:p w:rsidR="00E3026F" w:rsidRDefault="00AB7C67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  <w:r w:rsidRPr="00521E2A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</w:p>
    <w:p w:rsidR="00E3026F" w:rsidRDefault="00E3026F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</w:p>
    <w:p w:rsidR="00E3026F" w:rsidRDefault="00E3026F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</w:p>
    <w:p w:rsidR="00E3026F" w:rsidRDefault="00E3026F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</w:p>
    <w:p w:rsidR="00E3026F" w:rsidRDefault="00E3026F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</w:p>
    <w:p w:rsidR="00E3026F" w:rsidRDefault="00E3026F" w:rsidP="00521E2A">
      <w:pPr>
        <w:pStyle w:val="BodyText"/>
        <w:widowControl w:val="0"/>
        <w:jc w:val="center"/>
        <w:rPr>
          <w:rFonts w:ascii="Simplified Arabic" w:hAnsi="Simplified Arabic" w:hint="cs"/>
          <w:b/>
          <w:bCs/>
          <w:sz w:val="26"/>
          <w:szCs w:val="26"/>
          <w:rtl/>
        </w:rPr>
      </w:pPr>
    </w:p>
    <w:p w:rsidR="00AA4FAC" w:rsidRPr="00521E2A" w:rsidRDefault="004558CF" w:rsidP="00521E2A">
      <w:pPr>
        <w:pStyle w:val="BodyText"/>
        <w:widowControl w:val="0"/>
        <w:jc w:val="center"/>
        <w:rPr>
          <w:rFonts w:ascii="Simplified Arabic" w:hAnsi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/>
          <w:b/>
          <w:bCs/>
          <w:sz w:val="26"/>
          <w:szCs w:val="26"/>
          <w:rtl/>
        </w:rPr>
        <w:t xml:space="preserve">معدل البطالة بين النساء والرجال المشاركين في القوى العاملة </w:t>
      </w:r>
      <w:r w:rsidR="00E703BF" w:rsidRPr="00521E2A">
        <w:rPr>
          <w:rFonts w:ascii="Simplified Arabic" w:hAnsi="Simplified Arabic"/>
          <w:b/>
          <w:bCs/>
          <w:sz w:val="26"/>
          <w:szCs w:val="26"/>
          <w:rtl/>
        </w:rPr>
        <w:t>(</w:t>
      </w:r>
      <w:r w:rsidRPr="00521E2A">
        <w:rPr>
          <w:rFonts w:ascii="Simplified Arabic" w:hAnsi="Simplified Arabic"/>
          <w:b/>
          <w:bCs/>
          <w:sz w:val="26"/>
          <w:szCs w:val="26"/>
          <w:rtl/>
        </w:rPr>
        <w:t>15 سنة فأكثر</w:t>
      </w:r>
      <w:proofErr w:type="spellStart"/>
      <w:r w:rsidR="00E703BF" w:rsidRPr="00521E2A">
        <w:rPr>
          <w:rFonts w:ascii="Simplified Arabic" w:hAnsi="Simplified Arabic"/>
          <w:b/>
          <w:bCs/>
          <w:sz w:val="26"/>
          <w:szCs w:val="26"/>
          <w:rtl/>
        </w:rPr>
        <w:t>)</w:t>
      </w:r>
      <w:proofErr w:type="spellEnd"/>
      <w:r w:rsidR="00E703BF" w:rsidRPr="00521E2A">
        <w:rPr>
          <w:rFonts w:ascii="Simplified Arabic" w:hAnsi="Simplified Arabic"/>
          <w:b/>
          <w:bCs/>
          <w:sz w:val="26"/>
          <w:szCs w:val="26"/>
          <w:rtl/>
        </w:rPr>
        <w:t xml:space="preserve"> في </w:t>
      </w:r>
      <w:proofErr w:type="spellStart"/>
      <w:r w:rsidR="00E703BF" w:rsidRPr="00521E2A">
        <w:rPr>
          <w:rFonts w:ascii="Simplified Arabic" w:hAnsi="Simplified Arabic"/>
          <w:b/>
          <w:bCs/>
          <w:sz w:val="26"/>
          <w:szCs w:val="26"/>
          <w:rtl/>
        </w:rPr>
        <w:t>فلسطين</w:t>
      </w:r>
      <w:r w:rsidRPr="00521E2A">
        <w:rPr>
          <w:rFonts w:ascii="Simplified Arabic" w:hAnsi="Simplified Arabic"/>
          <w:b/>
          <w:bCs/>
          <w:sz w:val="26"/>
          <w:szCs w:val="26"/>
          <w:rtl/>
        </w:rPr>
        <w:t>،</w:t>
      </w:r>
      <w:proofErr w:type="spellEnd"/>
      <w:r w:rsidRPr="00521E2A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proofErr w:type="spellStart"/>
      <w:r w:rsidRPr="00521E2A">
        <w:rPr>
          <w:rFonts w:ascii="Simplified Arabic" w:hAnsi="Simplified Arabic"/>
          <w:b/>
          <w:bCs/>
          <w:sz w:val="26"/>
          <w:szCs w:val="26"/>
          <w:rtl/>
        </w:rPr>
        <w:t>2001-</w:t>
      </w:r>
      <w:proofErr w:type="spellEnd"/>
      <w:r w:rsidRPr="00521E2A">
        <w:rPr>
          <w:rFonts w:ascii="Simplified Arabic" w:hAnsi="Simplified Arabic"/>
          <w:b/>
          <w:bCs/>
          <w:sz w:val="26"/>
          <w:szCs w:val="26"/>
        </w:rPr>
        <w:t xml:space="preserve"> </w:t>
      </w:r>
      <w:r w:rsidRPr="00521E2A">
        <w:rPr>
          <w:rFonts w:ascii="Simplified Arabic" w:hAnsi="Simplified Arabic"/>
          <w:b/>
          <w:bCs/>
          <w:sz w:val="26"/>
          <w:szCs w:val="26"/>
          <w:rtl/>
        </w:rPr>
        <w:t>2018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553"/>
      </w:tblGrid>
      <w:tr w:rsidR="00EE5274" w:rsidRPr="00521E2A" w:rsidTr="00156D6A">
        <w:trPr>
          <w:jc w:val="center"/>
        </w:trPr>
        <w:tc>
          <w:tcPr>
            <w:tcW w:w="4361" w:type="dxa"/>
          </w:tcPr>
          <w:p w:rsidR="00EE5274" w:rsidRPr="00521E2A" w:rsidRDefault="00156D6A" w:rsidP="004558CF">
            <w:pPr>
              <w:pStyle w:val="BodyText"/>
              <w:widowControl w:val="0"/>
              <w:jc w:val="center"/>
              <w:rPr>
                <w:rFonts w:ascii="Simplified Arabic" w:hAnsi="Simplified Arabic"/>
                <w:rtl/>
              </w:rPr>
            </w:pPr>
            <w:r w:rsidRPr="00521E2A">
              <w:rPr>
                <w:rFonts w:ascii="Simplified Arabic" w:hAnsi="Simplified Arabic"/>
                <w:noProof/>
                <w:rtl/>
                <w:lang w:eastAsia="en-US"/>
              </w:rPr>
              <w:drawing>
                <wp:inline distT="0" distB="0" distL="0" distR="0">
                  <wp:extent cx="2753614" cy="1853184"/>
                  <wp:effectExtent l="0" t="0" r="0" b="0"/>
                  <wp:docPr id="11" name="Char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156D6A" w:rsidRPr="00521E2A" w:rsidRDefault="00156D6A" w:rsidP="00730389">
      <w:pPr>
        <w:tabs>
          <w:tab w:val="left" w:pos="9071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E3026F" w:rsidRPr="00E3026F" w:rsidRDefault="00E3026F" w:rsidP="00730389">
      <w:pPr>
        <w:tabs>
          <w:tab w:val="left" w:pos="9071"/>
        </w:tabs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</w:p>
    <w:p w:rsidR="00730389" w:rsidRPr="00521E2A" w:rsidRDefault="000B1678" w:rsidP="00730389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الأسر التي ترأسها نساء أكثر فقراً</w:t>
      </w:r>
    </w:p>
    <w:p w:rsidR="00730389" w:rsidRPr="00521E2A" w:rsidRDefault="00F70A14" w:rsidP="00CD41C9">
      <w:pPr>
        <w:pStyle w:val="BodyText"/>
        <w:jc w:val="both"/>
        <w:rPr>
          <w:rFonts w:ascii="Simplified Arabic" w:eastAsia="Calibri" w:hAnsi="Simplified Arabic"/>
          <w:rtl/>
          <w:lang w:eastAsia="en-US"/>
        </w:rPr>
      </w:pPr>
      <w:r w:rsidRPr="00521E2A">
        <w:rPr>
          <w:rFonts w:ascii="Simplified Arabic" w:eastAsia="Calibri" w:hAnsi="Simplified Arabic"/>
          <w:rtl/>
          <w:lang w:eastAsia="en-US"/>
        </w:rPr>
        <w:t xml:space="preserve">بلغت نسبة </w:t>
      </w:r>
      <w:r w:rsidR="00270B92" w:rsidRPr="00521E2A">
        <w:rPr>
          <w:rFonts w:ascii="Simplified Arabic" w:eastAsia="Calibri" w:hAnsi="Simplified Arabic"/>
          <w:rtl/>
          <w:lang w:eastAsia="en-US"/>
        </w:rPr>
        <w:t xml:space="preserve">الفقر بين </w:t>
      </w:r>
      <w:r w:rsidR="00445D20" w:rsidRPr="00521E2A">
        <w:rPr>
          <w:rFonts w:ascii="Simplified Arabic" w:eastAsia="Calibri" w:hAnsi="Simplified Arabic"/>
          <w:rtl/>
          <w:lang w:eastAsia="en-US"/>
        </w:rPr>
        <w:t>الأسر</w:t>
      </w:r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270B92" w:rsidRPr="00521E2A">
        <w:rPr>
          <w:rFonts w:ascii="Simplified Arabic" w:eastAsia="Calibri" w:hAnsi="Simplified Arabic"/>
          <w:rtl/>
          <w:lang w:eastAsia="en-US"/>
        </w:rPr>
        <w:t xml:space="preserve">التي ترأسها </w:t>
      </w:r>
      <w:r w:rsidR="00CD41C9" w:rsidRPr="00521E2A">
        <w:rPr>
          <w:rFonts w:ascii="Simplified Arabic" w:eastAsia="Calibri" w:hAnsi="Simplified Arabic"/>
          <w:rtl/>
          <w:lang w:eastAsia="en-US"/>
        </w:rPr>
        <w:t>نساء</w:t>
      </w:r>
      <w:r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270B92" w:rsidRPr="00521E2A">
        <w:rPr>
          <w:rFonts w:ascii="Simplified Arabic" w:eastAsia="Calibri" w:hAnsi="Simplified Arabic"/>
          <w:rtl/>
          <w:lang w:eastAsia="en-US"/>
        </w:rPr>
        <w:t xml:space="preserve">في قطاع غزة  </w:t>
      </w:r>
      <w:proofErr w:type="spellStart"/>
      <w:r w:rsidR="00730389" w:rsidRPr="00521E2A">
        <w:rPr>
          <w:rFonts w:ascii="Simplified Arabic" w:eastAsia="Calibri" w:hAnsi="Simplified Arabic"/>
          <w:rtl/>
          <w:lang w:eastAsia="en-US"/>
        </w:rPr>
        <w:t>54%،</w:t>
      </w:r>
      <w:proofErr w:type="spellEnd"/>
      <w:r w:rsidR="00730389" w:rsidRPr="00521E2A">
        <w:rPr>
          <w:rFonts w:ascii="Simplified Arabic" w:eastAsia="Calibri" w:hAnsi="Simplified Arabic"/>
          <w:rtl/>
          <w:lang w:eastAsia="en-US"/>
        </w:rPr>
        <w:t xml:space="preserve"> بينما كانت في الضفة الغربية </w:t>
      </w:r>
      <w:proofErr w:type="spellStart"/>
      <w:r w:rsidR="00CC5CCF" w:rsidRPr="00521E2A">
        <w:rPr>
          <w:rFonts w:ascii="Simplified Arabic" w:eastAsia="Calibri" w:hAnsi="Simplified Arabic"/>
          <w:rtl/>
          <w:lang w:eastAsia="en-US"/>
        </w:rPr>
        <w:t>19</w:t>
      </w:r>
      <w:r w:rsidR="00730389" w:rsidRPr="00521E2A">
        <w:rPr>
          <w:rFonts w:ascii="Simplified Arabic" w:eastAsia="Calibri" w:hAnsi="Simplified Arabic"/>
          <w:rtl/>
          <w:lang w:eastAsia="en-US"/>
        </w:rPr>
        <w:t>%</w:t>
      </w:r>
      <w:proofErr w:type="spellEnd"/>
      <w:r w:rsidR="00730389" w:rsidRPr="00521E2A">
        <w:rPr>
          <w:rFonts w:ascii="Simplified Arabic" w:eastAsia="Calibri" w:hAnsi="Simplified Arabic"/>
          <w:rtl/>
          <w:lang w:eastAsia="en-US"/>
        </w:rPr>
        <w:t xml:space="preserve"> م</w:t>
      </w:r>
      <w:r w:rsidR="00270B92" w:rsidRPr="00521E2A">
        <w:rPr>
          <w:rFonts w:ascii="Simplified Arabic" w:eastAsia="Calibri" w:hAnsi="Simplified Arabic"/>
          <w:rtl/>
          <w:lang w:eastAsia="en-US"/>
        </w:rPr>
        <w:t xml:space="preserve">ن إجمالي الأسر التي ترأسها </w:t>
      </w:r>
      <w:proofErr w:type="spellStart"/>
      <w:r w:rsidR="00270B92" w:rsidRPr="00521E2A">
        <w:rPr>
          <w:rFonts w:ascii="Simplified Arabic" w:eastAsia="Calibri" w:hAnsi="Simplified Arabic"/>
          <w:rtl/>
          <w:lang w:eastAsia="en-US"/>
        </w:rPr>
        <w:t>نساء</w:t>
      </w:r>
      <w:r w:rsidR="000B1678" w:rsidRPr="00521E2A">
        <w:rPr>
          <w:rFonts w:ascii="Simplified Arabic" w:eastAsia="Calibri" w:hAnsi="Simplified Arabic"/>
          <w:rtl/>
          <w:lang w:eastAsia="en-US"/>
        </w:rPr>
        <w:t>،</w:t>
      </w:r>
      <w:proofErr w:type="spellEnd"/>
      <w:r w:rsidR="00730389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0B1678" w:rsidRPr="00521E2A">
        <w:rPr>
          <w:rFonts w:ascii="Simplified Arabic" w:eastAsia="Calibri" w:hAnsi="Simplified Arabic"/>
          <w:rtl/>
          <w:lang w:eastAsia="en-US"/>
        </w:rPr>
        <w:t xml:space="preserve">وذلك </w:t>
      </w:r>
      <w:r w:rsidR="00730389" w:rsidRPr="00521E2A">
        <w:rPr>
          <w:rFonts w:ascii="Simplified Arabic" w:eastAsia="Calibri" w:hAnsi="Simplified Arabic"/>
          <w:rtl/>
          <w:lang w:eastAsia="en-US"/>
        </w:rPr>
        <w:t>حسب النتائج الرئيسية لمستويات المعيشة في فلسطين (الانفاق والاستهلاك والفقر</w:t>
      </w:r>
      <w:proofErr w:type="spellStart"/>
      <w:r w:rsidR="00730389" w:rsidRPr="00521E2A">
        <w:rPr>
          <w:rFonts w:ascii="Simplified Arabic" w:eastAsia="Calibri" w:hAnsi="Simplified Arabic"/>
          <w:rtl/>
          <w:lang w:eastAsia="en-US"/>
        </w:rPr>
        <w:t>)،</w:t>
      </w:r>
      <w:proofErr w:type="spellEnd"/>
      <w:r w:rsidR="000B1678" w:rsidRPr="00521E2A">
        <w:rPr>
          <w:rFonts w:ascii="Simplified Arabic" w:eastAsia="Calibri" w:hAnsi="Simplified Arabic"/>
          <w:rtl/>
          <w:lang w:eastAsia="en-US"/>
        </w:rPr>
        <w:t xml:space="preserve"> </w:t>
      </w:r>
      <w:r w:rsidR="00730389" w:rsidRPr="00521E2A">
        <w:rPr>
          <w:rFonts w:ascii="Simplified Arabic" w:eastAsia="Calibri" w:hAnsi="Simplified Arabic"/>
          <w:rtl/>
          <w:lang w:eastAsia="en-US"/>
        </w:rPr>
        <w:t>2017.</w:t>
      </w:r>
    </w:p>
    <w:p w:rsidR="00EC1B5A" w:rsidRPr="00521E2A" w:rsidRDefault="00EC1B5A" w:rsidP="00CB4996">
      <w:pPr>
        <w:jc w:val="center"/>
        <w:rPr>
          <w:rFonts w:ascii="Simplified Arabic" w:hAnsi="Simplified Arabic" w:cs="Simplified Arabic"/>
          <w:sz w:val="10"/>
          <w:szCs w:val="10"/>
          <w:rtl/>
          <w:lang w:bidi="ar-LB"/>
        </w:rPr>
      </w:pPr>
    </w:p>
    <w:p w:rsidR="00CB4996" w:rsidRDefault="00CB4996" w:rsidP="00CB4996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  <w:lang w:bidi="ar-LB"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 xml:space="preserve">نسبة الفقر بين الأفراد وفقاً لأنماط الاستهلاك الشهري حسب المنطقة وجنس رب </w:t>
      </w:r>
      <w:proofErr w:type="spellStart"/>
      <w:r w:rsidRPr="00521E2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>الأسرة،</w:t>
      </w:r>
      <w:proofErr w:type="spellEnd"/>
      <w:r w:rsidRPr="00521E2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 xml:space="preserve"> 2017</w:t>
      </w:r>
    </w:p>
    <w:p w:rsidR="00E3026F" w:rsidRPr="00E3026F" w:rsidRDefault="00E3026F" w:rsidP="00CB4996">
      <w:pPr>
        <w:jc w:val="center"/>
        <w:rPr>
          <w:rFonts w:ascii="Simplified Arabic" w:hAnsi="Simplified Arabic" w:cs="Simplified Arabic"/>
          <w:b/>
          <w:bCs/>
          <w:sz w:val="10"/>
          <w:szCs w:val="10"/>
          <w:rtl/>
          <w:lang w:bidi="ar-LB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686"/>
      </w:tblGrid>
      <w:tr w:rsidR="00163B70" w:rsidRPr="00521E2A" w:rsidTr="00163B70">
        <w:trPr>
          <w:jc w:val="center"/>
        </w:trPr>
        <w:tc>
          <w:tcPr>
            <w:tcW w:w="4519" w:type="dxa"/>
          </w:tcPr>
          <w:p w:rsidR="00163B70" w:rsidRPr="00521E2A" w:rsidRDefault="00163B70" w:rsidP="00CB4996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521E2A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38450" cy="231457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E3026F" w:rsidRPr="00E3026F" w:rsidRDefault="00E3026F" w:rsidP="000B1678">
      <w:pPr>
        <w:tabs>
          <w:tab w:val="left" w:pos="9071"/>
        </w:tabs>
        <w:ind w:right="720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</w:p>
    <w:p w:rsidR="00F20775" w:rsidRPr="00521E2A" w:rsidRDefault="00F20775" w:rsidP="000B1678">
      <w:pPr>
        <w:tabs>
          <w:tab w:val="left" w:pos="9071"/>
        </w:tabs>
        <w:ind w:righ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النساء </w:t>
      </w:r>
      <w:r w:rsidR="00325A2D"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>الفلسطينيات</w:t>
      </w:r>
      <w:r w:rsidRPr="00521E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الحياة العامة </w:t>
      </w:r>
    </w:p>
    <w:p w:rsidR="00391608" w:rsidRPr="00521E2A" w:rsidRDefault="000B1678" w:rsidP="00F26065">
      <w:pPr>
        <w:ind w:left="70" w:right="142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لا تزال مشاركة النساء في الحياة العامة محدودة مقارنة مع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الرجال،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حيث أن</w:t>
      </w:r>
      <w:r w:rsidR="007F60AB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82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القضاة</w:t>
      </w:r>
      <w:r w:rsidR="00B2081E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6065" w:rsidRPr="00521E2A">
        <w:rPr>
          <w:rFonts w:ascii="Simplified Arabic" w:hAnsi="Simplified Arabic" w:cs="Simplified Arabic"/>
          <w:sz w:val="24"/>
          <w:szCs w:val="24"/>
          <w:rtl/>
        </w:rPr>
        <w:t xml:space="preserve">هم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رجال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="00736638" w:rsidRPr="00521E2A">
        <w:rPr>
          <w:rFonts w:ascii="Simplified Arabic" w:hAnsi="Simplified Arabic" w:cs="Simplified Arabic"/>
          <w:sz w:val="24"/>
          <w:szCs w:val="24"/>
          <w:rtl/>
        </w:rPr>
        <w:t>18</w:t>
      </w:r>
      <w:r w:rsid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521E2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نساء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و</w:t>
      </w:r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73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المحامين المزاولين للمهنة هم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رجال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27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نساء،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و</w:t>
      </w:r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80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أعضاء النيابة العامة هم من الرجال مقابل </w:t>
      </w:r>
      <w:proofErr w:type="spellStart"/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20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النساء.</w:t>
      </w:r>
      <w:r w:rsidR="005628B9" w:rsidRPr="00521E2A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proofErr w:type="spellStart"/>
      <w:r w:rsidR="005628B9" w:rsidRPr="00521E2A">
        <w:rPr>
          <w:rFonts w:ascii="Simplified Arabic" w:hAnsi="Simplified Arabic" w:cs="Simplified Arabic"/>
          <w:sz w:val="24"/>
          <w:szCs w:val="24"/>
          <w:rtl/>
        </w:rPr>
        <w:t>و</w:t>
      </w:r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25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المهندسين المسجلين في نقابة المهندسين هن نساء</w:t>
      </w:r>
      <w:r w:rsidR="00F2606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مقارنة بما نسبته </w:t>
      </w:r>
      <w:proofErr w:type="spellStart"/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>75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proofErr w:type="spellStart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الرجال،</w:t>
      </w:r>
      <w:proofErr w:type="spellEnd"/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26065" w:rsidRPr="00521E2A">
        <w:rPr>
          <w:rFonts w:ascii="Simplified Arabic" w:hAnsi="Simplified Arabic" w:cs="Simplified Arabic"/>
          <w:sz w:val="24"/>
          <w:szCs w:val="24"/>
          <w:rtl/>
        </w:rPr>
        <w:t>اما على صعيد</w:t>
      </w:r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 xml:space="preserve"> أعضاء مج</w:t>
      </w:r>
      <w:r w:rsidR="003057D1" w:rsidRPr="00521E2A">
        <w:rPr>
          <w:rFonts w:ascii="Simplified Arabic" w:hAnsi="Simplified Arabic" w:cs="Simplified Arabic"/>
          <w:sz w:val="24"/>
          <w:szCs w:val="24"/>
          <w:rtl/>
        </w:rPr>
        <w:t>الس</w:t>
      </w:r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 xml:space="preserve"> الطلبة في جامعات الضفة الغربية </w:t>
      </w:r>
      <w:r w:rsidR="00F26065" w:rsidRPr="00521E2A">
        <w:rPr>
          <w:rFonts w:ascii="Simplified Arabic" w:hAnsi="Simplified Arabic" w:cs="Simplified Arabic"/>
          <w:sz w:val="24"/>
          <w:szCs w:val="24"/>
          <w:rtl/>
        </w:rPr>
        <w:t>فقد بلغت نسبة الطالبات</w:t>
      </w:r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CC5CCF" w:rsidRPr="00521E2A">
        <w:rPr>
          <w:rFonts w:ascii="Simplified Arabic" w:hAnsi="Simplified Arabic" w:cs="Simplified Arabic"/>
          <w:sz w:val="24"/>
          <w:szCs w:val="24"/>
          <w:rtl/>
        </w:rPr>
        <w:t>31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مقابل </w:t>
      </w:r>
      <w:proofErr w:type="spellStart"/>
      <w:r w:rsidR="007472C5" w:rsidRPr="00521E2A">
        <w:rPr>
          <w:rFonts w:ascii="Simplified Arabic" w:hAnsi="Simplified Arabic" w:cs="Simplified Arabic"/>
          <w:sz w:val="24"/>
          <w:szCs w:val="24"/>
          <w:rtl/>
        </w:rPr>
        <w:t>69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 w:rsidR="00F26065" w:rsidRPr="00521E2A">
        <w:rPr>
          <w:rFonts w:ascii="Simplified Arabic" w:hAnsi="Simplified Arabic" w:cs="Simplified Arabic"/>
          <w:sz w:val="24"/>
          <w:szCs w:val="24"/>
          <w:rtl/>
        </w:rPr>
        <w:t>الطلاب</w:t>
      </w:r>
      <w:r w:rsidR="00391608" w:rsidRPr="00521E2A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F819C1" w:rsidRPr="00521E2A" w:rsidRDefault="00F26065" w:rsidP="00F26065">
      <w:pPr>
        <w:ind w:left="70" w:right="142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21E2A">
        <w:rPr>
          <w:rFonts w:ascii="Simplified Arabic" w:hAnsi="Simplified Arabic" w:cs="Simplified Arabic"/>
          <w:sz w:val="24"/>
          <w:szCs w:val="24"/>
          <w:rtl/>
        </w:rPr>
        <w:t>وعلى صعيد المشاركة في القطاع</w:t>
      </w:r>
      <w:r w:rsidR="00156D6A" w:rsidRPr="00521E2A">
        <w:rPr>
          <w:rFonts w:ascii="Simplified Arabic" w:hAnsi="Simplified Arabic" w:cs="Simplified Arabic"/>
          <w:sz w:val="24"/>
          <w:szCs w:val="24"/>
          <w:rtl/>
        </w:rPr>
        <w:t xml:space="preserve"> العام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المدني،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فتشكل النساء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43%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22DF" w:rsidRPr="00521E2A">
        <w:rPr>
          <w:rFonts w:ascii="Simplified Arabic" w:hAnsi="Simplified Arabic" w:cs="Simplified Arabic"/>
          <w:sz w:val="24"/>
          <w:szCs w:val="24"/>
          <w:rtl/>
        </w:rPr>
        <w:t xml:space="preserve">من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موظفي </w:t>
      </w:r>
      <w:r w:rsidR="00F122DF" w:rsidRPr="00521E2A">
        <w:rPr>
          <w:rFonts w:ascii="Simplified Arabic" w:hAnsi="Simplified Arabic" w:cs="Simplified Arabic"/>
          <w:sz w:val="24"/>
          <w:szCs w:val="24"/>
          <w:rtl/>
        </w:rPr>
        <w:t>القطاع العام</w:t>
      </w:r>
      <w:r w:rsidR="00675A7B" w:rsidRPr="00521E2A">
        <w:rPr>
          <w:rFonts w:ascii="Simplified Arabic" w:hAnsi="Simplified Arabic" w:cs="Simplified Arabic"/>
          <w:sz w:val="24"/>
          <w:szCs w:val="24"/>
          <w:rtl/>
        </w:rPr>
        <w:t xml:space="preserve"> المدني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22DF" w:rsidRPr="00521E2A">
        <w:rPr>
          <w:rFonts w:ascii="Simplified Arabic" w:hAnsi="Simplified Arabic" w:cs="Simplified Arabic"/>
          <w:sz w:val="24"/>
          <w:szCs w:val="24"/>
          <w:rtl/>
        </w:rPr>
        <w:t>مق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ارنة مع</w:t>
      </w:r>
      <w:r w:rsidR="00F122DF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C5CCF" w:rsidRPr="00521E2A">
        <w:rPr>
          <w:rFonts w:ascii="Simplified Arabic" w:hAnsi="Simplified Arabic" w:cs="Simplified Arabic"/>
          <w:sz w:val="24"/>
          <w:szCs w:val="24"/>
        </w:rPr>
        <w:t>57</w:t>
      </w:r>
      <w:proofErr w:type="spellStart"/>
      <w:r w:rsidR="00FB0058" w:rsidRPr="00521E2A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="00FB005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لل</w:t>
      </w:r>
      <w:r w:rsidR="000B1678" w:rsidRPr="00521E2A">
        <w:rPr>
          <w:rFonts w:ascii="Simplified Arabic" w:hAnsi="Simplified Arabic" w:cs="Simplified Arabic"/>
          <w:sz w:val="24"/>
          <w:szCs w:val="24"/>
          <w:rtl/>
        </w:rPr>
        <w:t>رجال</w:t>
      </w:r>
      <w:r w:rsidR="0083610A" w:rsidRPr="00521E2A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FB0058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وتتجسد الفجوة عند الحديث عن</w:t>
      </w:r>
      <w:r w:rsidR="00F819C1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057D1" w:rsidRPr="00521E2A">
        <w:rPr>
          <w:rFonts w:ascii="Simplified Arabic" w:hAnsi="Simplified Arabic" w:cs="Simplified Arabic"/>
          <w:sz w:val="24"/>
          <w:szCs w:val="24"/>
          <w:rtl/>
        </w:rPr>
        <w:t>الحاصلين على</w:t>
      </w:r>
      <w:r w:rsidR="00545784" w:rsidRPr="00521E2A">
        <w:rPr>
          <w:rFonts w:ascii="Simplified Arabic" w:hAnsi="Simplified Arabic" w:cs="Simplified Arabic"/>
          <w:sz w:val="24"/>
          <w:szCs w:val="24"/>
          <w:rtl/>
        </w:rPr>
        <w:t xml:space="preserve"> درجة مدير عام</w:t>
      </w:r>
      <w:r w:rsidR="00F819C1" w:rsidRPr="00521E2A">
        <w:rPr>
          <w:rFonts w:ascii="Simplified Arabic" w:hAnsi="Simplified Arabic" w:cs="Simplified Arabic"/>
          <w:sz w:val="24"/>
          <w:szCs w:val="24"/>
        </w:rPr>
        <w:t xml:space="preserve"> </w:t>
      </w:r>
      <w:r w:rsidR="00FA320C" w:rsidRPr="00521E2A">
        <w:rPr>
          <w:rFonts w:ascii="Simplified Arabic" w:hAnsi="Simplified Arabic" w:cs="Simplified Arabic"/>
          <w:sz w:val="24"/>
          <w:szCs w:val="24"/>
          <w:rtl/>
        </w:rPr>
        <w:t>فأعلى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فبلغت </w:t>
      </w:r>
      <w:proofErr w:type="spellStart"/>
      <w:r w:rsidRPr="00521E2A">
        <w:rPr>
          <w:rFonts w:ascii="Simplified Arabic" w:hAnsi="Simplified Arabic" w:cs="Simplified Arabic"/>
          <w:sz w:val="24"/>
          <w:szCs w:val="24"/>
          <w:rtl/>
        </w:rPr>
        <w:t>12%</w:t>
      </w:r>
      <w:proofErr w:type="spellEnd"/>
      <w:r w:rsidRPr="00521E2A">
        <w:rPr>
          <w:rFonts w:ascii="Simplified Arabic" w:hAnsi="Simplified Arabic" w:cs="Simplified Arabic"/>
          <w:sz w:val="24"/>
          <w:szCs w:val="24"/>
          <w:rtl/>
        </w:rPr>
        <w:t xml:space="preserve"> للنساء</w:t>
      </w:r>
      <w:r w:rsidR="00FA320C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819C1" w:rsidRPr="00521E2A">
        <w:rPr>
          <w:rFonts w:ascii="Simplified Arabic" w:hAnsi="Simplified Arabic" w:cs="Simplified Arabic"/>
          <w:sz w:val="24"/>
          <w:szCs w:val="24"/>
          <w:rtl/>
        </w:rPr>
        <w:t xml:space="preserve">مقابل </w:t>
      </w:r>
      <w:proofErr w:type="spellStart"/>
      <w:r w:rsidR="00F819C1" w:rsidRPr="00521E2A">
        <w:rPr>
          <w:rFonts w:ascii="Simplified Arabic" w:hAnsi="Simplified Arabic" w:cs="Simplified Arabic"/>
          <w:sz w:val="24"/>
          <w:szCs w:val="24"/>
          <w:rtl/>
        </w:rPr>
        <w:t>88%</w:t>
      </w:r>
      <w:proofErr w:type="spellEnd"/>
      <w:r w:rsidR="00F819C1" w:rsidRPr="00521E2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21E2A">
        <w:rPr>
          <w:rFonts w:ascii="Simplified Arabic" w:hAnsi="Simplified Arabic" w:cs="Simplified Arabic"/>
          <w:sz w:val="24"/>
          <w:szCs w:val="24"/>
          <w:rtl/>
        </w:rPr>
        <w:t>ل</w:t>
      </w:r>
      <w:r w:rsidR="000B1678" w:rsidRPr="00521E2A">
        <w:rPr>
          <w:rFonts w:ascii="Simplified Arabic" w:hAnsi="Simplified Arabic" w:cs="Simplified Arabic"/>
          <w:sz w:val="24"/>
          <w:szCs w:val="24"/>
          <w:rtl/>
        </w:rPr>
        <w:t>لرجال</w:t>
      </w:r>
      <w:r w:rsidR="00F819C1" w:rsidRPr="00521E2A">
        <w:rPr>
          <w:rFonts w:ascii="Simplified Arabic" w:hAnsi="Simplified Arabic" w:cs="Simplified Arabic"/>
          <w:sz w:val="24"/>
          <w:szCs w:val="24"/>
          <w:rtl/>
        </w:rPr>
        <w:t xml:space="preserve"> لنفس </w:t>
      </w:r>
      <w:r w:rsidR="003057D1" w:rsidRPr="00521E2A">
        <w:rPr>
          <w:rFonts w:ascii="Simplified Arabic" w:hAnsi="Simplified Arabic" w:cs="Simplified Arabic"/>
          <w:sz w:val="24"/>
          <w:szCs w:val="24"/>
          <w:rtl/>
        </w:rPr>
        <w:t>الفئة</w:t>
      </w:r>
      <w:r w:rsidR="00545784" w:rsidRPr="00521E2A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870C7B" w:rsidRPr="00521E2A" w:rsidRDefault="00870C7B" w:rsidP="00FA320C">
      <w:pPr>
        <w:ind w:left="70" w:right="14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3C7C88" w:rsidRPr="00E3026F" w:rsidRDefault="003C7C88" w:rsidP="00521E2A">
      <w:pPr>
        <w:ind w:right="142"/>
        <w:rPr>
          <w:rFonts w:asciiTheme="majorBidi" w:hAnsiTheme="majorBidi" w:cstheme="majorBidi"/>
          <w:sz w:val="24"/>
          <w:szCs w:val="24"/>
          <w:rtl/>
        </w:rPr>
        <w:sectPr w:rsidR="003C7C88" w:rsidRPr="00E3026F" w:rsidSect="00E3026F">
          <w:footerReference w:type="default" r:id="rId13"/>
          <w:type w:val="continuous"/>
          <w:pgSz w:w="11906" w:h="16838" w:code="9"/>
          <w:pgMar w:top="720" w:right="720" w:bottom="720" w:left="720" w:header="284" w:footer="709" w:gutter="0"/>
          <w:cols w:space="708"/>
          <w:bidi/>
          <w:rtlGutter/>
          <w:docGrid w:linePitch="360"/>
        </w:sectPr>
      </w:pPr>
    </w:p>
    <w:p w:rsidR="00681856" w:rsidRPr="00E3026F" w:rsidRDefault="00E3026F" w:rsidP="00E3026F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E3026F">
        <w:rPr>
          <w:rFonts w:asciiTheme="majorBidi" w:hAnsiTheme="majorBidi" w:cs="Times New Roman" w:hint="cs"/>
          <w:sz w:val="24"/>
          <w:szCs w:val="24"/>
          <w:rtl/>
        </w:rPr>
        <w:lastRenderedPageBreak/>
        <w:drawing>
          <wp:inline distT="0" distB="0" distL="0" distR="0">
            <wp:extent cx="895350" cy="952500"/>
            <wp:effectExtent l="19050" t="0" r="0" b="0"/>
            <wp:docPr id="1" name="Picture 0" descr="jad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-sign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2" cy="9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856" w:rsidRPr="00E3026F" w:rsidSect="006374BB">
      <w:type w:val="continuous"/>
      <w:pgSz w:w="11906" w:h="16838" w:code="9"/>
      <w:pgMar w:top="170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E4" w:rsidRDefault="008069E4" w:rsidP="00FE5188">
      <w:r>
        <w:separator/>
      </w:r>
    </w:p>
  </w:endnote>
  <w:endnote w:type="continuationSeparator" w:id="0">
    <w:p w:rsidR="008069E4" w:rsidRDefault="008069E4" w:rsidP="00FE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AD5" w:rsidRPr="00B54582" w:rsidRDefault="00AB39FC" w:rsidP="00FE5188">
    <w:pPr>
      <w:pStyle w:val="Footer"/>
      <w:jc w:val="center"/>
      <w:rPr>
        <w:sz w:val="18"/>
        <w:szCs w:val="18"/>
        <w:rtl/>
      </w:rPr>
    </w:pPr>
    <w:r w:rsidRPr="00B54582">
      <w:rPr>
        <w:sz w:val="18"/>
        <w:szCs w:val="18"/>
      </w:rPr>
      <w:fldChar w:fldCharType="begin"/>
    </w:r>
    <w:r w:rsidR="005D1AD5" w:rsidRPr="00B54582">
      <w:rPr>
        <w:sz w:val="18"/>
        <w:szCs w:val="18"/>
      </w:rPr>
      <w:instrText xml:space="preserve"> PAGE   \* MERGEFORMAT </w:instrText>
    </w:r>
    <w:r w:rsidRPr="00B54582">
      <w:rPr>
        <w:sz w:val="18"/>
        <w:szCs w:val="18"/>
      </w:rPr>
      <w:fldChar w:fldCharType="separate"/>
    </w:r>
    <w:r w:rsidR="00E3026F">
      <w:rPr>
        <w:noProof/>
        <w:sz w:val="18"/>
        <w:szCs w:val="18"/>
        <w:rtl/>
      </w:rPr>
      <w:t>1</w:t>
    </w:r>
    <w:r w:rsidRPr="00B54582">
      <w:rPr>
        <w:sz w:val="18"/>
        <w:szCs w:val="18"/>
      </w:rPr>
      <w:fldChar w:fldCharType="end"/>
    </w:r>
  </w:p>
  <w:p w:rsidR="005D1AD5" w:rsidRDefault="005D1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E4" w:rsidRDefault="008069E4" w:rsidP="00FE5188">
      <w:r>
        <w:separator/>
      </w:r>
    </w:p>
  </w:footnote>
  <w:footnote w:type="continuationSeparator" w:id="0">
    <w:p w:rsidR="008069E4" w:rsidRDefault="008069E4" w:rsidP="00FE5188">
      <w:r>
        <w:continuationSeparator/>
      </w:r>
    </w:p>
  </w:footnote>
  <w:footnote w:id="1">
    <w:p w:rsidR="005D1AD5" w:rsidRDefault="005D1AD5" w:rsidP="00A31E7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16878">
        <w:rPr>
          <w:rFonts w:ascii="Simplified Arabic" w:hAnsi="Simplified Arabic" w:cs="Simplified Arabic" w:hint="cs"/>
          <w:sz w:val="16"/>
          <w:szCs w:val="16"/>
          <w:rtl/>
        </w:rPr>
        <w:t>بناءً على التقديرات المنقحة بالاعتماد على</w:t>
      </w:r>
      <w:r w:rsidRPr="00D16878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r w:rsidRPr="00D16878">
        <w:rPr>
          <w:rFonts w:ascii="Simplified Arabic" w:hAnsi="Simplified Arabic" w:cs="Simplified Arabic" w:hint="cs"/>
          <w:sz w:val="16"/>
          <w:szCs w:val="16"/>
          <w:rtl/>
        </w:rPr>
        <w:t xml:space="preserve">التعداد </w:t>
      </w:r>
      <w:r w:rsidRPr="00D16878">
        <w:rPr>
          <w:rFonts w:ascii="Simplified Arabic" w:hAnsi="Simplified Arabic" w:cs="Simplified Arabic"/>
          <w:sz w:val="16"/>
          <w:szCs w:val="16"/>
          <w:rtl/>
        </w:rPr>
        <w:t xml:space="preserve">العام للسكان والمساكن والمنشآت </w:t>
      </w:r>
      <w:r w:rsidRPr="00D16878">
        <w:rPr>
          <w:rFonts w:ascii="Simplified Arabic" w:hAnsi="Simplified Arabic" w:cs="Simplified Arabic" w:hint="cs"/>
          <w:sz w:val="16"/>
          <w:szCs w:val="16"/>
          <w:rtl/>
        </w:rPr>
        <w:t>2017.</w:t>
      </w:r>
    </w:p>
  </w:footnote>
  <w:footnote w:id="2">
    <w:p w:rsidR="005D1AD5" w:rsidRPr="005628B9" w:rsidRDefault="005D1AD5" w:rsidP="00E23644">
      <w:pPr>
        <w:ind w:left="-1"/>
        <w:jc w:val="both"/>
        <w:rPr>
          <w:rFonts w:ascii="Simplified Arabic" w:eastAsiaTheme="minorEastAsia" w:hAnsi="Simplified Arabic" w:cs="Simplified Arabic"/>
          <w:sz w:val="16"/>
          <w:szCs w:val="16"/>
        </w:rPr>
      </w:pPr>
      <w:r w:rsidRPr="005628B9">
        <w:rPr>
          <w:rStyle w:val="FootnoteReference"/>
          <w:rFonts w:ascii="Simplified Arabic" w:hAnsi="Simplified Arabic" w:cs="Simplified Arabic"/>
          <w:sz w:val="16"/>
          <w:szCs w:val="16"/>
        </w:rPr>
        <w:footnoteRef/>
      </w:r>
      <w:proofErr w:type="spellStart"/>
      <w:r w:rsidRPr="005628B9"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5628B9">
        <w:rPr>
          <w:rFonts w:ascii="Simplified Arabic" w:hAnsi="Simplified Arabic" w:cs="Simplified Arabic"/>
          <w:sz w:val="16"/>
          <w:szCs w:val="16"/>
          <w:rtl/>
        </w:rPr>
        <w:t>الإعاقة: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يقصد </w:t>
      </w:r>
      <w:proofErr w:type="spellStart"/>
      <w:r w:rsidRPr="005628B9">
        <w:rPr>
          <w:rFonts w:ascii="Simplified Arabic" w:hAnsi="Simplified Arabic" w:cs="Simplified Arabic"/>
          <w:sz w:val="16"/>
          <w:szCs w:val="16"/>
          <w:rtl/>
        </w:rPr>
        <w:t>بها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الأفراد ذوي الصعوبة الكبيرة ومن لا يستطيع </w:t>
      </w:r>
      <w:proofErr w:type="spellStart"/>
      <w:r w:rsidRPr="005628B9">
        <w:rPr>
          <w:rFonts w:ascii="Simplified Arabic" w:hAnsi="Simplified Arabic" w:cs="Simplified Arabic"/>
          <w:sz w:val="16"/>
          <w:szCs w:val="16"/>
          <w:rtl/>
        </w:rPr>
        <w:t>مطلقا،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وتشمل الصعوبات </w:t>
      </w:r>
      <w:proofErr w:type="spellStart"/>
      <w:r w:rsidRPr="005628B9">
        <w:rPr>
          <w:rFonts w:ascii="Simplified Arabic" w:hAnsi="Simplified Arabic" w:cs="Simplified Arabic"/>
          <w:sz w:val="16"/>
          <w:szCs w:val="16"/>
          <w:rtl/>
        </w:rPr>
        <w:t>(البصرية،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proofErr w:type="spellStart"/>
      <w:r w:rsidRPr="005628B9">
        <w:rPr>
          <w:rFonts w:ascii="Simplified Arabic" w:hAnsi="Simplified Arabic" w:cs="Simplified Arabic"/>
          <w:sz w:val="16"/>
          <w:szCs w:val="16"/>
          <w:rtl/>
        </w:rPr>
        <w:t>والسمعية،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والحر</w:t>
      </w:r>
      <w:r>
        <w:rPr>
          <w:rFonts w:ascii="Simplified Arabic" w:hAnsi="Simplified Arabic" w:cs="Simplified Arabic" w:hint="cs"/>
          <w:sz w:val="16"/>
          <w:szCs w:val="16"/>
          <w:rtl/>
        </w:rPr>
        <w:t xml:space="preserve">كة واستخدام </w:t>
      </w:r>
      <w:proofErr w:type="spellStart"/>
      <w:r>
        <w:rPr>
          <w:rFonts w:ascii="Simplified Arabic" w:hAnsi="Simplified Arabic" w:cs="Simplified Arabic" w:hint="cs"/>
          <w:sz w:val="16"/>
          <w:szCs w:val="16"/>
          <w:rtl/>
        </w:rPr>
        <w:t>الأيدي</w:t>
      </w:r>
      <w:r w:rsidRPr="005628B9">
        <w:rPr>
          <w:rFonts w:ascii="Simplified Arabic" w:hAnsi="Simplified Arabic" w:cs="Simplified Arabic"/>
          <w:sz w:val="16"/>
          <w:szCs w:val="16"/>
          <w:rtl/>
        </w:rPr>
        <w:t>،</w:t>
      </w:r>
      <w:proofErr w:type="spellEnd"/>
      <w:r w:rsidRPr="005628B9">
        <w:rPr>
          <w:rFonts w:ascii="Simplified Arabic" w:hAnsi="Simplified Arabic" w:cs="Simplified Arabic"/>
          <w:sz w:val="16"/>
          <w:szCs w:val="16"/>
          <w:rtl/>
        </w:rPr>
        <w:t xml:space="preserve"> وصعوبات التذكر والتركيز وصعوبة التواصل</w:t>
      </w:r>
      <w:proofErr w:type="spellStart"/>
      <w:r>
        <w:rPr>
          <w:rFonts w:ascii="Simplified Arabic" w:hAnsi="Simplified Arabic" w:cs="Simplified Arabic" w:hint="cs"/>
          <w:sz w:val="16"/>
          <w:szCs w:val="16"/>
          <w:rtl/>
        </w:rPr>
        <w:t>)</w:t>
      </w:r>
      <w:r w:rsidRPr="005628B9">
        <w:rPr>
          <w:rFonts w:ascii="Simplified Arabic" w:hAnsi="Simplified Arabic" w:cs="Simplified Arabic"/>
          <w:sz w:val="16"/>
          <w:szCs w:val="16"/>
          <w:rtl/>
        </w:rPr>
        <w:t>.</w:t>
      </w:r>
      <w:proofErr w:type="spellEnd"/>
    </w:p>
    <w:p w:rsidR="005D1AD5" w:rsidRPr="00E23644" w:rsidRDefault="005D1AD5" w:rsidP="00D0416F">
      <w:pPr>
        <w:pStyle w:val="FootnoteText"/>
        <w:rPr>
          <w:sz w:val="4"/>
          <w:szCs w:val="4"/>
          <w:rtl/>
        </w:rPr>
      </w:pPr>
    </w:p>
  </w:footnote>
  <w:footnote w:id="3">
    <w:p w:rsidR="005D1AD5" w:rsidRPr="00BE7E2C" w:rsidRDefault="005D1AD5" w:rsidP="00012356">
      <w:pPr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BE7E2C">
        <w:rPr>
          <w:rStyle w:val="FootnoteReference"/>
          <w:rFonts w:ascii="Simplified Arabic" w:hAnsi="Simplified Arabic" w:cs="Simplified Arabic"/>
          <w:color w:val="000000" w:themeColor="text1"/>
          <w:sz w:val="16"/>
          <w:szCs w:val="16"/>
        </w:rPr>
        <w:footnoteRef/>
      </w:r>
      <w:proofErr w:type="spellStart"/>
      <w:r w:rsidRPr="00BE7E2C"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  <w:t>:</w:t>
      </w:r>
      <w:proofErr w:type="spellEnd"/>
      <w:r w:rsidRPr="008810EC">
        <w:rPr>
          <w:rFonts w:ascii="Arial" w:hAnsi="Arial" w:hint="cs"/>
          <w:color w:val="000000" w:themeColor="text1"/>
          <w:sz w:val="16"/>
          <w:szCs w:val="16"/>
          <w:rtl/>
        </w:rPr>
        <w:t xml:space="preserve"> </w:t>
      </w:r>
      <w:r w:rsidRPr="00BE7E2C"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  <w:t>في العام الدراسي 2017</w:t>
      </w:r>
      <w:r w:rsidRPr="00BE7E2C">
        <w:rPr>
          <w:rFonts w:ascii="Simplified Arabic" w:hAnsi="Simplified Arabic" w:cs="Simplified Arabic"/>
          <w:color w:val="000000" w:themeColor="text1"/>
          <w:sz w:val="16"/>
          <w:szCs w:val="16"/>
        </w:rPr>
        <w:t>/</w:t>
      </w:r>
      <w:r w:rsidRPr="00BE7E2C"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  <w:t>2018 أصبحت المرحلة الثانوية تشمل الصفوف العاشر والحادي عشر والثاني عشر وذلك بالاستناد الى قانون التعليم الجديد الصادر عن وزارة التربية والتعليم العالي باعتبار الصف العاشر ضمن المرحلة الثانوية.</w:t>
      </w:r>
    </w:p>
    <w:p w:rsidR="005D1AD5" w:rsidRPr="008810EC" w:rsidRDefault="005D1AD5" w:rsidP="00012356">
      <w:pPr>
        <w:pStyle w:val="FootnoteText"/>
        <w:rPr>
          <w:color w:val="000000" w:themeColor="text1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6289"/>
    <w:rsid w:val="00001D49"/>
    <w:rsid w:val="00005E3B"/>
    <w:rsid w:val="0001032B"/>
    <w:rsid w:val="0001058B"/>
    <w:rsid w:val="00010598"/>
    <w:rsid w:val="00012356"/>
    <w:rsid w:val="00014E0C"/>
    <w:rsid w:val="00014E38"/>
    <w:rsid w:val="000152C2"/>
    <w:rsid w:val="00016054"/>
    <w:rsid w:val="0001614F"/>
    <w:rsid w:val="000171EF"/>
    <w:rsid w:val="000172EC"/>
    <w:rsid w:val="00023617"/>
    <w:rsid w:val="00025E1A"/>
    <w:rsid w:val="00033376"/>
    <w:rsid w:val="0003710A"/>
    <w:rsid w:val="000405CC"/>
    <w:rsid w:val="000409AD"/>
    <w:rsid w:val="000410C8"/>
    <w:rsid w:val="000423AF"/>
    <w:rsid w:val="00043CF3"/>
    <w:rsid w:val="000523FA"/>
    <w:rsid w:val="00053AA4"/>
    <w:rsid w:val="00054147"/>
    <w:rsid w:val="00054539"/>
    <w:rsid w:val="0005461B"/>
    <w:rsid w:val="000546DE"/>
    <w:rsid w:val="0005579F"/>
    <w:rsid w:val="0005613F"/>
    <w:rsid w:val="00060519"/>
    <w:rsid w:val="00061718"/>
    <w:rsid w:val="00062DAC"/>
    <w:rsid w:val="00063ACF"/>
    <w:rsid w:val="0006400F"/>
    <w:rsid w:val="000644B9"/>
    <w:rsid w:val="000667A6"/>
    <w:rsid w:val="0007013C"/>
    <w:rsid w:val="00070272"/>
    <w:rsid w:val="0007082F"/>
    <w:rsid w:val="00073C25"/>
    <w:rsid w:val="00075C9C"/>
    <w:rsid w:val="00081045"/>
    <w:rsid w:val="000833D4"/>
    <w:rsid w:val="00085068"/>
    <w:rsid w:val="000865CE"/>
    <w:rsid w:val="00086A34"/>
    <w:rsid w:val="00087514"/>
    <w:rsid w:val="00094E10"/>
    <w:rsid w:val="00095AC5"/>
    <w:rsid w:val="00096314"/>
    <w:rsid w:val="0009756A"/>
    <w:rsid w:val="000A02C0"/>
    <w:rsid w:val="000A53F0"/>
    <w:rsid w:val="000B1678"/>
    <w:rsid w:val="000B18D8"/>
    <w:rsid w:val="000B35C9"/>
    <w:rsid w:val="000B3E4A"/>
    <w:rsid w:val="000B4149"/>
    <w:rsid w:val="000B4C59"/>
    <w:rsid w:val="000B66D7"/>
    <w:rsid w:val="000B7FCE"/>
    <w:rsid w:val="000C4688"/>
    <w:rsid w:val="000C4C36"/>
    <w:rsid w:val="000C4C71"/>
    <w:rsid w:val="000C7EFF"/>
    <w:rsid w:val="000D21AD"/>
    <w:rsid w:val="000D2ABD"/>
    <w:rsid w:val="000D65FF"/>
    <w:rsid w:val="000E0F32"/>
    <w:rsid w:val="000E2010"/>
    <w:rsid w:val="000E2FA3"/>
    <w:rsid w:val="000E53CE"/>
    <w:rsid w:val="000E66C4"/>
    <w:rsid w:val="000F4585"/>
    <w:rsid w:val="000F5AC9"/>
    <w:rsid w:val="000F76BE"/>
    <w:rsid w:val="000F7D50"/>
    <w:rsid w:val="000F7D78"/>
    <w:rsid w:val="00101FFC"/>
    <w:rsid w:val="00102C1D"/>
    <w:rsid w:val="0010764B"/>
    <w:rsid w:val="00107CC2"/>
    <w:rsid w:val="001127DC"/>
    <w:rsid w:val="001129D5"/>
    <w:rsid w:val="001168BB"/>
    <w:rsid w:val="00116F66"/>
    <w:rsid w:val="00117A0E"/>
    <w:rsid w:val="001231AD"/>
    <w:rsid w:val="001238FE"/>
    <w:rsid w:val="00126663"/>
    <w:rsid w:val="00131246"/>
    <w:rsid w:val="00133079"/>
    <w:rsid w:val="00134DC7"/>
    <w:rsid w:val="00137193"/>
    <w:rsid w:val="001372EE"/>
    <w:rsid w:val="00137F54"/>
    <w:rsid w:val="00140016"/>
    <w:rsid w:val="00142AC7"/>
    <w:rsid w:val="00143C5B"/>
    <w:rsid w:val="00145699"/>
    <w:rsid w:val="00146F76"/>
    <w:rsid w:val="00146FDB"/>
    <w:rsid w:val="00151BB5"/>
    <w:rsid w:val="001520C7"/>
    <w:rsid w:val="0015597D"/>
    <w:rsid w:val="00156951"/>
    <w:rsid w:val="00156D6A"/>
    <w:rsid w:val="001579ED"/>
    <w:rsid w:val="00163B70"/>
    <w:rsid w:val="001646F3"/>
    <w:rsid w:val="00165DA6"/>
    <w:rsid w:val="00170063"/>
    <w:rsid w:val="00173C8F"/>
    <w:rsid w:val="0017410A"/>
    <w:rsid w:val="001745CD"/>
    <w:rsid w:val="00175D85"/>
    <w:rsid w:val="001760EF"/>
    <w:rsid w:val="00181D48"/>
    <w:rsid w:val="0018474B"/>
    <w:rsid w:val="001859F6"/>
    <w:rsid w:val="0019070B"/>
    <w:rsid w:val="00197BA4"/>
    <w:rsid w:val="001A0963"/>
    <w:rsid w:val="001A4D51"/>
    <w:rsid w:val="001B05CF"/>
    <w:rsid w:val="001B3812"/>
    <w:rsid w:val="001B61C2"/>
    <w:rsid w:val="001B66C6"/>
    <w:rsid w:val="001C05C9"/>
    <w:rsid w:val="001C147D"/>
    <w:rsid w:val="001C184A"/>
    <w:rsid w:val="001C215E"/>
    <w:rsid w:val="001C2F95"/>
    <w:rsid w:val="001C40F3"/>
    <w:rsid w:val="001C4D8A"/>
    <w:rsid w:val="001C730A"/>
    <w:rsid w:val="001C7BA0"/>
    <w:rsid w:val="001D31C7"/>
    <w:rsid w:val="001D41A3"/>
    <w:rsid w:val="001D5CB1"/>
    <w:rsid w:val="001E0C71"/>
    <w:rsid w:val="001E6191"/>
    <w:rsid w:val="001E6A78"/>
    <w:rsid w:val="001E7A7F"/>
    <w:rsid w:val="001E7B7F"/>
    <w:rsid w:val="001F1673"/>
    <w:rsid w:val="001F289C"/>
    <w:rsid w:val="001F2F78"/>
    <w:rsid w:val="001F53C5"/>
    <w:rsid w:val="002002DA"/>
    <w:rsid w:val="00201DED"/>
    <w:rsid w:val="00203821"/>
    <w:rsid w:val="00207CD9"/>
    <w:rsid w:val="00210AC3"/>
    <w:rsid w:val="00211B04"/>
    <w:rsid w:val="00217202"/>
    <w:rsid w:val="00217C7C"/>
    <w:rsid w:val="00232F91"/>
    <w:rsid w:val="00233D1D"/>
    <w:rsid w:val="00236764"/>
    <w:rsid w:val="00244193"/>
    <w:rsid w:val="00252939"/>
    <w:rsid w:val="002568DD"/>
    <w:rsid w:val="00257133"/>
    <w:rsid w:val="002605BA"/>
    <w:rsid w:val="002624A1"/>
    <w:rsid w:val="002709C2"/>
    <w:rsid w:val="00270B92"/>
    <w:rsid w:val="002712CC"/>
    <w:rsid w:val="00275B7F"/>
    <w:rsid w:val="00280693"/>
    <w:rsid w:val="00280F43"/>
    <w:rsid w:val="00282E2A"/>
    <w:rsid w:val="00295FD2"/>
    <w:rsid w:val="0029775C"/>
    <w:rsid w:val="00297D9C"/>
    <w:rsid w:val="002A2440"/>
    <w:rsid w:val="002A5983"/>
    <w:rsid w:val="002A6C66"/>
    <w:rsid w:val="002A750C"/>
    <w:rsid w:val="002B172B"/>
    <w:rsid w:val="002B5D6A"/>
    <w:rsid w:val="002B761F"/>
    <w:rsid w:val="002B7A61"/>
    <w:rsid w:val="002C4ADE"/>
    <w:rsid w:val="002C59E6"/>
    <w:rsid w:val="002C7CC1"/>
    <w:rsid w:val="002D0A13"/>
    <w:rsid w:val="002D2519"/>
    <w:rsid w:val="002D3017"/>
    <w:rsid w:val="002D3D68"/>
    <w:rsid w:val="002D4FCE"/>
    <w:rsid w:val="002D5EEF"/>
    <w:rsid w:val="002E0B35"/>
    <w:rsid w:val="002E2F0A"/>
    <w:rsid w:val="002E3318"/>
    <w:rsid w:val="002E5C1C"/>
    <w:rsid w:val="002F132B"/>
    <w:rsid w:val="002F45AE"/>
    <w:rsid w:val="002F45C2"/>
    <w:rsid w:val="002F56F4"/>
    <w:rsid w:val="002F5882"/>
    <w:rsid w:val="002F5A94"/>
    <w:rsid w:val="002F7954"/>
    <w:rsid w:val="00300875"/>
    <w:rsid w:val="00300ECE"/>
    <w:rsid w:val="00301099"/>
    <w:rsid w:val="0030255F"/>
    <w:rsid w:val="00304CF9"/>
    <w:rsid w:val="00304E4D"/>
    <w:rsid w:val="003057D1"/>
    <w:rsid w:val="00305A8D"/>
    <w:rsid w:val="00306961"/>
    <w:rsid w:val="00314D1C"/>
    <w:rsid w:val="00314FB7"/>
    <w:rsid w:val="003235A9"/>
    <w:rsid w:val="00325A2D"/>
    <w:rsid w:val="00330D26"/>
    <w:rsid w:val="003312D4"/>
    <w:rsid w:val="003328DD"/>
    <w:rsid w:val="003329E9"/>
    <w:rsid w:val="0033588A"/>
    <w:rsid w:val="00337C4E"/>
    <w:rsid w:val="003407B4"/>
    <w:rsid w:val="003436D8"/>
    <w:rsid w:val="00344732"/>
    <w:rsid w:val="00345A5D"/>
    <w:rsid w:val="00347317"/>
    <w:rsid w:val="003508A5"/>
    <w:rsid w:val="0035458E"/>
    <w:rsid w:val="00354DB6"/>
    <w:rsid w:val="00356374"/>
    <w:rsid w:val="0035762F"/>
    <w:rsid w:val="00357906"/>
    <w:rsid w:val="00360344"/>
    <w:rsid w:val="003604CA"/>
    <w:rsid w:val="003615CA"/>
    <w:rsid w:val="00361ED6"/>
    <w:rsid w:val="003628F7"/>
    <w:rsid w:val="0036658F"/>
    <w:rsid w:val="00370883"/>
    <w:rsid w:val="00370DBC"/>
    <w:rsid w:val="00373C3C"/>
    <w:rsid w:val="00376027"/>
    <w:rsid w:val="003765D0"/>
    <w:rsid w:val="00380E97"/>
    <w:rsid w:val="0038141F"/>
    <w:rsid w:val="003819FB"/>
    <w:rsid w:val="00387DE6"/>
    <w:rsid w:val="00387EDD"/>
    <w:rsid w:val="00390723"/>
    <w:rsid w:val="00390BBB"/>
    <w:rsid w:val="00390EDD"/>
    <w:rsid w:val="00391608"/>
    <w:rsid w:val="003A0DF3"/>
    <w:rsid w:val="003A40EC"/>
    <w:rsid w:val="003B374D"/>
    <w:rsid w:val="003B6539"/>
    <w:rsid w:val="003B69C3"/>
    <w:rsid w:val="003C0ACB"/>
    <w:rsid w:val="003C0C2C"/>
    <w:rsid w:val="003C4E76"/>
    <w:rsid w:val="003C7C88"/>
    <w:rsid w:val="003C7D60"/>
    <w:rsid w:val="003D0B9C"/>
    <w:rsid w:val="003D152B"/>
    <w:rsid w:val="003D3485"/>
    <w:rsid w:val="003D4536"/>
    <w:rsid w:val="003D4D8F"/>
    <w:rsid w:val="003E022F"/>
    <w:rsid w:val="003E172C"/>
    <w:rsid w:val="003E22D0"/>
    <w:rsid w:val="003E2F3D"/>
    <w:rsid w:val="003E3FF9"/>
    <w:rsid w:val="003E4F72"/>
    <w:rsid w:val="003E5D70"/>
    <w:rsid w:val="003F173C"/>
    <w:rsid w:val="003F1C19"/>
    <w:rsid w:val="003F428B"/>
    <w:rsid w:val="00402D7E"/>
    <w:rsid w:val="00406198"/>
    <w:rsid w:val="00406C5D"/>
    <w:rsid w:val="0040796D"/>
    <w:rsid w:val="004079F7"/>
    <w:rsid w:val="00407E16"/>
    <w:rsid w:val="00410687"/>
    <w:rsid w:val="00413A78"/>
    <w:rsid w:val="004150FD"/>
    <w:rsid w:val="004161A9"/>
    <w:rsid w:val="00416A89"/>
    <w:rsid w:val="0041760A"/>
    <w:rsid w:val="00422D9C"/>
    <w:rsid w:val="00434514"/>
    <w:rsid w:val="00434AC9"/>
    <w:rsid w:val="00434F83"/>
    <w:rsid w:val="00436062"/>
    <w:rsid w:val="00440775"/>
    <w:rsid w:val="00442966"/>
    <w:rsid w:val="00445D20"/>
    <w:rsid w:val="004514A3"/>
    <w:rsid w:val="004525B4"/>
    <w:rsid w:val="00452F15"/>
    <w:rsid w:val="00455107"/>
    <w:rsid w:val="004554A9"/>
    <w:rsid w:val="004558CF"/>
    <w:rsid w:val="00457530"/>
    <w:rsid w:val="004576A1"/>
    <w:rsid w:val="0046013F"/>
    <w:rsid w:val="00461BAF"/>
    <w:rsid w:val="00462F04"/>
    <w:rsid w:val="0046318D"/>
    <w:rsid w:val="00463F56"/>
    <w:rsid w:val="00471160"/>
    <w:rsid w:val="00472443"/>
    <w:rsid w:val="00484628"/>
    <w:rsid w:val="00491683"/>
    <w:rsid w:val="004936EC"/>
    <w:rsid w:val="004939C6"/>
    <w:rsid w:val="00495787"/>
    <w:rsid w:val="00496A92"/>
    <w:rsid w:val="0049720F"/>
    <w:rsid w:val="004A294B"/>
    <w:rsid w:val="004A2EB2"/>
    <w:rsid w:val="004A570E"/>
    <w:rsid w:val="004A6D82"/>
    <w:rsid w:val="004B0C3E"/>
    <w:rsid w:val="004B29E2"/>
    <w:rsid w:val="004B74A9"/>
    <w:rsid w:val="004B74ED"/>
    <w:rsid w:val="004C0555"/>
    <w:rsid w:val="004C344D"/>
    <w:rsid w:val="004C41D8"/>
    <w:rsid w:val="004C52DD"/>
    <w:rsid w:val="004C7014"/>
    <w:rsid w:val="004C7B45"/>
    <w:rsid w:val="004D1288"/>
    <w:rsid w:val="004D14DD"/>
    <w:rsid w:val="004D2E52"/>
    <w:rsid w:val="004E230B"/>
    <w:rsid w:val="004E2AE8"/>
    <w:rsid w:val="004E32FD"/>
    <w:rsid w:val="004E4D97"/>
    <w:rsid w:val="004E7035"/>
    <w:rsid w:val="004F26CC"/>
    <w:rsid w:val="004F4570"/>
    <w:rsid w:val="004F49E9"/>
    <w:rsid w:val="004F525C"/>
    <w:rsid w:val="004F74F2"/>
    <w:rsid w:val="004F774C"/>
    <w:rsid w:val="00500553"/>
    <w:rsid w:val="00500A38"/>
    <w:rsid w:val="0050455D"/>
    <w:rsid w:val="00504756"/>
    <w:rsid w:val="005070EA"/>
    <w:rsid w:val="00510461"/>
    <w:rsid w:val="0051108C"/>
    <w:rsid w:val="00513BC0"/>
    <w:rsid w:val="0051452A"/>
    <w:rsid w:val="00514D71"/>
    <w:rsid w:val="00521E2A"/>
    <w:rsid w:val="00522473"/>
    <w:rsid w:val="00522605"/>
    <w:rsid w:val="00522749"/>
    <w:rsid w:val="00523840"/>
    <w:rsid w:val="00525369"/>
    <w:rsid w:val="00526658"/>
    <w:rsid w:val="00530515"/>
    <w:rsid w:val="00532064"/>
    <w:rsid w:val="00533096"/>
    <w:rsid w:val="00536351"/>
    <w:rsid w:val="005375F1"/>
    <w:rsid w:val="005401BC"/>
    <w:rsid w:val="0054060B"/>
    <w:rsid w:val="005437CF"/>
    <w:rsid w:val="00544ED9"/>
    <w:rsid w:val="00545784"/>
    <w:rsid w:val="005468EF"/>
    <w:rsid w:val="00546E86"/>
    <w:rsid w:val="00552215"/>
    <w:rsid w:val="00554B36"/>
    <w:rsid w:val="00554EBB"/>
    <w:rsid w:val="00556524"/>
    <w:rsid w:val="005628B9"/>
    <w:rsid w:val="005648D6"/>
    <w:rsid w:val="00566CC5"/>
    <w:rsid w:val="00567FEA"/>
    <w:rsid w:val="005717B1"/>
    <w:rsid w:val="00571BF3"/>
    <w:rsid w:val="005739F3"/>
    <w:rsid w:val="00574F5A"/>
    <w:rsid w:val="0057514E"/>
    <w:rsid w:val="00577AD9"/>
    <w:rsid w:val="005821B0"/>
    <w:rsid w:val="0058259F"/>
    <w:rsid w:val="00584765"/>
    <w:rsid w:val="0059063A"/>
    <w:rsid w:val="00590D07"/>
    <w:rsid w:val="00595C0D"/>
    <w:rsid w:val="005A1207"/>
    <w:rsid w:val="005A2480"/>
    <w:rsid w:val="005A257B"/>
    <w:rsid w:val="005A33FA"/>
    <w:rsid w:val="005A3D90"/>
    <w:rsid w:val="005A55B8"/>
    <w:rsid w:val="005B1029"/>
    <w:rsid w:val="005B278D"/>
    <w:rsid w:val="005B3E99"/>
    <w:rsid w:val="005B56E5"/>
    <w:rsid w:val="005B6872"/>
    <w:rsid w:val="005B6FD1"/>
    <w:rsid w:val="005C09E3"/>
    <w:rsid w:val="005C1AAB"/>
    <w:rsid w:val="005C4A81"/>
    <w:rsid w:val="005C6618"/>
    <w:rsid w:val="005D1AD5"/>
    <w:rsid w:val="005D3E57"/>
    <w:rsid w:val="005D6CAE"/>
    <w:rsid w:val="005D6EC3"/>
    <w:rsid w:val="005D6F95"/>
    <w:rsid w:val="005E042A"/>
    <w:rsid w:val="005E2B9A"/>
    <w:rsid w:val="005E2C2F"/>
    <w:rsid w:val="005E3AFD"/>
    <w:rsid w:val="005E423E"/>
    <w:rsid w:val="005E5B2F"/>
    <w:rsid w:val="005E6289"/>
    <w:rsid w:val="005F457D"/>
    <w:rsid w:val="005F533E"/>
    <w:rsid w:val="005F5963"/>
    <w:rsid w:val="006006E2"/>
    <w:rsid w:val="00605F58"/>
    <w:rsid w:val="00611962"/>
    <w:rsid w:val="006123D3"/>
    <w:rsid w:val="00615A9B"/>
    <w:rsid w:val="00615ECD"/>
    <w:rsid w:val="00622153"/>
    <w:rsid w:val="00622BB1"/>
    <w:rsid w:val="006304D0"/>
    <w:rsid w:val="006312F5"/>
    <w:rsid w:val="00631999"/>
    <w:rsid w:val="00631EC5"/>
    <w:rsid w:val="00633DAE"/>
    <w:rsid w:val="00634598"/>
    <w:rsid w:val="006374BB"/>
    <w:rsid w:val="00640CE8"/>
    <w:rsid w:val="00641B92"/>
    <w:rsid w:val="00643C51"/>
    <w:rsid w:val="00645C9B"/>
    <w:rsid w:val="00652D77"/>
    <w:rsid w:val="00652F7E"/>
    <w:rsid w:val="00653625"/>
    <w:rsid w:val="00654079"/>
    <w:rsid w:val="0065456A"/>
    <w:rsid w:val="0065595B"/>
    <w:rsid w:val="00657054"/>
    <w:rsid w:val="00661767"/>
    <w:rsid w:val="00662DF5"/>
    <w:rsid w:val="006631E1"/>
    <w:rsid w:val="006636E8"/>
    <w:rsid w:val="00663B44"/>
    <w:rsid w:val="006671C5"/>
    <w:rsid w:val="0066746C"/>
    <w:rsid w:val="00672DBA"/>
    <w:rsid w:val="00673679"/>
    <w:rsid w:val="00674F3A"/>
    <w:rsid w:val="00675411"/>
    <w:rsid w:val="00675A7B"/>
    <w:rsid w:val="00675D8C"/>
    <w:rsid w:val="00677CBD"/>
    <w:rsid w:val="00680C2B"/>
    <w:rsid w:val="00681856"/>
    <w:rsid w:val="006821BE"/>
    <w:rsid w:val="006831C2"/>
    <w:rsid w:val="00690253"/>
    <w:rsid w:val="00690727"/>
    <w:rsid w:val="00690987"/>
    <w:rsid w:val="00691D48"/>
    <w:rsid w:val="00697338"/>
    <w:rsid w:val="006A1A17"/>
    <w:rsid w:val="006A5928"/>
    <w:rsid w:val="006A5DA6"/>
    <w:rsid w:val="006B0F0E"/>
    <w:rsid w:val="006B42A7"/>
    <w:rsid w:val="006B62F7"/>
    <w:rsid w:val="006B7113"/>
    <w:rsid w:val="006C0AAC"/>
    <w:rsid w:val="006C2B0B"/>
    <w:rsid w:val="006C3972"/>
    <w:rsid w:val="006C3BA3"/>
    <w:rsid w:val="006C4E6A"/>
    <w:rsid w:val="006C59EF"/>
    <w:rsid w:val="006C6AFC"/>
    <w:rsid w:val="006C786C"/>
    <w:rsid w:val="006D199C"/>
    <w:rsid w:val="006D4050"/>
    <w:rsid w:val="006E0B0A"/>
    <w:rsid w:val="006F018D"/>
    <w:rsid w:val="006F0B33"/>
    <w:rsid w:val="006F4A43"/>
    <w:rsid w:val="0070498E"/>
    <w:rsid w:val="00704CF9"/>
    <w:rsid w:val="00707164"/>
    <w:rsid w:val="007103E8"/>
    <w:rsid w:val="00714EC4"/>
    <w:rsid w:val="0071564E"/>
    <w:rsid w:val="00715BBA"/>
    <w:rsid w:val="00721AFC"/>
    <w:rsid w:val="00722406"/>
    <w:rsid w:val="00724B2E"/>
    <w:rsid w:val="007255DD"/>
    <w:rsid w:val="00730389"/>
    <w:rsid w:val="007314FE"/>
    <w:rsid w:val="0073301E"/>
    <w:rsid w:val="00733A18"/>
    <w:rsid w:val="00736233"/>
    <w:rsid w:val="0073623C"/>
    <w:rsid w:val="00736638"/>
    <w:rsid w:val="00736D8D"/>
    <w:rsid w:val="0074258A"/>
    <w:rsid w:val="0074309C"/>
    <w:rsid w:val="007444C4"/>
    <w:rsid w:val="00744F42"/>
    <w:rsid w:val="0074645D"/>
    <w:rsid w:val="007472C5"/>
    <w:rsid w:val="00747BB4"/>
    <w:rsid w:val="00747DB0"/>
    <w:rsid w:val="00752BB0"/>
    <w:rsid w:val="00757582"/>
    <w:rsid w:val="0076003A"/>
    <w:rsid w:val="00760514"/>
    <w:rsid w:val="00760790"/>
    <w:rsid w:val="00760BDA"/>
    <w:rsid w:val="00761429"/>
    <w:rsid w:val="00765C57"/>
    <w:rsid w:val="007663B2"/>
    <w:rsid w:val="00766D98"/>
    <w:rsid w:val="00766F56"/>
    <w:rsid w:val="0077380E"/>
    <w:rsid w:val="00773E2D"/>
    <w:rsid w:val="00774599"/>
    <w:rsid w:val="0079269A"/>
    <w:rsid w:val="00795642"/>
    <w:rsid w:val="007959CC"/>
    <w:rsid w:val="007A00CE"/>
    <w:rsid w:val="007A539F"/>
    <w:rsid w:val="007A6F75"/>
    <w:rsid w:val="007A78C4"/>
    <w:rsid w:val="007B146C"/>
    <w:rsid w:val="007B1BCC"/>
    <w:rsid w:val="007C60BF"/>
    <w:rsid w:val="007C6264"/>
    <w:rsid w:val="007D47F8"/>
    <w:rsid w:val="007D540D"/>
    <w:rsid w:val="007D6E1D"/>
    <w:rsid w:val="007E7B70"/>
    <w:rsid w:val="007F33DC"/>
    <w:rsid w:val="007F60AB"/>
    <w:rsid w:val="00802165"/>
    <w:rsid w:val="00802FBC"/>
    <w:rsid w:val="008069E4"/>
    <w:rsid w:val="00806BCC"/>
    <w:rsid w:val="00807E67"/>
    <w:rsid w:val="00811490"/>
    <w:rsid w:val="00812A12"/>
    <w:rsid w:val="00812C93"/>
    <w:rsid w:val="0081530C"/>
    <w:rsid w:val="008156A3"/>
    <w:rsid w:val="0081597F"/>
    <w:rsid w:val="00822BBF"/>
    <w:rsid w:val="008309D9"/>
    <w:rsid w:val="00832BAF"/>
    <w:rsid w:val="0083610A"/>
    <w:rsid w:val="00836FF2"/>
    <w:rsid w:val="008401CE"/>
    <w:rsid w:val="00844003"/>
    <w:rsid w:val="008466E1"/>
    <w:rsid w:val="008466FA"/>
    <w:rsid w:val="008522AF"/>
    <w:rsid w:val="00853B56"/>
    <w:rsid w:val="00854DD3"/>
    <w:rsid w:val="008555A9"/>
    <w:rsid w:val="00856AAE"/>
    <w:rsid w:val="00856CC4"/>
    <w:rsid w:val="00861857"/>
    <w:rsid w:val="00862447"/>
    <w:rsid w:val="00864AA0"/>
    <w:rsid w:val="008668CD"/>
    <w:rsid w:val="00866905"/>
    <w:rsid w:val="008669FE"/>
    <w:rsid w:val="00867105"/>
    <w:rsid w:val="00870766"/>
    <w:rsid w:val="00870C7B"/>
    <w:rsid w:val="0087319B"/>
    <w:rsid w:val="008735D8"/>
    <w:rsid w:val="00874406"/>
    <w:rsid w:val="00874A04"/>
    <w:rsid w:val="00877D5B"/>
    <w:rsid w:val="008810EC"/>
    <w:rsid w:val="00881A40"/>
    <w:rsid w:val="00882805"/>
    <w:rsid w:val="00887180"/>
    <w:rsid w:val="00890FB5"/>
    <w:rsid w:val="00893A8B"/>
    <w:rsid w:val="0089507D"/>
    <w:rsid w:val="00895219"/>
    <w:rsid w:val="00895496"/>
    <w:rsid w:val="008A0D13"/>
    <w:rsid w:val="008A2355"/>
    <w:rsid w:val="008A3651"/>
    <w:rsid w:val="008A646D"/>
    <w:rsid w:val="008A650D"/>
    <w:rsid w:val="008A6EF7"/>
    <w:rsid w:val="008B27DE"/>
    <w:rsid w:val="008B379A"/>
    <w:rsid w:val="008B77DE"/>
    <w:rsid w:val="008C338C"/>
    <w:rsid w:val="008E35F6"/>
    <w:rsid w:val="008E37F5"/>
    <w:rsid w:val="008E4EC1"/>
    <w:rsid w:val="008E5253"/>
    <w:rsid w:val="008E6DE8"/>
    <w:rsid w:val="008F2474"/>
    <w:rsid w:val="008F5542"/>
    <w:rsid w:val="008F64C1"/>
    <w:rsid w:val="008F7CA0"/>
    <w:rsid w:val="00902AF0"/>
    <w:rsid w:val="0090313B"/>
    <w:rsid w:val="009031BB"/>
    <w:rsid w:val="00905019"/>
    <w:rsid w:val="00905C22"/>
    <w:rsid w:val="00907AE3"/>
    <w:rsid w:val="00907C8D"/>
    <w:rsid w:val="009109BE"/>
    <w:rsid w:val="0091191A"/>
    <w:rsid w:val="00915FC4"/>
    <w:rsid w:val="00917400"/>
    <w:rsid w:val="00917B41"/>
    <w:rsid w:val="00921812"/>
    <w:rsid w:val="00921946"/>
    <w:rsid w:val="0092383A"/>
    <w:rsid w:val="009328AF"/>
    <w:rsid w:val="009350D4"/>
    <w:rsid w:val="009362BB"/>
    <w:rsid w:val="0093656B"/>
    <w:rsid w:val="00937D4C"/>
    <w:rsid w:val="0094130B"/>
    <w:rsid w:val="00941B9D"/>
    <w:rsid w:val="00941E31"/>
    <w:rsid w:val="00941ED0"/>
    <w:rsid w:val="00943872"/>
    <w:rsid w:val="00945DDA"/>
    <w:rsid w:val="00945F2F"/>
    <w:rsid w:val="00946D60"/>
    <w:rsid w:val="00946FB9"/>
    <w:rsid w:val="009476B5"/>
    <w:rsid w:val="00951E15"/>
    <w:rsid w:val="00953ABA"/>
    <w:rsid w:val="009615B4"/>
    <w:rsid w:val="009629DC"/>
    <w:rsid w:val="00966AEC"/>
    <w:rsid w:val="00966FC8"/>
    <w:rsid w:val="00967A48"/>
    <w:rsid w:val="00970C34"/>
    <w:rsid w:val="00971FF5"/>
    <w:rsid w:val="009750B7"/>
    <w:rsid w:val="00976187"/>
    <w:rsid w:val="00976ADA"/>
    <w:rsid w:val="00981377"/>
    <w:rsid w:val="00982075"/>
    <w:rsid w:val="00990407"/>
    <w:rsid w:val="009905B9"/>
    <w:rsid w:val="0099252B"/>
    <w:rsid w:val="00993EEA"/>
    <w:rsid w:val="0099553F"/>
    <w:rsid w:val="0099593D"/>
    <w:rsid w:val="00995C2F"/>
    <w:rsid w:val="0099710C"/>
    <w:rsid w:val="009A3AA5"/>
    <w:rsid w:val="009A3E24"/>
    <w:rsid w:val="009A64E9"/>
    <w:rsid w:val="009A7C5F"/>
    <w:rsid w:val="009B1157"/>
    <w:rsid w:val="009B14A9"/>
    <w:rsid w:val="009B54EA"/>
    <w:rsid w:val="009B5811"/>
    <w:rsid w:val="009B673C"/>
    <w:rsid w:val="009C12C0"/>
    <w:rsid w:val="009C3C6B"/>
    <w:rsid w:val="009C3F46"/>
    <w:rsid w:val="009C4D5B"/>
    <w:rsid w:val="009D0C28"/>
    <w:rsid w:val="009D21C0"/>
    <w:rsid w:val="009D26D2"/>
    <w:rsid w:val="009D7101"/>
    <w:rsid w:val="009D7553"/>
    <w:rsid w:val="009E154A"/>
    <w:rsid w:val="009E18DB"/>
    <w:rsid w:val="009E207B"/>
    <w:rsid w:val="009E57CF"/>
    <w:rsid w:val="009F059F"/>
    <w:rsid w:val="009F07CA"/>
    <w:rsid w:val="00A000E6"/>
    <w:rsid w:val="00A0567C"/>
    <w:rsid w:val="00A07461"/>
    <w:rsid w:val="00A07E55"/>
    <w:rsid w:val="00A119D4"/>
    <w:rsid w:val="00A1252F"/>
    <w:rsid w:val="00A12532"/>
    <w:rsid w:val="00A12CF7"/>
    <w:rsid w:val="00A16E3E"/>
    <w:rsid w:val="00A173C0"/>
    <w:rsid w:val="00A224C8"/>
    <w:rsid w:val="00A234BA"/>
    <w:rsid w:val="00A27377"/>
    <w:rsid w:val="00A31E75"/>
    <w:rsid w:val="00A33649"/>
    <w:rsid w:val="00A3537F"/>
    <w:rsid w:val="00A45325"/>
    <w:rsid w:val="00A463C5"/>
    <w:rsid w:val="00A51113"/>
    <w:rsid w:val="00A5201B"/>
    <w:rsid w:val="00A56869"/>
    <w:rsid w:val="00A70D6D"/>
    <w:rsid w:val="00A9014C"/>
    <w:rsid w:val="00A921C4"/>
    <w:rsid w:val="00AA0071"/>
    <w:rsid w:val="00AA13FA"/>
    <w:rsid w:val="00AA2D4C"/>
    <w:rsid w:val="00AA3B07"/>
    <w:rsid w:val="00AA4730"/>
    <w:rsid w:val="00AA4FAC"/>
    <w:rsid w:val="00AA6FC7"/>
    <w:rsid w:val="00AB01C5"/>
    <w:rsid w:val="00AB02FC"/>
    <w:rsid w:val="00AB1206"/>
    <w:rsid w:val="00AB13F6"/>
    <w:rsid w:val="00AB373F"/>
    <w:rsid w:val="00AB39FC"/>
    <w:rsid w:val="00AB3AB7"/>
    <w:rsid w:val="00AB6350"/>
    <w:rsid w:val="00AB7C67"/>
    <w:rsid w:val="00AC02FC"/>
    <w:rsid w:val="00AC0EB2"/>
    <w:rsid w:val="00AC3812"/>
    <w:rsid w:val="00AC69F4"/>
    <w:rsid w:val="00AD2867"/>
    <w:rsid w:val="00AD49BF"/>
    <w:rsid w:val="00AD5BCE"/>
    <w:rsid w:val="00AE1EF0"/>
    <w:rsid w:val="00AE4F2A"/>
    <w:rsid w:val="00AE4F3D"/>
    <w:rsid w:val="00AE5983"/>
    <w:rsid w:val="00AE74C2"/>
    <w:rsid w:val="00AF0783"/>
    <w:rsid w:val="00AF420E"/>
    <w:rsid w:val="00AF536A"/>
    <w:rsid w:val="00B00837"/>
    <w:rsid w:val="00B01727"/>
    <w:rsid w:val="00B0233F"/>
    <w:rsid w:val="00B0282B"/>
    <w:rsid w:val="00B07939"/>
    <w:rsid w:val="00B10930"/>
    <w:rsid w:val="00B12FBE"/>
    <w:rsid w:val="00B13225"/>
    <w:rsid w:val="00B1381C"/>
    <w:rsid w:val="00B13BA8"/>
    <w:rsid w:val="00B16402"/>
    <w:rsid w:val="00B2081E"/>
    <w:rsid w:val="00B21D91"/>
    <w:rsid w:val="00B21FD1"/>
    <w:rsid w:val="00B238BF"/>
    <w:rsid w:val="00B24349"/>
    <w:rsid w:val="00B2570A"/>
    <w:rsid w:val="00B2799D"/>
    <w:rsid w:val="00B30B2C"/>
    <w:rsid w:val="00B3200C"/>
    <w:rsid w:val="00B36E21"/>
    <w:rsid w:val="00B3755D"/>
    <w:rsid w:val="00B37A89"/>
    <w:rsid w:val="00B437CC"/>
    <w:rsid w:val="00B50BD9"/>
    <w:rsid w:val="00B53634"/>
    <w:rsid w:val="00B54582"/>
    <w:rsid w:val="00B5530F"/>
    <w:rsid w:val="00B61E75"/>
    <w:rsid w:val="00B64B09"/>
    <w:rsid w:val="00B65E07"/>
    <w:rsid w:val="00B66CC9"/>
    <w:rsid w:val="00B678D7"/>
    <w:rsid w:val="00B82A42"/>
    <w:rsid w:val="00B8415B"/>
    <w:rsid w:val="00B84DC5"/>
    <w:rsid w:val="00B85268"/>
    <w:rsid w:val="00B96120"/>
    <w:rsid w:val="00B962A1"/>
    <w:rsid w:val="00B9716E"/>
    <w:rsid w:val="00BA0F76"/>
    <w:rsid w:val="00BA44EB"/>
    <w:rsid w:val="00BA4A5C"/>
    <w:rsid w:val="00BA64D1"/>
    <w:rsid w:val="00BB2837"/>
    <w:rsid w:val="00BB3074"/>
    <w:rsid w:val="00BB533A"/>
    <w:rsid w:val="00BC05E1"/>
    <w:rsid w:val="00BC3D10"/>
    <w:rsid w:val="00BC778F"/>
    <w:rsid w:val="00BC7AB0"/>
    <w:rsid w:val="00BD0368"/>
    <w:rsid w:val="00BD1365"/>
    <w:rsid w:val="00BD1CCD"/>
    <w:rsid w:val="00BD3585"/>
    <w:rsid w:val="00BD4F82"/>
    <w:rsid w:val="00BD4FE2"/>
    <w:rsid w:val="00BD7B57"/>
    <w:rsid w:val="00BE337E"/>
    <w:rsid w:val="00BE5868"/>
    <w:rsid w:val="00BE7E2C"/>
    <w:rsid w:val="00BF0075"/>
    <w:rsid w:val="00BF1F49"/>
    <w:rsid w:val="00BF5C5D"/>
    <w:rsid w:val="00C03745"/>
    <w:rsid w:val="00C11100"/>
    <w:rsid w:val="00C11DE8"/>
    <w:rsid w:val="00C12917"/>
    <w:rsid w:val="00C12D27"/>
    <w:rsid w:val="00C133AC"/>
    <w:rsid w:val="00C1446C"/>
    <w:rsid w:val="00C15B86"/>
    <w:rsid w:val="00C24028"/>
    <w:rsid w:val="00C24371"/>
    <w:rsid w:val="00C25E3D"/>
    <w:rsid w:val="00C26C6F"/>
    <w:rsid w:val="00C302AC"/>
    <w:rsid w:val="00C329AA"/>
    <w:rsid w:val="00C3327F"/>
    <w:rsid w:val="00C36388"/>
    <w:rsid w:val="00C40083"/>
    <w:rsid w:val="00C40A7E"/>
    <w:rsid w:val="00C418C8"/>
    <w:rsid w:val="00C448CC"/>
    <w:rsid w:val="00C449E2"/>
    <w:rsid w:val="00C4760E"/>
    <w:rsid w:val="00C62A93"/>
    <w:rsid w:val="00C64897"/>
    <w:rsid w:val="00C676EF"/>
    <w:rsid w:val="00C73872"/>
    <w:rsid w:val="00C73E98"/>
    <w:rsid w:val="00C74420"/>
    <w:rsid w:val="00C77E4F"/>
    <w:rsid w:val="00C82E81"/>
    <w:rsid w:val="00C915FE"/>
    <w:rsid w:val="00C960C5"/>
    <w:rsid w:val="00C9626F"/>
    <w:rsid w:val="00C965E0"/>
    <w:rsid w:val="00CA02E0"/>
    <w:rsid w:val="00CA3E14"/>
    <w:rsid w:val="00CA41A1"/>
    <w:rsid w:val="00CA4C78"/>
    <w:rsid w:val="00CA5146"/>
    <w:rsid w:val="00CA58D7"/>
    <w:rsid w:val="00CA6DFF"/>
    <w:rsid w:val="00CB135D"/>
    <w:rsid w:val="00CB3653"/>
    <w:rsid w:val="00CB3992"/>
    <w:rsid w:val="00CB40AD"/>
    <w:rsid w:val="00CB4996"/>
    <w:rsid w:val="00CB5188"/>
    <w:rsid w:val="00CB5924"/>
    <w:rsid w:val="00CB7D39"/>
    <w:rsid w:val="00CC3C94"/>
    <w:rsid w:val="00CC5CCF"/>
    <w:rsid w:val="00CD27D5"/>
    <w:rsid w:val="00CD2DCF"/>
    <w:rsid w:val="00CD338B"/>
    <w:rsid w:val="00CD3D96"/>
    <w:rsid w:val="00CD41C9"/>
    <w:rsid w:val="00CD4C98"/>
    <w:rsid w:val="00CE24BB"/>
    <w:rsid w:val="00CE468B"/>
    <w:rsid w:val="00CE6D84"/>
    <w:rsid w:val="00CF2CB8"/>
    <w:rsid w:val="00CF35FF"/>
    <w:rsid w:val="00D0167B"/>
    <w:rsid w:val="00D01A7A"/>
    <w:rsid w:val="00D0416F"/>
    <w:rsid w:val="00D0546C"/>
    <w:rsid w:val="00D0559D"/>
    <w:rsid w:val="00D11C23"/>
    <w:rsid w:val="00D1291E"/>
    <w:rsid w:val="00D12F2A"/>
    <w:rsid w:val="00D14880"/>
    <w:rsid w:val="00D16878"/>
    <w:rsid w:val="00D1754A"/>
    <w:rsid w:val="00D20511"/>
    <w:rsid w:val="00D2172C"/>
    <w:rsid w:val="00D21863"/>
    <w:rsid w:val="00D21BA1"/>
    <w:rsid w:val="00D24554"/>
    <w:rsid w:val="00D27FAB"/>
    <w:rsid w:val="00D30120"/>
    <w:rsid w:val="00D31B19"/>
    <w:rsid w:val="00D35FCC"/>
    <w:rsid w:val="00D42F48"/>
    <w:rsid w:val="00D43110"/>
    <w:rsid w:val="00D43870"/>
    <w:rsid w:val="00D476A3"/>
    <w:rsid w:val="00D47D84"/>
    <w:rsid w:val="00D50BC4"/>
    <w:rsid w:val="00D53BF3"/>
    <w:rsid w:val="00D57C33"/>
    <w:rsid w:val="00D6006E"/>
    <w:rsid w:val="00D60F45"/>
    <w:rsid w:val="00D61985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7D89"/>
    <w:rsid w:val="00D80948"/>
    <w:rsid w:val="00D81CA5"/>
    <w:rsid w:val="00D82CFF"/>
    <w:rsid w:val="00D8513F"/>
    <w:rsid w:val="00D85E17"/>
    <w:rsid w:val="00D873B0"/>
    <w:rsid w:val="00D8791E"/>
    <w:rsid w:val="00D91E6F"/>
    <w:rsid w:val="00D93DB5"/>
    <w:rsid w:val="00D94A42"/>
    <w:rsid w:val="00D96258"/>
    <w:rsid w:val="00D96E46"/>
    <w:rsid w:val="00DA02BA"/>
    <w:rsid w:val="00DA11CE"/>
    <w:rsid w:val="00DA3DE2"/>
    <w:rsid w:val="00DA429C"/>
    <w:rsid w:val="00DA577E"/>
    <w:rsid w:val="00DA628A"/>
    <w:rsid w:val="00DB0629"/>
    <w:rsid w:val="00DB297C"/>
    <w:rsid w:val="00DC0B63"/>
    <w:rsid w:val="00DC4B59"/>
    <w:rsid w:val="00DC6FE2"/>
    <w:rsid w:val="00DC7507"/>
    <w:rsid w:val="00DD0053"/>
    <w:rsid w:val="00DD0243"/>
    <w:rsid w:val="00DD23EB"/>
    <w:rsid w:val="00DD257E"/>
    <w:rsid w:val="00DD2F53"/>
    <w:rsid w:val="00DD7994"/>
    <w:rsid w:val="00DE04F4"/>
    <w:rsid w:val="00DE228F"/>
    <w:rsid w:val="00DE575B"/>
    <w:rsid w:val="00DE650D"/>
    <w:rsid w:val="00DF0D4A"/>
    <w:rsid w:val="00DF3008"/>
    <w:rsid w:val="00DF52E1"/>
    <w:rsid w:val="00DF5D6F"/>
    <w:rsid w:val="00E00E36"/>
    <w:rsid w:val="00E01F9C"/>
    <w:rsid w:val="00E03F0E"/>
    <w:rsid w:val="00E055E8"/>
    <w:rsid w:val="00E05621"/>
    <w:rsid w:val="00E100EE"/>
    <w:rsid w:val="00E10195"/>
    <w:rsid w:val="00E12AE0"/>
    <w:rsid w:val="00E145C3"/>
    <w:rsid w:val="00E15137"/>
    <w:rsid w:val="00E15C70"/>
    <w:rsid w:val="00E20407"/>
    <w:rsid w:val="00E23336"/>
    <w:rsid w:val="00E23644"/>
    <w:rsid w:val="00E25817"/>
    <w:rsid w:val="00E260D0"/>
    <w:rsid w:val="00E26D54"/>
    <w:rsid w:val="00E26DAC"/>
    <w:rsid w:val="00E27147"/>
    <w:rsid w:val="00E3026F"/>
    <w:rsid w:val="00E323A9"/>
    <w:rsid w:val="00E339F8"/>
    <w:rsid w:val="00E33A60"/>
    <w:rsid w:val="00E3667D"/>
    <w:rsid w:val="00E368BB"/>
    <w:rsid w:val="00E37E4C"/>
    <w:rsid w:val="00E37FA1"/>
    <w:rsid w:val="00E413E5"/>
    <w:rsid w:val="00E41771"/>
    <w:rsid w:val="00E42503"/>
    <w:rsid w:val="00E471A5"/>
    <w:rsid w:val="00E515E4"/>
    <w:rsid w:val="00E52952"/>
    <w:rsid w:val="00E52D00"/>
    <w:rsid w:val="00E54352"/>
    <w:rsid w:val="00E55A03"/>
    <w:rsid w:val="00E56F93"/>
    <w:rsid w:val="00E65605"/>
    <w:rsid w:val="00E665A4"/>
    <w:rsid w:val="00E703AE"/>
    <w:rsid w:val="00E703BF"/>
    <w:rsid w:val="00E7383D"/>
    <w:rsid w:val="00E74350"/>
    <w:rsid w:val="00E77E27"/>
    <w:rsid w:val="00E8028E"/>
    <w:rsid w:val="00E802D4"/>
    <w:rsid w:val="00E8080A"/>
    <w:rsid w:val="00E81618"/>
    <w:rsid w:val="00E83E4B"/>
    <w:rsid w:val="00E84ACA"/>
    <w:rsid w:val="00E860A0"/>
    <w:rsid w:val="00E87384"/>
    <w:rsid w:val="00E9566B"/>
    <w:rsid w:val="00E968FF"/>
    <w:rsid w:val="00EA2516"/>
    <w:rsid w:val="00EA3B44"/>
    <w:rsid w:val="00EA5437"/>
    <w:rsid w:val="00EA5ECA"/>
    <w:rsid w:val="00EA5F13"/>
    <w:rsid w:val="00EA6775"/>
    <w:rsid w:val="00EA71D0"/>
    <w:rsid w:val="00EB0809"/>
    <w:rsid w:val="00EB4206"/>
    <w:rsid w:val="00EC1B5A"/>
    <w:rsid w:val="00ED0214"/>
    <w:rsid w:val="00ED1120"/>
    <w:rsid w:val="00ED1805"/>
    <w:rsid w:val="00EE16D3"/>
    <w:rsid w:val="00EE3543"/>
    <w:rsid w:val="00EE3F3A"/>
    <w:rsid w:val="00EE5274"/>
    <w:rsid w:val="00EF347D"/>
    <w:rsid w:val="00EF6132"/>
    <w:rsid w:val="00EF701E"/>
    <w:rsid w:val="00F022EE"/>
    <w:rsid w:val="00F061CD"/>
    <w:rsid w:val="00F07D56"/>
    <w:rsid w:val="00F122DF"/>
    <w:rsid w:val="00F13C0C"/>
    <w:rsid w:val="00F175D4"/>
    <w:rsid w:val="00F20775"/>
    <w:rsid w:val="00F20FD5"/>
    <w:rsid w:val="00F22173"/>
    <w:rsid w:val="00F23AF9"/>
    <w:rsid w:val="00F23AFB"/>
    <w:rsid w:val="00F241C3"/>
    <w:rsid w:val="00F255B5"/>
    <w:rsid w:val="00F26065"/>
    <w:rsid w:val="00F266E8"/>
    <w:rsid w:val="00F32181"/>
    <w:rsid w:val="00F34F9A"/>
    <w:rsid w:val="00F4271E"/>
    <w:rsid w:val="00F44E1D"/>
    <w:rsid w:val="00F45BAB"/>
    <w:rsid w:val="00F45E45"/>
    <w:rsid w:val="00F52A84"/>
    <w:rsid w:val="00F554B4"/>
    <w:rsid w:val="00F55F9C"/>
    <w:rsid w:val="00F569AD"/>
    <w:rsid w:val="00F576B3"/>
    <w:rsid w:val="00F611A9"/>
    <w:rsid w:val="00F61DD4"/>
    <w:rsid w:val="00F6246E"/>
    <w:rsid w:val="00F629CC"/>
    <w:rsid w:val="00F67741"/>
    <w:rsid w:val="00F7073F"/>
    <w:rsid w:val="00F70A14"/>
    <w:rsid w:val="00F7269F"/>
    <w:rsid w:val="00F762E3"/>
    <w:rsid w:val="00F7797A"/>
    <w:rsid w:val="00F819C1"/>
    <w:rsid w:val="00F82B5B"/>
    <w:rsid w:val="00F8783F"/>
    <w:rsid w:val="00F87CB2"/>
    <w:rsid w:val="00F90358"/>
    <w:rsid w:val="00F912C9"/>
    <w:rsid w:val="00F9211E"/>
    <w:rsid w:val="00F93709"/>
    <w:rsid w:val="00F96AB9"/>
    <w:rsid w:val="00FA0B8F"/>
    <w:rsid w:val="00FA23F9"/>
    <w:rsid w:val="00FA320C"/>
    <w:rsid w:val="00FA5068"/>
    <w:rsid w:val="00FA52AB"/>
    <w:rsid w:val="00FA672E"/>
    <w:rsid w:val="00FA71AF"/>
    <w:rsid w:val="00FA7DE7"/>
    <w:rsid w:val="00FB0058"/>
    <w:rsid w:val="00FB5137"/>
    <w:rsid w:val="00FC2905"/>
    <w:rsid w:val="00FC34C3"/>
    <w:rsid w:val="00FC63FC"/>
    <w:rsid w:val="00FC7A62"/>
    <w:rsid w:val="00FD119E"/>
    <w:rsid w:val="00FD3FB6"/>
    <w:rsid w:val="00FD5A10"/>
    <w:rsid w:val="00FE3A9E"/>
    <w:rsid w:val="00FE4877"/>
    <w:rsid w:val="00FE5188"/>
    <w:rsid w:val="00FE6389"/>
    <w:rsid w:val="00FE6BF4"/>
    <w:rsid w:val="00FE7090"/>
    <w:rsid w:val="00FE74FC"/>
    <w:rsid w:val="00FF0CFC"/>
    <w:rsid w:val="00FF3E61"/>
    <w:rsid w:val="00FF47EF"/>
    <w:rsid w:val="00FF5653"/>
    <w:rsid w:val="00FF5B50"/>
    <w:rsid w:val="00FF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basedOn w:val="DefaultParagraphFont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5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semiHidden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basedOn w:val="DefaultParagraphFont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5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578081354288545"/>
          <c:y val="3.9932573083537051E-2"/>
          <c:w val="0.83861921878239165"/>
          <c:h val="0.62859564113190314"/>
        </c:manualLayout>
      </c:layout>
      <c:lineChart>
        <c:grouping val="standard"/>
        <c:ser>
          <c:idx val="0"/>
          <c:order val="0"/>
          <c:tx>
            <c:strRef>
              <c:f>Sheet1!$C$1</c:f>
              <c:strCache>
                <c:ptCount val="1"/>
                <c:pt idx="0">
                  <c:v>رجال</c:v>
                </c:pt>
              </c:strCache>
            </c:strRef>
          </c:tx>
          <c:spPr>
            <a:ln w="12695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3.6246986354583496E-2"/>
                  <c:y val="7.57041361209190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5494025727087183E-2"/>
                  <c:y val="-4.457262228280385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Sheet1!$A$2:$A$18</c:f>
              <c:numCache>
                <c:formatCode>General</c:formatCode>
                <c:ptCount val="17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4.2999999999999972</c:v>
                </c:pt>
                <c:pt idx="1">
                  <c:v>3.7000000000000042</c:v>
                </c:pt>
                <c:pt idx="2">
                  <c:v>3.5</c:v>
                </c:pt>
                <c:pt idx="3">
                  <c:v>3.0999999999999943</c:v>
                </c:pt>
                <c:pt idx="4">
                  <c:v>2.9000000000000057</c:v>
                </c:pt>
                <c:pt idx="5">
                  <c:v>2.7999999999999972</c:v>
                </c:pt>
                <c:pt idx="6">
                  <c:v>2.9000000000000057</c:v>
                </c:pt>
                <c:pt idx="7">
                  <c:v>2.5999999999999943</c:v>
                </c:pt>
                <c:pt idx="8">
                  <c:v>2.4000000000000057</c:v>
                </c:pt>
                <c:pt idx="9">
                  <c:v>2.0999999999999943</c:v>
                </c:pt>
                <c:pt idx="10">
                  <c:v>1.7999999999999952</c:v>
                </c:pt>
                <c:pt idx="11">
                  <c:v>1.5999999999999914</c:v>
                </c:pt>
                <c:pt idx="12">
                  <c:v>1.5999999999999914</c:v>
                </c:pt>
                <c:pt idx="13">
                  <c:v>1.5</c:v>
                </c:pt>
                <c:pt idx="14">
                  <c:v>1.4000000000000057</c:v>
                </c:pt>
                <c:pt idx="15">
                  <c:v>1.4000000000000057</c:v>
                </c:pt>
                <c:pt idx="16">
                  <c:v>1.2999999999999936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نساء</c:v>
                </c:pt>
              </c:strCache>
            </c:strRef>
          </c:tx>
          <c:spPr>
            <a:ln w="12695"/>
          </c:spPr>
          <c:marker>
            <c:symbol val="square"/>
            <c:size val="4"/>
          </c:marker>
          <c:dLbls>
            <c:dLbl>
              <c:idx val="0"/>
              <c:layout>
                <c:manualLayout>
                  <c:x val="-5.2731534530451298E-2"/>
                  <c:y val="0.10089816758349536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53602503288381E-2"/>
                  <c:y val="-9.091924366643666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Sheet1!$A$2:$A$18</c:f>
              <c:numCache>
                <c:formatCode>General</c:formatCode>
                <c:ptCount val="17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13.600000000000001</c:v>
                </c:pt>
                <c:pt idx="1">
                  <c:v>12.600000000000001</c:v>
                </c:pt>
                <c:pt idx="2" formatCode="0.0">
                  <c:v>12</c:v>
                </c:pt>
                <c:pt idx="3">
                  <c:v>11.100000000000001</c:v>
                </c:pt>
                <c:pt idx="4">
                  <c:v>10.200000000000003</c:v>
                </c:pt>
                <c:pt idx="5">
                  <c:v>9.5</c:v>
                </c:pt>
                <c:pt idx="6">
                  <c:v>9.1000000000000014</c:v>
                </c:pt>
                <c:pt idx="7">
                  <c:v>8.3000000000000025</c:v>
                </c:pt>
                <c:pt idx="8">
                  <c:v>7.7999999999999972</c:v>
                </c:pt>
                <c:pt idx="9">
                  <c:v>7.4000000000000083</c:v>
                </c:pt>
                <c:pt idx="10">
                  <c:v>6.4000000000000083</c:v>
                </c:pt>
                <c:pt idx="11">
                  <c:v>5.9000000000000083</c:v>
                </c:pt>
                <c:pt idx="12">
                  <c:v>5.5999999999999943</c:v>
                </c:pt>
                <c:pt idx="13">
                  <c:v>5.0999999999999943</c:v>
                </c:pt>
                <c:pt idx="14">
                  <c:v>4.7999999999999972</c:v>
                </c:pt>
                <c:pt idx="15">
                  <c:v>4.4000000000000083</c:v>
                </c:pt>
                <c:pt idx="16">
                  <c:v>4.2999999999999972</c:v>
                </c:pt>
              </c:numCache>
            </c:numRef>
          </c:val>
        </c:ser>
        <c:marker val="1"/>
        <c:axId val="52863360"/>
        <c:axId val="65138688"/>
      </c:lineChart>
      <c:catAx>
        <c:axId val="5286336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/>
                  <a:t>السنة</a:t>
                </a:r>
              </a:p>
            </c:rich>
          </c:tx>
          <c:layout>
            <c:manualLayout>
              <c:xMode val="edge"/>
              <c:yMode val="edge"/>
              <c:x val="0.48673565351158016"/>
              <c:y val="0.89405273204486713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5138688"/>
        <c:crosses val="autoZero"/>
        <c:auto val="1"/>
        <c:lblAlgn val="ctr"/>
        <c:lblOffset val="100"/>
      </c:catAx>
      <c:valAx>
        <c:axId val="65138688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/>
                  <a:t>المعدل</a:t>
                </a:r>
              </a:p>
            </c:rich>
          </c:tx>
          <c:layout>
            <c:manualLayout>
              <c:xMode val="edge"/>
              <c:yMode val="edge"/>
              <c:x val="1.71118865610599E-2"/>
              <c:y val="0.2928544357057754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2863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9272205763883481"/>
          <c:y val="7.7456692913387123E-2"/>
          <c:w val="0.41562360278577531"/>
          <c:h val="0.13411524695776691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</c:chart>
  <c:spPr>
    <a:ln>
      <a:solidFill>
        <a:sysClr val="windowText" lastClr="000000"/>
      </a:solidFill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629028987270736"/>
          <c:y val="7.84320786121247E-2"/>
          <c:w val="0.81571175963849685"/>
          <c:h val="0.5602175363672761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0"/>
          </c:spPr>
          <c:marker>
            <c:symbol val="diamond"/>
            <c:size val="4"/>
          </c:marker>
          <c:dLbls>
            <c:dLbl>
              <c:idx val="0"/>
              <c:layout>
                <c:manualLayout>
                  <c:x val="-5.6587245716801959E-2"/>
                  <c:y val="-5.888707509122342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1045537768044055E-2"/>
                  <c:y val="-6.69244659966284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Sheet1!$B$2:$B$19</c:f>
              <c:numCache>
                <c:formatCode>0.0</c:formatCode>
                <c:ptCount val="18"/>
                <c:pt idx="0">
                  <c:v>66.8</c:v>
                </c:pt>
                <c:pt idx="1">
                  <c:v>65.5</c:v>
                </c:pt>
                <c:pt idx="2">
                  <c:v>67.5</c:v>
                </c:pt>
                <c:pt idx="3" formatCode="General">
                  <c:v>66.900000000000006</c:v>
                </c:pt>
                <c:pt idx="4" formatCode="General">
                  <c:v>67.599999999999994</c:v>
                </c:pt>
                <c:pt idx="5" formatCode="General">
                  <c:v>67.7</c:v>
                </c:pt>
                <c:pt idx="6" formatCode="General">
                  <c:v>67.7</c:v>
                </c:pt>
                <c:pt idx="7" formatCode="General">
                  <c:v>66.8</c:v>
                </c:pt>
                <c:pt idx="8" formatCode="General">
                  <c:v>67</c:v>
                </c:pt>
                <c:pt idx="9" formatCode="General">
                  <c:v>66.8</c:v>
                </c:pt>
                <c:pt idx="10" formatCode="General">
                  <c:v>68.7</c:v>
                </c:pt>
                <c:pt idx="11" formatCode="General">
                  <c:v>69.099999999999994</c:v>
                </c:pt>
                <c:pt idx="12" formatCode="General">
                  <c:v>69.3</c:v>
                </c:pt>
                <c:pt idx="13">
                  <c:v>71.5</c:v>
                </c:pt>
                <c:pt idx="14">
                  <c:v>71.900000000000006</c:v>
                </c:pt>
                <c:pt idx="15">
                  <c:v>71.599999999999994</c:v>
                </c:pt>
                <c:pt idx="16">
                  <c:v>71.2</c:v>
                </c:pt>
                <c:pt idx="17">
                  <c:v>71.5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0">
              <a:solidFill>
                <a:srgbClr val="C0504D">
                  <a:shade val="95000"/>
                  <a:satMod val="105000"/>
                </a:srgbClr>
              </a:solidFill>
              <a:headEnd type="none"/>
              <a:tailEnd w="sm" len="sm"/>
            </a:ln>
          </c:spPr>
          <c:marker>
            <c:symbol val="square"/>
            <c:size val="3"/>
          </c:marker>
          <c:dLbls>
            <c:dLbl>
              <c:idx val="0"/>
              <c:layout>
                <c:manualLayout>
                  <c:x val="-4.8710044564634222E-2"/>
                  <c:y val="-8.508307502286195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ar-SA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Sheet1!$C$2:$C$19</c:f>
              <c:numCache>
                <c:formatCode>0.0</c:formatCode>
                <c:ptCount val="18"/>
                <c:pt idx="0">
                  <c:v>10.3</c:v>
                </c:pt>
                <c:pt idx="1">
                  <c:v>10.3</c:v>
                </c:pt>
                <c:pt idx="2">
                  <c:v>12.8</c:v>
                </c:pt>
                <c:pt idx="3" formatCode="General">
                  <c:v>13.5</c:v>
                </c:pt>
                <c:pt idx="4" formatCode="General">
                  <c:v>13.4</c:v>
                </c:pt>
                <c:pt idx="5" formatCode="General">
                  <c:v>14.5</c:v>
                </c:pt>
                <c:pt idx="6" formatCode="General">
                  <c:v>15.7</c:v>
                </c:pt>
                <c:pt idx="7" formatCode="General">
                  <c:v>15.2</c:v>
                </c:pt>
                <c:pt idx="8" formatCode="General">
                  <c:v>15.5</c:v>
                </c:pt>
                <c:pt idx="9" formatCode="General">
                  <c:v>14.7</c:v>
                </c:pt>
                <c:pt idx="10" formatCode="General">
                  <c:v>16.600000000000001</c:v>
                </c:pt>
                <c:pt idx="11" formatCode="General">
                  <c:v>17.399999999999999</c:v>
                </c:pt>
                <c:pt idx="12" formatCode="General">
                  <c:v>17.3</c:v>
                </c:pt>
                <c:pt idx="13">
                  <c:v>19.399999999999999</c:v>
                </c:pt>
                <c:pt idx="14">
                  <c:v>19.100000000000001</c:v>
                </c:pt>
                <c:pt idx="15">
                  <c:v>19.3</c:v>
                </c:pt>
                <c:pt idx="16">
                  <c:v>19</c:v>
                </c:pt>
                <c:pt idx="17">
                  <c:v>20.7</c:v>
                </c:pt>
              </c:numCache>
            </c:numRef>
          </c:val>
        </c:ser>
        <c:marker val="1"/>
        <c:axId val="66436480"/>
        <c:axId val="81402496"/>
      </c:lineChart>
      <c:catAx>
        <c:axId val="6643648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السنة</a:t>
                </a:r>
              </a:p>
            </c:rich>
          </c:tx>
          <c:layout>
            <c:manualLayout>
              <c:xMode val="edge"/>
              <c:yMode val="edge"/>
              <c:x val="0.48124393813680516"/>
              <c:y val="0.89647738244837971"/>
            </c:manualLayout>
          </c:layout>
        </c:title>
        <c:numFmt formatCode="General" sourceLinked="1"/>
        <c:tickLblPos val="nextTo"/>
        <c:spPr>
          <a:noFill/>
        </c:spPr>
        <c:txPr>
          <a:bodyPr rot="-5400000" vert="horz"/>
          <a:lstStyle/>
          <a:p>
            <a:pPr>
              <a:defRPr/>
            </a:pPr>
            <a:endParaRPr lang="ar-SA"/>
          </a:p>
        </c:txPr>
        <c:crossAx val="81402496"/>
        <c:crosses val="autoZero"/>
        <c:auto val="1"/>
        <c:lblAlgn val="ctr"/>
        <c:lblOffset val="100"/>
      </c:catAx>
      <c:valAx>
        <c:axId val="81402496"/>
        <c:scaling>
          <c:orientation val="minMax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النسبة</a:t>
                </a:r>
              </a:p>
            </c:rich>
          </c:tx>
          <c:layout>
            <c:manualLayout>
              <c:xMode val="edge"/>
              <c:yMode val="edge"/>
              <c:x val="0"/>
              <c:y val="0.30712731883090882"/>
            </c:manualLayout>
          </c:layout>
        </c:title>
        <c:numFmt formatCode="0" sourceLinked="0"/>
        <c:tickLblPos val="nextTo"/>
        <c:crossAx val="6643648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39072318087898888"/>
          <c:y val="0.27994439051282982"/>
          <c:w val="0.45190085281892967"/>
          <c:h val="0.11295389446182251"/>
        </c:manualLayout>
      </c:layout>
      <c:spPr>
        <a:ln>
          <a:solidFill>
            <a:srgbClr val="4F81BD"/>
          </a:solidFill>
        </a:ln>
      </c:spPr>
    </c:legend>
    <c:plotVisOnly val="1"/>
    <c:dispBlanksAs val="gap"/>
  </c:chart>
  <c:spPr>
    <a:ln>
      <a:noFill/>
    </a:ln>
  </c:spPr>
  <c:txPr>
    <a:bodyPr/>
    <a:lstStyle/>
    <a:p>
      <a:pPr>
        <a:defRPr>
          <a:cs typeface="+mj-cs"/>
        </a:defRPr>
      </a:pPr>
      <a:endParaRPr lang="ar-SA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82992324068982"/>
          <c:y val="9.4778820020654714E-2"/>
          <c:w val="0.73893659113760357"/>
          <c:h val="0.5876188320947326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رجال </c:v>
                </c:pt>
              </c:strCache>
            </c:strRef>
          </c:tx>
          <c:dLbls>
            <c:dLbl>
              <c:idx val="0"/>
              <c:layout>
                <c:manualLayout>
                  <c:x val="4.351481868026065E-3"/>
                  <c:y val="-3.44650254620552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58487690965414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21.3</c:v>
                </c:pt>
                <c:pt idx="1">
                  <c:v>21.6</c:v>
                </c:pt>
                <c:pt idx="2">
                  <c:v>20.9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نساء</c:v>
                </c:pt>
              </c:strCache>
            </c:strRef>
          </c:tx>
          <c:dLbls>
            <c:dLbl>
              <c:idx val="1"/>
              <c:layout>
                <c:manualLayout>
                  <c:x val="1.7613495151511355E-2"/>
                  <c:y val="9.191053724350833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3.9</c:v>
                </c:pt>
                <c:pt idx="1">
                  <c:v>3.3</c:v>
                </c:pt>
                <c:pt idx="2" formatCode="0.0">
                  <c:v>4.5</c:v>
                </c:pt>
              </c:numCache>
            </c:numRef>
          </c:val>
        </c:ser>
        <c:axId val="88922368"/>
        <c:axId val="89178112"/>
      </c:barChart>
      <c:catAx>
        <c:axId val="8892236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9178112"/>
        <c:crosses val="autoZero"/>
        <c:auto val="1"/>
        <c:lblAlgn val="ctr"/>
        <c:lblOffset val="100"/>
      </c:catAx>
      <c:valAx>
        <c:axId val="891781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92236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40236210596198746"/>
          <c:y val="3.3011818432416642E-2"/>
          <c:w val="0.53852406004621156"/>
          <c:h val="0.1227229724866573"/>
        </c:manualLayout>
      </c:layout>
      <c:spPr>
        <a:ln>
          <a:solidFill>
            <a:schemeClr val="tx1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738898666998714"/>
          <c:y val="3.9932573083537051E-2"/>
          <c:w val="0.82465974370372563"/>
          <c:h val="0.62305512063674162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رجال</c:v>
                </c:pt>
              </c:strCache>
            </c:strRef>
          </c:tx>
          <c:spPr>
            <a:ln w="12704"/>
          </c:spPr>
          <c:marker>
            <c:symbol val="diamond"/>
            <c:size val="5"/>
          </c:marker>
          <c:dLbls>
            <c:dLbl>
              <c:idx val="0"/>
              <c:layout>
                <c:manualLayout>
                  <c:x val="-4.0132299712510512E-2"/>
                  <c:y val="-0.11040698253779355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868804579853203E-2"/>
                  <c:y val="-5.01428557990637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Sheet1!$B$2:$B$19</c:f>
              <c:numCache>
                <c:formatCode>0.0</c:formatCode>
                <c:ptCount val="18"/>
                <c:pt idx="0">
                  <c:v>27.1</c:v>
                </c:pt>
                <c:pt idx="1">
                  <c:v>33.5</c:v>
                </c:pt>
                <c:pt idx="2">
                  <c:v>26.9</c:v>
                </c:pt>
                <c:pt idx="3">
                  <c:v>28.1</c:v>
                </c:pt>
                <c:pt idx="4">
                  <c:v>23.7</c:v>
                </c:pt>
                <c:pt idx="5">
                  <c:v>24.2</c:v>
                </c:pt>
                <c:pt idx="6">
                  <c:v>22.1</c:v>
                </c:pt>
                <c:pt idx="7">
                  <c:v>26.5</c:v>
                </c:pt>
                <c:pt idx="8">
                  <c:v>24.1</c:v>
                </c:pt>
                <c:pt idx="9">
                  <c:v>23.1</c:v>
                </c:pt>
                <c:pt idx="10">
                  <c:v>19.2</c:v>
                </c:pt>
                <c:pt idx="11">
                  <c:v>20.5</c:v>
                </c:pt>
                <c:pt idx="12">
                  <c:v>20.6</c:v>
                </c:pt>
                <c:pt idx="13">
                  <c:v>23.9</c:v>
                </c:pt>
                <c:pt idx="14">
                  <c:v>22.5</c:v>
                </c:pt>
                <c:pt idx="15">
                  <c:v>22.2</c:v>
                </c:pt>
                <c:pt idx="16">
                  <c:v>22.3</c:v>
                </c:pt>
                <c:pt idx="17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نساء</c:v>
                </c:pt>
              </c:strCache>
            </c:strRef>
          </c:tx>
          <c:spPr>
            <a:ln w="12704"/>
          </c:spPr>
          <c:marker>
            <c:symbol val="square"/>
            <c:size val="5"/>
          </c:marker>
          <c:dLbls>
            <c:dLbl>
              <c:idx val="0"/>
              <c:layout>
                <c:manualLayout>
                  <c:x val="-4.3856479715257614E-2"/>
                  <c:y val="7.889294653481711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3069958474736352E-2"/>
                  <c:y val="-5.01428557990637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Sheet1!$C$2:$C$19</c:f>
              <c:numCache>
                <c:formatCode>0.0</c:formatCode>
                <c:ptCount val="18"/>
                <c:pt idx="0">
                  <c:v>13.8</c:v>
                </c:pt>
                <c:pt idx="1">
                  <c:v>17</c:v>
                </c:pt>
                <c:pt idx="2">
                  <c:v>18.5</c:v>
                </c:pt>
                <c:pt idx="3">
                  <c:v>20.100000000000001</c:v>
                </c:pt>
                <c:pt idx="4">
                  <c:v>22.3</c:v>
                </c:pt>
                <c:pt idx="5">
                  <c:v>20.5</c:v>
                </c:pt>
                <c:pt idx="6">
                  <c:v>19</c:v>
                </c:pt>
                <c:pt idx="7">
                  <c:v>23.8</c:v>
                </c:pt>
                <c:pt idx="8">
                  <c:v>26.4</c:v>
                </c:pt>
                <c:pt idx="9">
                  <c:v>26.8</c:v>
                </c:pt>
                <c:pt idx="10">
                  <c:v>28.4</c:v>
                </c:pt>
                <c:pt idx="11">
                  <c:v>32.9</c:v>
                </c:pt>
                <c:pt idx="12">
                  <c:v>35</c:v>
                </c:pt>
                <c:pt idx="13">
                  <c:v>38.4</c:v>
                </c:pt>
                <c:pt idx="14">
                  <c:v>39.200000000000003</c:v>
                </c:pt>
                <c:pt idx="15">
                  <c:v>44.7</c:v>
                </c:pt>
                <c:pt idx="16">
                  <c:v>47.4</c:v>
                </c:pt>
                <c:pt idx="17">
                  <c:v>51.2</c:v>
                </c:pt>
              </c:numCache>
            </c:numRef>
          </c:val>
        </c:ser>
        <c:marker val="1"/>
        <c:axId val="90111360"/>
        <c:axId val="96774784"/>
      </c:lineChart>
      <c:catAx>
        <c:axId val="90111360"/>
        <c:scaling>
          <c:orientation val="minMax"/>
        </c:scaling>
        <c:axPos val="b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/>
                  <a:t>السنة</a:t>
                </a:r>
              </a:p>
            </c:rich>
          </c:tx>
          <c:layout>
            <c:manualLayout>
              <c:xMode val="edge"/>
              <c:yMode val="edge"/>
              <c:x val="0.49576964602086682"/>
              <c:y val="0.85817921768849859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774784"/>
        <c:crosses val="autoZero"/>
        <c:auto val="1"/>
        <c:lblAlgn val="ctr"/>
        <c:lblOffset val="100"/>
      </c:catAx>
      <c:valAx>
        <c:axId val="96774784"/>
        <c:scaling>
          <c:orientation val="minMax"/>
          <c:max val="60"/>
          <c:min val="0"/>
        </c:scaling>
        <c:axPos val="l"/>
        <c:majorGridlines>
          <c:spPr>
            <a:ln>
              <a:solidFill>
                <a:srgbClr val="F79646">
                  <a:lumMod val="40000"/>
                  <a:lumOff val="60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/>
                  <a:t>المعدل</a:t>
                </a:r>
              </a:p>
            </c:rich>
          </c:tx>
          <c:layout>
            <c:manualLayout>
              <c:xMode val="edge"/>
              <c:yMode val="edge"/>
              <c:x val="8.4211786230303839E-3"/>
              <c:y val="0.29892717955711023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0111360"/>
        <c:crosses val="autoZero"/>
        <c:crossBetween val="between"/>
        <c:majorUnit val="10"/>
        <c:minorUnit val="10"/>
      </c:valAx>
      <c:spPr>
        <a:noFill/>
      </c:spPr>
    </c:plotArea>
    <c:legend>
      <c:legendPos val="r"/>
      <c:layout>
        <c:manualLayout>
          <c:xMode val="edge"/>
          <c:yMode val="edge"/>
          <c:x val="0.27506932374302906"/>
          <c:y val="8.9525623370155738E-2"/>
          <c:w val="0.4585023126180886"/>
          <c:h val="0.13371737623706575"/>
        </c:manualLayout>
      </c:layout>
      <c:spPr>
        <a:ln>
          <a:solidFill>
            <a:srgbClr val="4F81BD"/>
          </a:solidFill>
        </a:ln>
      </c:spPr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noFill/>
    <a:ln w="6350"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8822077979118571"/>
          <c:y val="9.4778820020654436E-2"/>
          <c:w val="0.75387762272864889"/>
          <c:h val="0.6818867367227811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رجال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4.351481868026065E-3"/>
                  <c:y val="-3.44650254620552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58487690965414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 formatCode="General">
                  <c:v>13.5</c:v>
                </c:pt>
                <c:pt idx="1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نساء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Lbls>
            <c:dLbl>
              <c:idx val="1"/>
              <c:layout>
                <c:manualLayout>
                  <c:x val="4.3515795020685919E-3"/>
                  <c:y val="1.48826691996604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Sheet1!$B$3:$C$3</c:f>
              <c:numCache>
                <c:formatCode>0.0</c:formatCode>
                <c:ptCount val="2"/>
                <c:pt idx="0" formatCode="General">
                  <c:v>18.600000000000001</c:v>
                </c:pt>
                <c:pt idx="1">
                  <c:v>54</c:v>
                </c:pt>
              </c:numCache>
            </c:numRef>
          </c:val>
        </c:ser>
        <c:axId val="98269056"/>
        <c:axId val="98286592"/>
      </c:barChart>
      <c:catAx>
        <c:axId val="98269056"/>
        <c:scaling>
          <c:orientation val="minMax"/>
        </c:scaling>
        <c:axPos val="b"/>
        <c:numFmt formatCode="General" sourceLinked="0"/>
        <c:tickLblPos val="nextTo"/>
        <c:crossAx val="98286592"/>
        <c:crosses val="autoZero"/>
        <c:auto val="1"/>
        <c:lblAlgn val="ctr"/>
        <c:lblOffset val="100"/>
      </c:catAx>
      <c:valAx>
        <c:axId val="98286592"/>
        <c:scaling>
          <c:orientation val="minMax"/>
        </c:scaling>
        <c:axPos val="l"/>
        <c:numFmt formatCode="General" sourceLinked="1"/>
        <c:tickLblPos val="nextTo"/>
        <c:crossAx val="9826905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24145906099691691"/>
          <c:y val="6.580675372101473E-2"/>
          <c:w val="0.3307515553686069"/>
          <c:h val="0.10618067758819588"/>
        </c:manualLayout>
      </c:layout>
      <c:spPr>
        <a:ln>
          <a:solidFill>
            <a:schemeClr val="tx1"/>
          </a:solidFill>
        </a:ln>
      </c:spPr>
    </c:legend>
    <c:plotVisOnly val="1"/>
    <c:dispBlanksAs val="gap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0.02083</cdr:x>
      <cdr:y>0.25463</cdr:y>
    </cdr:from>
    <cdr:to>
      <cdr:x>0.09807</cdr:x>
      <cdr:y>0.56126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70164" y="521144"/>
          <a:ext cx="472919" cy="2160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ar-SA" sz="800" b="1">
              <a:latin typeface="Arial" pitchFamily="34" charset="0"/>
              <a:cs typeface="Arial" pitchFamily="34" charset="0"/>
            </a:rPr>
            <a:t>النسبة</a:t>
          </a:r>
          <a:endParaRPr lang="ar-SA" sz="5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0.42361</cdr:x>
      <cdr:y>0.81858</cdr:y>
    </cdr:from>
    <cdr:to>
      <cdr:x>0.62881</cdr:x>
      <cdr:y>0.93387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48769" y="1262418"/>
          <a:ext cx="604897" cy="1777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ar-SA" sz="800" b="1">
              <a:latin typeface="Arial" pitchFamily="34" charset="0"/>
              <a:cs typeface="Arial" pitchFamily="34" charset="0"/>
            </a:rPr>
            <a:t>المنطقة</a:t>
          </a:r>
          <a:r>
            <a:rPr lang="ar-SA" sz="1100" b="1">
              <a:latin typeface="Arial" pitchFamily="34" charset="0"/>
              <a:cs typeface="Arial" pitchFamily="34" charset="0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3.42636E-7</cdr:x>
      <cdr:y>0.25463</cdr:y>
    </cdr:from>
    <cdr:to>
      <cdr:x>0.07765</cdr:x>
      <cdr:y>0.55556</cdr:y>
    </cdr:to>
    <cdr:sp macro="" textlink="">
      <cdr:nvSpPr>
        <cdr:cNvPr id="2" name="TextBox 1"/>
        <cdr:cNvSpPr txBox="1"/>
      </cdr:nvSpPr>
      <cdr:spPr>
        <a:xfrm xmlns:a="http://schemas.openxmlformats.org/drawingml/2006/main" rot="16200000">
          <a:off x="-108470" y="483784"/>
          <a:ext cx="443552" cy="226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r>
            <a:rPr lang="ar-SA" sz="800" b="1">
              <a:latin typeface="Arial" pitchFamily="34" charset="0"/>
              <a:cs typeface="Arial" pitchFamily="34" charset="0"/>
            </a:rPr>
            <a:t>النسبة</a:t>
          </a:r>
          <a:endParaRPr lang="ar-SA" sz="5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0.32927</cdr:x>
      <cdr:y>0.86115</cdr:y>
    </cdr:from>
    <cdr:to>
      <cdr:x>0.75366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69324" y="1430692"/>
          <a:ext cx="1120462" cy="230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pPr algn="ctr"/>
          <a:r>
            <a:rPr lang="ar-SA" sz="800" b="1">
              <a:latin typeface="Arial" pitchFamily="34" charset="0"/>
              <a:cs typeface="Arial" pitchFamily="34" charset="0"/>
            </a:rPr>
            <a:t>المنطقة</a:t>
          </a:r>
          <a:r>
            <a:rPr lang="ar-SA" sz="1100" b="1">
              <a:latin typeface="Arial" pitchFamily="34" charset="0"/>
              <a:cs typeface="Arial" pitchFamily="34" charset="0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87DB1-99EF-4801-A4A4-4654D901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Links>
    <vt:vector size="6" baseType="variant">
      <vt:variant>
        <vt:i4>1114227</vt:i4>
      </vt:variant>
      <vt:variant>
        <vt:i4>9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hbadran</cp:lastModifiedBy>
  <cp:revision>2</cp:revision>
  <cp:lastPrinted>2019-03-07T08:59:00Z</cp:lastPrinted>
  <dcterms:created xsi:type="dcterms:W3CDTF">2019-03-07T09:03:00Z</dcterms:created>
  <dcterms:modified xsi:type="dcterms:W3CDTF">2019-03-07T09:03:00Z</dcterms:modified>
</cp:coreProperties>
</file>