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71" w:rsidRDefault="00270D71" w:rsidP="00C36A59">
      <w:pPr>
        <w:pStyle w:val="Title"/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</w:pPr>
    </w:p>
    <w:p w:rsidR="00C36A59" w:rsidRPr="002E2C0E" w:rsidRDefault="00C36A59" w:rsidP="00C36A59">
      <w:pPr>
        <w:pStyle w:val="Title"/>
        <w:rPr>
          <w:rFonts w:ascii="Simplified Arabic" w:hAnsi="Simplified Arabic"/>
          <w:color w:val="auto"/>
          <w:sz w:val="32"/>
          <w:szCs w:val="32"/>
          <w:rtl/>
          <w:lang w:eastAsia="en-US"/>
        </w:rPr>
      </w:pPr>
      <w:r w:rsidRPr="002E2C0E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الإحصاء الفلسطيني يصدر بياناً صحفياً بمناسبة اليوم العالمي لمحو الأمية، 08/09/</w:t>
      </w:r>
      <w:r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2020</w:t>
      </w:r>
    </w:p>
    <w:p w:rsidR="00C36A59" w:rsidRDefault="00C36A59" w:rsidP="00213E2C">
      <w:pPr>
        <w:rPr>
          <w:rFonts w:ascii="Simplified Arabic" w:hAnsi="Simplified Arabic" w:cs="Simplified Arabic"/>
          <w:b/>
          <w:bCs/>
          <w:sz w:val="12"/>
          <w:szCs w:val="12"/>
          <w:rtl/>
          <w:lang w:eastAsia="en-US" w:bidi="ar-JO"/>
        </w:rPr>
      </w:pPr>
    </w:p>
    <w:p w:rsidR="00270D71" w:rsidRPr="00213E2C" w:rsidRDefault="00270D71" w:rsidP="00213E2C">
      <w:pPr>
        <w:rPr>
          <w:rFonts w:ascii="Simplified Arabic" w:hAnsi="Simplified Arabic" w:cs="Simplified Arabic"/>
          <w:b/>
          <w:bCs/>
          <w:sz w:val="12"/>
          <w:szCs w:val="12"/>
          <w:rtl/>
          <w:lang w:eastAsia="en-US" w:bidi="ar-JO"/>
        </w:rPr>
      </w:pPr>
    </w:p>
    <w:p w:rsidR="00213E2C" w:rsidRPr="00270D71" w:rsidRDefault="00213E2C" w:rsidP="00213E2C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270D71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معدلات الأمية في فلسطين تعد من أقل المعدلات في العالم</w:t>
      </w:r>
    </w:p>
    <w:p w:rsidR="00282083" w:rsidRPr="00C36A59" w:rsidRDefault="00282083" w:rsidP="00282083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وفق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تعريف منظمة الأمم المتحدة للتربية والثقافة والعلوم (اليونسكو) يعرف الشخص الأمي بأنه الشخص الذي لا يستطيع أن يقرأ ويكتب جملة بسيطة عن حياته اليومية.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</w:p>
    <w:p w:rsidR="00282083" w:rsidRPr="00C36A59" w:rsidRDefault="00282083" w:rsidP="00213E2C">
      <w:pPr>
        <w:jc w:val="lowKashida"/>
        <w:rPr>
          <w:rFonts w:ascii="Simplified Arabic" w:hAnsi="Simplified Arabic" w:cs="Simplified Arabic"/>
          <w:sz w:val="10"/>
          <w:szCs w:val="10"/>
          <w:lang w:eastAsia="en-US"/>
        </w:rPr>
      </w:pPr>
      <w:bookmarkStart w:id="0" w:name="_GoBack"/>
    </w:p>
    <w:bookmarkEnd w:id="0"/>
    <w:p w:rsidR="00213E2C" w:rsidRDefault="00282083" w:rsidP="00C36A59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 w:bidi="ar-JO"/>
        </w:rPr>
        <w:t>و</w:t>
      </w:r>
      <w:r w:rsidR="00213E2C" w:rsidRPr="00C36A59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تعتبر معدلات الأمية في فلسطين من أقل المعدلات في العالم (2.6% بين الافراد 15 سنة فأكثر)، في حين بلغ معدل الأمية بين الأفراد 15 سنة فأكثر في الدول العربية 25.2% في العام 2018 حسب بيانات معهد اليونسكو للإحصاء، </w:t>
      </w:r>
      <w:r w:rsidR="00213E2C" w:rsidRPr="00C36A59">
        <w:rPr>
          <w:rFonts w:ascii="Simplified Arabic" w:hAnsi="Simplified Arabic" w:cs="Simplified Arabic" w:hint="cs"/>
          <w:sz w:val="26"/>
          <w:szCs w:val="26"/>
          <w:rtl/>
          <w:lang w:eastAsia="en-US" w:bidi="ar-JO"/>
        </w:rPr>
        <w:t xml:space="preserve">حيث </w:t>
      </w:r>
      <w:r w:rsidR="00213E2C" w:rsidRPr="00C36A59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بلغ عدد الأميين في العالم العربي لنفس العام حوالي 68.9 مليوناً منهم 42.6 مليوناً من الإناث بمعدل 32.6% مقارنة بـ18.4% (26.3 مليوناً) بين الذكور، وبلغ معدل الأمية عالمياً بين الأفراد 15 سنة فأكثر 13.7%، وبلغ عدد الأميين في العالم حوالي 772.8 مليوناً منهم 486.2 مليوناً من الإناث بمعدل 17.2% في حين بلغ معدل الأمية بين الذكور (15 سنة فأكثر) في العالم 10.2% (286.6 مليوناً).</w:t>
      </w:r>
    </w:p>
    <w:p w:rsidR="00C36A59" w:rsidRPr="00270D71" w:rsidRDefault="00C36A59" w:rsidP="00C36A59">
      <w:pPr>
        <w:jc w:val="lowKashida"/>
        <w:rPr>
          <w:rFonts w:ascii="Simplified Arabic" w:hAnsi="Simplified Arabic" w:cs="Simplified Arabic"/>
          <w:sz w:val="12"/>
          <w:szCs w:val="12"/>
          <w:rtl/>
          <w:lang w:eastAsia="en-US" w:bidi="ar-JO"/>
        </w:rPr>
      </w:pPr>
    </w:p>
    <w:p w:rsidR="00213E2C" w:rsidRPr="00270D71" w:rsidRDefault="00213E2C" w:rsidP="001E76D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187 مركزاً لمحو الأمية في فلسطين</w:t>
      </w:r>
    </w:p>
    <w:p w:rsidR="00033BE9" w:rsidRPr="00C36A59" w:rsidRDefault="00E44DF9" w:rsidP="001E76D3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أشارت</w:t>
      </w:r>
      <w:r w:rsidR="00B27F5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بيانات وزارة التربية والتعليم </w:t>
      </w:r>
      <w:r w:rsidR="00CD10C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إلى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CD10C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أن</w:t>
      </w:r>
      <w:r w:rsidR="00F4220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عدد مراكز محو الأمية في فلسطين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بلغت</w:t>
      </w:r>
      <w:r w:rsidR="00F4220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187 مركزاً، بواقع 162 مركزاً في الضفة الغربية و25 مركزاً في قطاع غزة وذلك في العام الدراسي </w:t>
      </w:r>
      <w:r w:rsidR="00F42208" w:rsidRPr="00C36A59">
        <w:rPr>
          <w:rFonts w:ascii="Simplified Arabic" w:hAnsi="Simplified Arabic" w:cs="Simplified Arabic"/>
          <w:sz w:val="26"/>
          <w:szCs w:val="26"/>
          <w:lang w:eastAsia="en-US"/>
        </w:rPr>
        <w:t>2019/2018</w:t>
      </w:r>
      <w:r w:rsidR="00F4220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، فيما بلغ عدد الطلبة الملتحقين بتلك المراكز </w:t>
      </w:r>
      <w:r w:rsidR="000868BB" w:rsidRPr="00C36A59">
        <w:rPr>
          <w:rFonts w:ascii="Simplified Arabic" w:hAnsi="Simplified Arabic" w:cs="Simplified Arabic"/>
          <w:sz w:val="26"/>
          <w:szCs w:val="26"/>
          <w:lang w:eastAsia="en-US"/>
        </w:rPr>
        <w:t>2,30</w:t>
      </w:r>
      <w:r w:rsidR="00CF71DA" w:rsidRPr="00C36A59">
        <w:rPr>
          <w:rFonts w:ascii="Simplified Arabic" w:hAnsi="Simplified Arabic" w:cs="Simplified Arabic"/>
          <w:sz w:val="26"/>
          <w:szCs w:val="26"/>
          <w:lang w:eastAsia="en-US"/>
        </w:rPr>
        <w:t>7</w:t>
      </w:r>
      <w:r w:rsidR="000868B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A5E36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طلاب</w:t>
      </w:r>
      <w:r w:rsidR="000868B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، منهم </w:t>
      </w:r>
      <w:r w:rsidR="000868BB" w:rsidRPr="00C36A59">
        <w:rPr>
          <w:rFonts w:ascii="Simplified Arabic" w:hAnsi="Simplified Arabic" w:cs="Simplified Arabic"/>
          <w:sz w:val="26"/>
          <w:szCs w:val="26"/>
          <w:lang w:eastAsia="en-US"/>
        </w:rPr>
        <w:t>1,035</w:t>
      </w:r>
      <w:r w:rsidR="000868B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033BE9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ذكراً</w:t>
      </w:r>
      <w:r w:rsidR="000868B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و</w:t>
      </w:r>
      <w:r w:rsidR="000868BB" w:rsidRPr="00C36A59">
        <w:rPr>
          <w:rFonts w:ascii="Simplified Arabic" w:hAnsi="Simplified Arabic" w:cs="Simplified Arabic"/>
          <w:sz w:val="26"/>
          <w:szCs w:val="26"/>
          <w:lang w:eastAsia="en-US"/>
        </w:rPr>
        <w:t>1,272</w:t>
      </w:r>
      <w:r w:rsidR="000868B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033BE9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أنثى</w:t>
      </w:r>
      <w:r w:rsidR="000868B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</w:p>
    <w:p w:rsidR="00141617" w:rsidRPr="00270D71" w:rsidRDefault="00141617" w:rsidP="001B198F">
      <w:pPr>
        <w:jc w:val="lowKashida"/>
        <w:rPr>
          <w:rFonts w:ascii="Simplified Arabic" w:hAnsi="Simplified Arabic" w:cs="Simplified Arabic"/>
          <w:color w:val="FF0000"/>
          <w:sz w:val="12"/>
          <w:szCs w:val="12"/>
          <w:lang w:eastAsia="en-US"/>
        </w:rPr>
      </w:pPr>
    </w:p>
    <w:p w:rsidR="00141617" w:rsidRPr="00270D71" w:rsidRDefault="00141617" w:rsidP="00E860BC">
      <w:pPr>
        <w:ind w:left="67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270D71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انخفاض معدل الأمية </w:t>
      </w:r>
      <w:r w:rsidR="007D7A45"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بنسبة </w:t>
      </w:r>
      <w:r w:rsidR="005376E3"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81</w:t>
      </w:r>
      <w:r w:rsidR="005C2FE8"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%</w:t>
      </w:r>
      <w:r w:rsidR="007D7A45"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خلال </w:t>
      </w:r>
      <w:r w:rsidR="00E860BC"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العقدين الماضيين</w:t>
      </w:r>
    </w:p>
    <w:p w:rsidR="00C36A59" w:rsidRPr="00C36A59" w:rsidRDefault="00141617" w:rsidP="00C36A59">
      <w:pPr>
        <w:jc w:val="lowKashida"/>
        <w:rPr>
          <w:rFonts w:cs="Simplified Arabic"/>
          <w:sz w:val="26"/>
          <w:szCs w:val="26"/>
          <w:rtl/>
          <w:lang w:eastAsia="en-US"/>
        </w:rPr>
      </w:pPr>
      <w:bookmarkStart w:id="1" w:name="OLE_LINK2"/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أشارت البيانات إلى انخفاض كبير في معدل الأمية منذ العام 1997، حيث بلغ معدل الأمية بين 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السكان الفلسطينيين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</w:t>
      </w:r>
      <w:r w:rsidR="00C25D8B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D6F66" w:rsidRPr="00C36A59">
        <w:rPr>
          <w:rFonts w:ascii="Simplified Arabic" w:hAnsi="Simplified Arabic" w:cs="Simplified Arabic"/>
          <w:sz w:val="26"/>
          <w:szCs w:val="26"/>
          <w:lang w:eastAsia="en-US"/>
        </w:rPr>
        <w:t>%</w:t>
      </w:r>
      <w:r w:rsidR="00645710" w:rsidRPr="00C36A59">
        <w:rPr>
          <w:rFonts w:ascii="Simplified Arabic" w:hAnsi="Simplified Arabic" w:cs="Simplified Arabic"/>
          <w:sz w:val="26"/>
          <w:szCs w:val="26"/>
          <w:lang w:eastAsia="en-US"/>
        </w:rPr>
        <w:t>13.9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ووصل إلى </w:t>
      </w:r>
      <w:r w:rsidR="00B92E65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A10DD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="00BD6F66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A10DD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2019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، وهذا الاتجاه في الانخفاض ينطبق على الجنسين حيث انخفض المعدل بين الذكور من</w:t>
      </w:r>
      <w:r w:rsidR="00B6689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80BE1" w:rsidRPr="00C36A59">
        <w:rPr>
          <w:rFonts w:ascii="Simplified Arabic" w:hAnsi="Simplified Arabic" w:cs="Simplified Arabic"/>
          <w:sz w:val="26"/>
          <w:szCs w:val="26"/>
          <w:lang w:eastAsia="en-US"/>
        </w:rPr>
        <w:t>7.8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</w:t>
      </w:r>
      <w:r w:rsidR="00B6689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26C5B" w:rsidRPr="00C36A59">
        <w:rPr>
          <w:rFonts w:ascii="Simplified Arabic" w:hAnsi="Simplified Arabic" w:cs="Simplified Arabic"/>
          <w:sz w:val="26"/>
          <w:szCs w:val="26"/>
          <w:lang w:eastAsia="en-US"/>
        </w:rPr>
        <w:t>1.</w:t>
      </w:r>
      <w:r w:rsidR="00A10DD0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2F4FB4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201</w:t>
      </w:r>
      <w:r w:rsidR="00A10DD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9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، أما بين الإناث فقد انخفض من</w:t>
      </w:r>
      <w:r w:rsidR="00B6689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26C5B" w:rsidRPr="00C36A59">
        <w:rPr>
          <w:rFonts w:ascii="Simplified Arabic" w:hAnsi="Simplified Arabic" w:cs="Simplified Arabic"/>
          <w:sz w:val="26"/>
          <w:szCs w:val="26"/>
          <w:lang w:eastAsia="en-US"/>
        </w:rPr>
        <w:t>20.3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</w:t>
      </w:r>
      <w:r w:rsidR="00B6689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26C5B" w:rsidRPr="00C36A59">
        <w:rPr>
          <w:rFonts w:ascii="Simplified Arabic" w:hAnsi="Simplified Arabic" w:cs="Simplified Arabic"/>
          <w:sz w:val="26"/>
          <w:szCs w:val="26"/>
          <w:lang w:eastAsia="en-US"/>
        </w:rPr>
        <w:t>4.</w:t>
      </w:r>
      <w:r w:rsidR="00A10DD0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الفترة.</w:t>
      </w:r>
      <w:r w:rsidR="001575E4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C3111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أما على مستوى المنطقة، فقد انخفض المعدل في الضفة الغربية من</w:t>
      </w:r>
      <w:r w:rsidR="00B6689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4666C" w:rsidRPr="00C36A59">
        <w:rPr>
          <w:rFonts w:ascii="Simplified Arabic" w:hAnsi="Simplified Arabic" w:cs="Simplified Arabic"/>
          <w:sz w:val="26"/>
          <w:szCs w:val="26"/>
          <w:lang w:eastAsia="en-US"/>
        </w:rPr>
        <w:t>14.1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 </w:t>
      </w:r>
      <w:r w:rsidR="00A10DD0" w:rsidRPr="00C36A59">
        <w:rPr>
          <w:rFonts w:ascii="Simplified Arabic" w:hAnsi="Simplified Arabic" w:cs="Simplified Arabic"/>
          <w:sz w:val="26"/>
          <w:szCs w:val="26"/>
          <w:lang w:eastAsia="en-US"/>
        </w:rPr>
        <w:t>9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A10DD0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A10DD0" w:rsidRPr="00C36A59">
        <w:rPr>
          <w:rFonts w:ascii="Simplified Arabic" w:hAnsi="Simplified Arabic" w:cs="Simplified Arabic"/>
          <w:sz w:val="26"/>
          <w:szCs w:val="26"/>
          <w:lang w:eastAsia="en-US"/>
        </w:rPr>
        <w:t>2019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أما </w:t>
      </w:r>
      <w:r w:rsidR="002C3111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 قطاع غزة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فقد انخفض من</w:t>
      </w:r>
      <w:r w:rsidR="00B6689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4666C" w:rsidRPr="00C36A59">
        <w:rPr>
          <w:rFonts w:ascii="Simplified Arabic" w:hAnsi="Simplified Arabic" w:cs="Simplified Arabic"/>
          <w:sz w:val="26"/>
          <w:szCs w:val="26"/>
          <w:lang w:eastAsia="en-US"/>
        </w:rPr>
        <w:t>13.7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 </w:t>
      </w:r>
      <w:r w:rsidR="00076464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2C3111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A10DD0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883A1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2C3111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الفترة. </w:t>
      </w:r>
    </w:p>
    <w:p w:rsidR="00270D71" w:rsidRPr="00270D71" w:rsidRDefault="00270D71" w:rsidP="00270D71">
      <w:pPr>
        <w:rPr>
          <w:rFonts w:cs="Simplified Arabic"/>
          <w:b/>
          <w:bCs/>
          <w:sz w:val="12"/>
          <w:szCs w:val="12"/>
          <w:rtl/>
          <w:lang w:eastAsia="en-US"/>
        </w:rPr>
      </w:pPr>
    </w:p>
    <w:p w:rsidR="00141617" w:rsidRDefault="00141617" w:rsidP="00E860B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270D71">
        <w:rPr>
          <w:rFonts w:cs="Simplified Arabic"/>
          <w:b/>
          <w:bCs/>
          <w:sz w:val="28"/>
          <w:szCs w:val="28"/>
          <w:rtl/>
          <w:lang w:eastAsia="en-US"/>
        </w:rPr>
        <w:t xml:space="preserve">معدلات الأمية </w:t>
      </w:r>
      <w:r w:rsidRPr="00270D71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بين </w:t>
      </w:r>
      <w:r w:rsidR="00130D8F" w:rsidRPr="00270D71">
        <w:rPr>
          <w:rFonts w:cs="Simplified Arabic" w:hint="cs"/>
          <w:b/>
          <w:bCs/>
          <w:sz w:val="28"/>
          <w:szCs w:val="28"/>
          <w:rtl/>
          <w:lang w:eastAsia="en-US"/>
        </w:rPr>
        <w:t>الأفراد</w:t>
      </w:r>
      <w:r w:rsidRPr="00270D71">
        <w:rPr>
          <w:rFonts w:cs="Simplified Arabic"/>
          <w:b/>
          <w:bCs/>
          <w:sz w:val="28"/>
          <w:szCs w:val="28"/>
          <w:rtl/>
          <w:lang w:eastAsia="en-US"/>
        </w:rPr>
        <w:t xml:space="preserve"> (15 سنة فأكثر) في فلسطين</w:t>
      </w:r>
      <w:r w:rsidR="00E860BC" w:rsidRPr="00270D71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270D71">
        <w:rPr>
          <w:rFonts w:cs="Simplified Arabic"/>
          <w:b/>
          <w:bCs/>
          <w:sz w:val="28"/>
          <w:szCs w:val="28"/>
          <w:rtl/>
          <w:lang w:eastAsia="en-US"/>
        </w:rPr>
        <w:t xml:space="preserve"> حسب الجنس للأعوام 1997، 2000-</w:t>
      </w:r>
      <w:r w:rsidR="00130D8F" w:rsidRPr="00270D71">
        <w:rPr>
          <w:rFonts w:cs="Simplified Arabic" w:hint="cs"/>
          <w:b/>
          <w:bCs/>
          <w:sz w:val="28"/>
          <w:szCs w:val="28"/>
          <w:rtl/>
          <w:lang w:eastAsia="en-US"/>
        </w:rPr>
        <w:t>201</w:t>
      </w:r>
      <w:r w:rsidR="004C18AC" w:rsidRPr="00270D71">
        <w:rPr>
          <w:rFonts w:cs="Simplified Arabic" w:hint="cs"/>
          <w:b/>
          <w:bCs/>
          <w:sz w:val="28"/>
          <w:szCs w:val="28"/>
          <w:rtl/>
          <w:lang w:eastAsia="en-US"/>
        </w:rPr>
        <w:t>9</w:t>
      </w:r>
    </w:p>
    <w:bookmarkEnd w:id="1"/>
    <w:p w:rsidR="00270D71" w:rsidRDefault="00340BB2" w:rsidP="00270D71">
      <w:pPr>
        <w:jc w:val="center"/>
        <w:rPr>
          <w:rFonts w:cs="Simplified Arabic"/>
          <w:color w:val="FF0000"/>
          <w:rtl/>
          <w:lang w:eastAsia="en-US"/>
        </w:rPr>
      </w:pPr>
      <w:r w:rsidRPr="00340BB2">
        <w:rPr>
          <w:rFonts w:cs="Simplified Arabic"/>
          <w:noProof/>
          <w:color w:val="FF0000"/>
          <w:rtl/>
          <w:lang w:eastAsia="en-US"/>
        </w:rPr>
        <w:drawing>
          <wp:inline distT="0" distB="0" distL="0" distR="0">
            <wp:extent cx="4762500" cy="19240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0D71" w:rsidRPr="00270D71" w:rsidRDefault="00270D71" w:rsidP="00270D71">
      <w:pPr>
        <w:rPr>
          <w:rFonts w:cs="Simplified Arabic"/>
          <w:color w:val="FF0000"/>
          <w:sz w:val="16"/>
          <w:szCs w:val="16"/>
          <w:rtl/>
          <w:lang w:eastAsia="en-US"/>
        </w:rPr>
      </w:pPr>
    </w:p>
    <w:p w:rsidR="00270D71" w:rsidRPr="00CD10C3" w:rsidRDefault="00270D71" w:rsidP="00C36A59">
      <w:pPr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1557EA" w:rsidRPr="00270D71" w:rsidRDefault="00756AA4" w:rsidP="00C36A59">
      <w:pPr>
        <w:rPr>
          <w:rFonts w:cs="Simplified Arabic"/>
          <w:color w:val="FF0000"/>
          <w:sz w:val="28"/>
          <w:szCs w:val="28"/>
          <w:rtl/>
          <w:lang w:eastAsia="en-US"/>
        </w:rPr>
      </w:pPr>
      <w:r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معدل </w:t>
      </w:r>
      <w:r w:rsidR="001557EA" w:rsidRPr="00270D71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الأمية بين الإناث </w:t>
      </w:r>
      <w:r w:rsidR="00C5029B" w:rsidRPr="00270D71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أعلى منه</w:t>
      </w:r>
      <w:r w:rsidR="001557EA" w:rsidRPr="00270D71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بين الذكور </w:t>
      </w:r>
    </w:p>
    <w:p w:rsidR="0053798F" w:rsidRPr="00C36A59" w:rsidRDefault="001557EA" w:rsidP="00075607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الأمية بين 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الأفراد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 في فلسطين </w:t>
      </w:r>
      <w:r w:rsidR="001F332E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1A4359" w:rsidRPr="00C36A59">
        <w:rPr>
          <w:rFonts w:ascii="Simplified Arabic" w:hAnsi="Simplified Arabic" w:cs="Simplified Arabic"/>
          <w:sz w:val="26"/>
          <w:szCs w:val="26"/>
          <w:lang w:eastAsia="en-US"/>
        </w:rPr>
        <w:t>6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(</w:t>
      </w:r>
      <w:r w:rsidR="003F10A5" w:rsidRPr="00C36A59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1A4359" w:rsidRPr="00C36A59">
        <w:rPr>
          <w:rFonts w:ascii="Simplified Arabic" w:hAnsi="Simplified Arabic" w:cs="Simplified Arabic"/>
          <w:sz w:val="26"/>
          <w:szCs w:val="26"/>
          <w:lang w:eastAsia="en-US"/>
        </w:rPr>
        <w:t>0</w:t>
      </w:r>
      <w:r w:rsidR="003F10A5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2F2DAE" w:rsidRPr="00C36A59">
        <w:rPr>
          <w:rFonts w:ascii="Simplified Arabic" w:hAnsi="Simplified Arabic" w:cs="Simplified Arabic"/>
          <w:sz w:val="26"/>
          <w:szCs w:val="26"/>
          <w:lang w:eastAsia="en-US"/>
        </w:rPr>
        <w:t>4</w:t>
      </w:r>
      <w:r w:rsidR="003F10A5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ألف 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أمي وأميّة)</w:t>
      </w:r>
      <w:r w:rsidR="004916E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في العام 2019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53798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</w:t>
      </w:r>
      <w:r w:rsidR="00435D1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واقع 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1.</w:t>
      </w:r>
      <w:r w:rsidR="00FB7B53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الذكور</w:t>
      </w:r>
      <w:r w:rsidR="001F332E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FB7B53" w:rsidRPr="00C36A59">
        <w:rPr>
          <w:rFonts w:ascii="Simplified Arabic" w:hAnsi="Simplified Arabic" w:cs="Simplified Arabic"/>
          <w:sz w:val="26"/>
          <w:szCs w:val="26"/>
          <w:lang w:eastAsia="en-US"/>
        </w:rPr>
        <w:t>18</w:t>
      </w:r>
      <w:r w:rsidR="003F10A5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075607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أمي) و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4.</w:t>
      </w:r>
      <w:r w:rsidR="00FB7B53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الإناث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(</w:t>
      </w:r>
      <w:r w:rsidR="00FB7B53" w:rsidRPr="00C36A59">
        <w:rPr>
          <w:rFonts w:ascii="Simplified Arabic" w:hAnsi="Simplified Arabic" w:cs="Simplified Arabic"/>
          <w:sz w:val="26"/>
          <w:szCs w:val="26"/>
          <w:lang w:eastAsia="en-US"/>
        </w:rPr>
        <w:t>61</w:t>
      </w:r>
      <w:r w:rsidR="003F10A5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075607" w:rsidRPr="00C36A59">
        <w:rPr>
          <w:rFonts w:ascii="Simplified Arabic" w:hAnsi="Simplified Arabic" w:cs="Simplified Arabic"/>
          <w:sz w:val="26"/>
          <w:szCs w:val="26"/>
          <w:lang w:eastAsia="en-US"/>
        </w:rPr>
        <w:t>9</w:t>
      </w:r>
      <w:r w:rsidR="00DB4A8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1F332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أميّة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DB4A8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.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أما على مستوى المنطقة، فقد بلغ معدل الأمية بين الأفراد 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15 سنة فأكثر في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الضفة الغربية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9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(</w:t>
      </w:r>
      <w:r w:rsidR="00A95FAF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4</w:t>
      </w:r>
      <w:r w:rsidR="00A95FAF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ألف 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أمي وأميّة)، بواقع</w:t>
      </w:r>
      <w:r w:rsidR="0053798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1.3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الذكور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C81092" w:rsidRPr="00C36A59">
        <w:rPr>
          <w:rFonts w:ascii="Simplified Arabic" w:hAnsi="Simplified Arabic" w:cs="Simplified Arabic"/>
          <w:sz w:val="26"/>
          <w:szCs w:val="26"/>
          <w:lang w:eastAsia="en-US"/>
        </w:rPr>
        <w:t>12.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0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أمي) و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4.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6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الإناث</w:t>
      </w:r>
      <w:r w:rsidR="0022295C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C81092" w:rsidRPr="00C36A59">
        <w:rPr>
          <w:rFonts w:ascii="Simplified Arabic" w:hAnsi="Simplified Arabic" w:cs="Simplified Arabic"/>
          <w:sz w:val="26"/>
          <w:szCs w:val="26"/>
          <w:lang w:eastAsia="en-US"/>
        </w:rPr>
        <w:t>4</w:t>
      </w:r>
      <w:r w:rsidR="007859A0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C81092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083C31" w:rsidRPr="00C36A59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C8109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ألف أميّة) لنفس العام، في حين بلغ</w:t>
      </w:r>
      <w:r w:rsidR="003E0CC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هذا المعدل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4916E8" w:rsidRPr="00C36A59">
        <w:rPr>
          <w:rFonts w:ascii="Simplified Arabic" w:hAnsi="Simplified Arabic" w:cs="Simplified Arabic"/>
          <w:sz w:val="26"/>
          <w:szCs w:val="26"/>
          <w:lang w:eastAsia="en-US"/>
        </w:rPr>
        <w:t>2.2</w:t>
      </w:r>
      <w:r w:rsidR="004916E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4916E8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(</w:t>
      </w:r>
      <w:r w:rsidR="004916E8" w:rsidRPr="00C36A59">
        <w:rPr>
          <w:rFonts w:ascii="Simplified Arabic" w:hAnsi="Simplified Arabic" w:cs="Simplified Arabic"/>
          <w:sz w:val="26"/>
          <w:szCs w:val="26"/>
          <w:lang w:eastAsia="en-US"/>
        </w:rPr>
        <w:t>25.6</w:t>
      </w:r>
      <w:r w:rsidR="004916E8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916E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ألف </w:t>
      </w:r>
      <w:r w:rsidR="004916E8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أمي وأميّة)</w:t>
      </w:r>
      <w:r w:rsidR="004916E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بين الأفراد 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15 سنة فأكثر في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قطاع غزة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3798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لنفس العام</w:t>
      </w:r>
      <w:r w:rsidR="00435D1E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35D1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بواقع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1.</w:t>
      </w:r>
      <w:r w:rsidR="00304F20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الذكور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304F20" w:rsidRPr="00C36A59">
        <w:rPr>
          <w:rFonts w:ascii="Simplified Arabic" w:hAnsi="Simplified Arabic" w:cs="Simplified Arabic"/>
          <w:sz w:val="26"/>
          <w:szCs w:val="26"/>
          <w:lang w:eastAsia="en-US"/>
        </w:rPr>
        <w:t>6</w:t>
      </w:r>
      <w:r w:rsidR="003C019A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304F20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798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آلاف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أمي) </w:t>
      </w:r>
      <w:r w:rsidR="00435D1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6B5621" w:rsidRPr="00C36A59">
        <w:rPr>
          <w:rFonts w:ascii="Simplified Arabic" w:hAnsi="Simplified Arabic" w:cs="Simplified Arabic"/>
          <w:sz w:val="26"/>
          <w:szCs w:val="26"/>
          <w:lang w:eastAsia="en-US"/>
        </w:rPr>
        <w:t>3.</w:t>
      </w:r>
      <w:r w:rsidR="00304F20" w:rsidRPr="00C36A59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6A373E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بين الإناث</w:t>
      </w:r>
      <w:r w:rsidR="00F25130"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(</w:t>
      </w:r>
      <w:r w:rsidR="003C019A" w:rsidRPr="00C36A59">
        <w:rPr>
          <w:rFonts w:ascii="Simplified Arabic" w:hAnsi="Simplified Arabic" w:cs="Simplified Arabic"/>
          <w:sz w:val="26"/>
          <w:szCs w:val="26"/>
          <w:lang w:eastAsia="en-US"/>
        </w:rPr>
        <w:t>19.</w:t>
      </w:r>
      <w:r w:rsidR="008612B7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F25130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 أميّة)</w:t>
      </w:r>
      <w:r w:rsidR="0053798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</w:p>
    <w:p w:rsidR="0022295C" w:rsidRPr="00270D71" w:rsidRDefault="0022295C" w:rsidP="004916E8">
      <w:pPr>
        <w:tabs>
          <w:tab w:val="left" w:pos="-48"/>
        </w:tabs>
        <w:jc w:val="both"/>
        <w:rPr>
          <w:rFonts w:ascii="Simplified Arabic" w:hAnsi="Simplified Arabic" w:cs="Simplified Arabic"/>
          <w:sz w:val="12"/>
          <w:szCs w:val="12"/>
          <w:rtl/>
          <w:lang w:eastAsia="en-US"/>
        </w:rPr>
      </w:pPr>
    </w:p>
    <w:p w:rsidR="001557EA" w:rsidRPr="00270D71" w:rsidRDefault="001557EA" w:rsidP="00CB48B1">
      <w:pPr>
        <w:ind w:left="67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270D71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أكثر من نصف الأميين هم من كبار السن</w:t>
      </w:r>
    </w:p>
    <w:p w:rsidR="001113B5" w:rsidRPr="00270D71" w:rsidRDefault="001113B5" w:rsidP="00270D71">
      <w:pPr>
        <w:jc w:val="both"/>
        <w:rPr>
          <w:rFonts w:cs="Simplified Arabic"/>
          <w:sz w:val="26"/>
          <w:szCs w:val="26"/>
          <w:rtl/>
          <w:lang w:eastAsia="en-US"/>
        </w:rPr>
      </w:pPr>
      <w:r w:rsidRPr="00C36A59">
        <w:rPr>
          <w:rFonts w:cs="Simplified Arabic"/>
          <w:sz w:val="26"/>
          <w:szCs w:val="26"/>
          <w:rtl/>
          <w:lang w:eastAsia="en-US"/>
        </w:rPr>
        <w:t xml:space="preserve">يتفاوت توزيع الأميين على الفئات العمرية، إذ سجّلت الفئة العمرية 65 سنة فأكثر أعلى نسبة بين الأميين، في حين سجّلت الفئتين العمريتين </w:t>
      </w:r>
      <w:r w:rsidRPr="00C36A59">
        <w:rPr>
          <w:rFonts w:cs="Simplified Arabic" w:hint="cs"/>
          <w:sz w:val="26"/>
          <w:szCs w:val="26"/>
          <w:rtl/>
          <w:lang w:eastAsia="en-US"/>
        </w:rPr>
        <w:t>(</w:t>
      </w:r>
      <w:r w:rsidRPr="00C36A59">
        <w:rPr>
          <w:rFonts w:cs="Simplified Arabic"/>
          <w:sz w:val="26"/>
          <w:szCs w:val="26"/>
          <w:rtl/>
          <w:lang w:eastAsia="en-US"/>
        </w:rPr>
        <w:t>30-44 سنة</w:t>
      </w:r>
      <w:r w:rsidRPr="00C36A59">
        <w:rPr>
          <w:rFonts w:cs="Simplified Arabic" w:hint="cs"/>
          <w:sz w:val="26"/>
          <w:szCs w:val="26"/>
          <w:rtl/>
          <w:lang w:eastAsia="en-US"/>
        </w:rPr>
        <w:t>)</w:t>
      </w:r>
      <w:r w:rsidRPr="00C36A59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C36A59">
        <w:rPr>
          <w:rFonts w:cs="Simplified Arabic" w:hint="cs"/>
          <w:sz w:val="26"/>
          <w:szCs w:val="26"/>
          <w:rtl/>
          <w:lang w:eastAsia="en-US"/>
        </w:rPr>
        <w:t>و(</w:t>
      </w:r>
      <w:r w:rsidRPr="00C36A59">
        <w:rPr>
          <w:rFonts w:cs="Simplified Arabic"/>
          <w:sz w:val="26"/>
          <w:szCs w:val="26"/>
          <w:rtl/>
          <w:lang w:eastAsia="en-US"/>
        </w:rPr>
        <w:t>15-29 سنة</w:t>
      </w:r>
      <w:r w:rsidRPr="00C36A59">
        <w:rPr>
          <w:rFonts w:cs="Simplified Arabic" w:hint="cs"/>
          <w:sz w:val="26"/>
          <w:szCs w:val="26"/>
          <w:rtl/>
          <w:lang w:eastAsia="en-US"/>
        </w:rPr>
        <w:t>)</w:t>
      </w:r>
      <w:r w:rsidRPr="00C36A59">
        <w:rPr>
          <w:rFonts w:cs="Simplified Arabic"/>
          <w:sz w:val="26"/>
          <w:szCs w:val="26"/>
          <w:rtl/>
          <w:lang w:eastAsia="en-US"/>
        </w:rPr>
        <w:t xml:space="preserve"> أدنى نسبة بين الأميين.  </w:t>
      </w:r>
    </w:p>
    <w:p w:rsidR="00270D71" w:rsidRPr="00270D71" w:rsidRDefault="00270D71" w:rsidP="001113B5">
      <w:pPr>
        <w:jc w:val="both"/>
        <w:rPr>
          <w:rFonts w:cs="Simplified Arabic"/>
          <w:color w:val="FF0000"/>
          <w:sz w:val="12"/>
          <w:szCs w:val="12"/>
          <w:rtl/>
          <w:lang w:eastAsia="en-US"/>
        </w:rPr>
      </w:pPr>
    </w:p>
    <w:p w:rsidR="001113B5" w:rsidRPr="00CD10C3" w:rsidRDefault="001113B5" w:rsidP="001113B5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CD10C3">
        <w:rPr>
          <w:rFonts w:cs="Simplified Arabic"/>
          <w:b/>
          <w:bCs/>
          <w:sz w:val="28"/>
          <w:szCs w:val="28"/>
          <w:rtl/>
          <w:lang w:eastAsia="en-US"/>
        </w:rPr>
        <w:t>التوزيع النسبي</w:t>
      </w:r>
      <w:r w:rsidRPr="00CD10C3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وأعداد</w:t>
      </w:r>
      <w:r w:rsidRPr="00CD10C3">
        <w:rPr>
          <w:rFonts w:cs="Simplified Arabic"/>
          <w:b/>
          <w:bCs/>
          <w:sz w:val="28"/>
          <w:szCs w:val="28"/>
          <w:rtl/>
          <w:lang w:eastAsia="en-US"/>
        </w:rPr>
        <w:t xml:space="preserve"> الأميين (15 سنة فأكثر) حسب الفئات العمرية</w:t>
      </w:r>
      <w:r w:rsidRPr="00CD10C3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والجنس</w:t>
      </w:r>
      <w:r w:rsidRPr="00CD10C3">
        <w:rPr>
          <w:rFonts w:cs="Simplified Arabic"/>
          <w:b/>
          <w:bCs/>
          <w:sz w:val="28"/>
          <w:szCs w:val="28"/>
          <w:rtl/>
          <w:lang w:eastAsia="en-US"/>
        </w:rPr>
        <w:t xml:space="preserve"> للعام </w:t>
      </w:r>
      <w:r w:rsidRPr="00CD10C3">
        <w:rPr>
          <w:rFonts w:cs="Simplified Arabic" w:hint="cs"/>
          <w:b/>
          <w:bCs/>
          <w:sz w:val="28"/>
          <w:szCs w:val="28"/>
          <w:rtl/>
          <w:lang w:eastAsia="en-US"/>
        </w:rPr>
        <w:t>2019</w:t>
      </w:r>
    </w:p>
    <w:p w:rsidR="001113B5" w:rsidRPr="00B41826" w:rsidRDefault="001113B5" w:rsidP="001113B5">
      <w:pPr>
        <w:jc w:val="center"/>
        <w:rPr>
          <w:rFonts w:cs="Simplified Arabic"/>
          <w:b/>
          <w:bCs/>
          <w:color w:val="FF0000"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Ind w:w="-1346" w:type="dxa"/>
        <w:tblLook w:val="04A0"/>
      </w:tblPr>
      <w:tblGrid>
        <w:gridCol w:w="1793"/>
        <w:gridCol w:w="1160"/>
        <w:gridCol w:w="1329"/>
        <w:gridCol w:w="1328"/>
        <w:gridCol w:w="1330"/>
        <w:gridCol w:w="1416"/>
        <w:gridCol w:w="1242"/>
      </w:tblGrid>
      <w:tr w:rsidR="001113B5" w:rsidRPr="00270D71" w:rsidTr="00C36A59">
        <w:trPr>
          <w:cnfStyle w:val="100000000000"/>
          <w:trHeight w:val="270"/>
          <w:jc w:val="center"/>
        </w:trPr>
        <w:tc>
          <w:tcPr>
            <w:cnfStyle w:val="001000000000"/>
            <w:tcW w:w="1793" w:type="dxa"/>
            <w:vMerge w:val="restart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الفئة العمرية بالسنوات</w:t>
            </w:r>
          </w:p>
        </w:tc>
        <w:tc>
          <w:tcPr>
            <w:tcW w:w="2489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كلا الجنسين</w:t>
            </w:r>
          </w:p>
        </w:tc>
        <w:tc>
          <w:tcPr>
            <w:tcW w:w="2658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ذكور</w:t>
            </w:r>
          </w:p>
        </w:tc>
        <w:tc>
          <w:tcPr>
            <w:tcW w:w="2658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إناث</w:t>
            </w:r>
          </w:p>
        </w:tc>
      </w:tr>
      <w:tr w:rsidR="00C36A59" w:rsidRPr="00270D71" w:rsidTr="00C36A59">
        <w:trPr>
          <w:cnfStyle w:val="000000100000"/>
          <w:trHeight w:val="144"/>
          <w:jc w:val="center"/>
        </w:trPr>
        <w:tc>
          <w:tcPr>
            <w:cnfStyle w:val="001000000000"/>
            <w:tcW w:w="1793" w:type="dxa"/>
            <w:vMerge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النسبة (%)</w:t>
            </w:r>
          </w:p>
        </w:tc>
        <w:tc>
          <w:tcPr>
            <w:tcW w:w="1329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العدد (بالآلاف)</w:t>
            </w:r>
          </w:p>
        </w:tc>
        <w:tc>
          <w:tcPr>
            <w:tcW w:w="132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النسبة (%)</w:t>
            </w:r>
          </w:p>
        </w:tc>
        <w:tc>
          <w:tcPr>
            <w:tcW w:w="1330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العدد (بالآلاف)</w:t>
            </w:r>
          </w:p>
        </w:tc>
        <w:tc>
          <w:tcPr>
            <w:tcW w:w="1416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النسبة (%)</w:t>
            </w:r>
          </w:p>
        </w:tc>
        <w:tc>
          <w:tcPr>
            <w:tcW w:w="1242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العدد (بالآلاف)</w:t>
            </w:r>
          </w:p>
        </w:tc>
      </w:tr>
      <w:tr w:rsidR="00C36A59" w:rsidRPr="00270D71" w:rsidTr="00C36A59">
        <w:trPr>
          <w:trHeight w:hRule="exact" w:val="284"/>
          <w:jc w:val="center"/>
        </w:trPr>
        <w:tc>
          <w:tcPr>
            <w:cnfStyle w:val="001000000000"/>
            <w:tcW w:w="1793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  <w:t>15-29</w:t>
            </w:r>
          </w:p>
        </w:tc>
        <w:tc>
          <w:tcPr>
            <w:tcW w:w="1160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12.7</w:t>
            </w:r>
          </w:p>
        </w:tc>
        <w:tc>
          <w:tcPr>
            <w:tcW w:w="1329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132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24.8</w:t>
            </w:r>
          </w:p>
        </w:tc>
        <w:tc>
          <w:tcPr>
            <w:tcW w:w="1330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1416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9.0</w:t>
            </w:r>
          </w:p>
        </w:tc>
        <w:tc>
          <w:tcPr>
            <w:tcW w:w="1242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5.6</w:t>
            </w:r>
          </w:p>
        </w:tc>
      </w:tr>
      <w:tr w:rsidR="00C36A59" w:rsidRPr="00270D71" w:rsidTr="00C36A59">
        <w:trPr>
          <w:cnfStyle w:val="000000100000"/>
          <w:trHeight w:hRule="exact" w:val="284"/>
          <w:jc w:val="center"/>
        </w:trPr>
        <w:tc>
          <w:tcPr>
            <w:cnfStyle w:val="001000000000"/>
            <w:tcW w:w="1793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  <w:t>30-44</w:t>
            </w:r>
          </w:p>
        </w:tc>
        <w:tc>
          <w:tcPr>
            <w:tcW w:w="1160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8.8</w:t>
            </w:r>
          </w:p>
        </w:tc>
        <w:tc>
          <w:tcPr>
            <w:tcW w:w="1329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1328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18.3</w:t>
            </w:r>
          </w:p>
        </w:tc>
        <w:tc>
          <w:tcPr>
            <w:tcW w:w="1330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416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1242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3.7</w:t>
            </w:r>
          </w:p>
        </w:tc>
      </w:tr>
      <w:tr w:rsidR="00C36A59" w:rsidRPr="00270D71" w:rsidTr="00C36A59">
        <w:trPr>
          <w:trHeight w:hRule="exact" w:val="284"/>
          <w:jc w:val="center"/>
        </w:trPr>
        <w:tc>
          <w:tcPr>
            <w:cnfStyle w:val="001000000000"/>
            <w:tcW w:w="1793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  <w:t>45-64</w:t>
            </w:r>
          </w:p>
        </w:tc>
        <w:tc>
          <w:tcPr>
            <w:tcW w:w="1160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21.8</w:t>
            </w:r>
          </w:p>
        </w:tc>
        <w:tc>
          <w:tcPr>
            <w:tcW w:w="1329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17.5</w:t>
            </w:r>
          </w:p>
        </w:tc>
        <w:tc>
          <w:tcPr>
            <w:tcW w:w="1328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20.6</w:t>
            </w:r>
          </w:p>
        </w:tc>
        <w:tc>
          <w:tcPr>
            <w:tcW w:w="1330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1416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22.2</w:t>
            </w:r>
          </w:p>
        </w:tc>
        <w:tc>
          <w:tcPr>
            <w:tcW w:w="1242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13.7</w:t>
            </w:r>
          </w:p>
        </w:tc>
      </w:tr>
      <w:tr w:rsidR="00C36A59" w:rsidRPr="00270D71" w:rsidTr="00C36A59">
        <w:trPr>
          <w:cnfStyle w:val="000000100000"/>
          <w:trHeight w:hRule="exact" w:val="304"/>
          <w:jc w:val="center"/>
        </w:trPr>
        <w:tc>
          <w:tcPr>
            <w:cnfStyle w:val="001000000000"/>
            <w:tcW w:w="1793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rtl/>
                <w:lang w:eastAsia="en-US"/>
              </w:rPr>
              <w:t>65 سنة فأكثر</w:t>
            </w:r>
          </w:p>
        </w:tc>
        <w:tc>
          <w:tcPr>
            <w:tcW w:w="1160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56.7</w:t>
            </w:r>
          </w:p>
        </w:tc>
        <w:tc>
          <w:tcPr>
            <w:tcW w:w="1329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45.6</w:t>
            </w:r>
          </w:p>
        </w:tc>
        <w:tc>
          <w:tcPr>
            <w:tcW w:w="132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36.3</w:t>
            </w:r>
          </w:p>
        </w:tc>
        <w:tc>
          <w:tcPr>
            <w:tcW w:w="1330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416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62.9</w:t>
            </w:r>
          </w:p>
        </w:tc>
        <w:tc>
          <w:tcPr>
            <w:tcW w:w="1242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>38.9</w:t>
            </w:r>
          </w:p>
        </w:tc>
      </w:tr>
      <w:tr w:rsidR="00C36A59" w:rsidRPr="00270D71" w:rsidTr="00C36A59">
        <w:trPr>
          <w:trHeight w:hRule="exact" w:val="284"/>
          <w:jc w:val="center"/>
        </w:trPr>
        <w:tc>
          <w:tcPr>
            <w:cnfStyle w:val="001000000000"/>
            <w:tcW w:w="1793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1113B5" w:rsidRPr="00270D71" w:rsidRDefault="001113B5" w:rsidP="00C36A59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</w:pPr>
            <w:r w:rsidRPr="00270D71">
              <w:rPr>
                <w:rFonts w:asciiTheme="majorBidi" w:hAnsiTheme="majorBidi" w:cstheme="majorBidi"/>
                <w:color w:val="auto"/>
                <w:sz w:val="22"/>
                <w:szCs w:val="22"/>
                <w:rtl/>
                <w:lang w:eastAsia="en-US"/>
              </w:rPr>
              <w:t>المجموع</w:t>
            </w:r>
          </w:p>
        </w:tc>
        <w:tc>
          <w:tcPr>
            <w:tcW w:w="1160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329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  <w:t>80.4</w:t>
            </w:r>
          </w:p>
        </w:tc>
        <w:tc>
          <w:tcPr>
            <w:tcW w:w="132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330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  <w:t>18.5</w:t>
            </w:r>
          </w:p>
        </w:tc>
        <w:tc>
          <w:tcPr>
            <w:tcW w:w="141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242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1113B5" w:rsidRPr="00270D71" w:rsidRDefault="001113B5" w:rsidP="00C36A59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70D71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eastAsia="en-US"/>
              </w:rPr>
              <w:t>61.9</w:t>
            </w:r>
          </w:p>
        </w:tc>
      </w:tr>
    </w:tbl>
    <w:p w:rsidR="00C36A59" w:rsidRPr="00C36A59" w:rsidRDefault="00C36A59" w:rsidP="009C73EF">
      <w:pPr>
        <w:tabs>
          <w:tab w:val="left" w:pos="-48"/>
        </w:tabs>
        <w:jc w:val="both"/>
        <w:rPr>
          <w:rFonts w:ascii="Simplified Arabic" w:hAnsi="Simplified Arabic" w:cs="Simplified Arabic"/>
          <w:sz w:val="6"/>
          <w:szCs w:val="6"/>
          <w:lang w:eastAsia="en-US"/>
        </w:rPr>
      </w:pPr>
    </w:p>
    <w:p w:rsidR="00690D46" w:rsidRPr="00270D71" w:rsidRDefault="00DA1019" w:rsidP="00270D71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بالنسبة لمعدلات الأمية حسب الفئات العمرية، فقد بلغ معدل الأمية بين كبار السن 65 سنة فأكثر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37ACB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E36200" w:rsidRPr="00C36A59">
        <w:rPr>
          <w:rFonts w:ascii="Simplified Arabic" w:hAnsi="Simplified Arabic" w:cs="Simplified Arabic"/>
          <w:sz w:val="26"/>
          <w:szCs w:val="26"/>
          <w:lang w:eastAsia="en-US"/>
        </w:rPr>
        <w:t>7</w:t>
      </w:r>
      <w:r w:rsidR="00337ACB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E36200" w:rsidRPr="00C36A59">
        <w:rPr>
          <w:rFonts w:ascii="Simplified Arabic" w:hAnsi="Simplified Arabic" w:cs="Simplified Arabic"/>
          <w:sz w:val="26"/>
          <w:szCs w:val="26"/>
          <w:lang w:eastAsia="en-US"/>
        </w:rPr>
        <w:t>9</w:t>
      </w:r>
      <w:r w:rsidR="001F4FF8" w:rsidRPr="00C36A5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F47662" w:rsidRPr="00C36A59">
        <w:rPr>
          <w:rFonts w:ascii="Simplified Arabic" w:hAnsi="Simplified Arabic" w:cs="Simplified Arabic"/>
          <w:sz w:val="26"/>
          <w:szCs w:val="26"/>
        </w:rPr>
        <w:t>.</w:t>
      </w:r>
      <w:r w:rsidR="001D2BDF" w:rsidRPr="00C36A59">
        <w:rPr>
          <w:rFonts w:ascii="Simplified Arabic" w:hAnsi="Simplified Arabic" w:cs="Simplified Arabic"/>
          <w:sz w:val="26"/>
          <w:szCs w:val="26"/>
        </w:rPr>
        <w:t>6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4</w:t>
      </w:r>
      <w:r w:rsidR="001D2BD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5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 وأميّة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>)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AC66AC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2019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بينما بلغ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2BDF" w:rsidRPr="00C36A59">
        <w:rPr>
          <w:rFonts w:ascii="Simplified Arabic" w:hAnsi="Simplified Arabic" w:cs="Simplified Arabic"/>
          <w:sz w:val="26"/>
          <w:szCs w:val="26"/>
        </w:rPr>
        <w:t>2</w:t>
      </w:r>
      <w:r w:rsidR="00337ACB" w:rsidRPr="00C36A59">
        <w:rPr>
          <w:rFonts w:ascii="Simplified Arabic" w:hAnsi="Simplified Arabic" w:cs="Simplified Arabic"/>
          <w:sz w:val="26"/>
          <w:szCs w:val="26"/>
        </w:rPr>
        <w:t>.</w:t>
      </w:r>
      <w:r w:rsidR="001D2BDF" w:rsidRPr="00C36A59">
        <w:rPr>
          <w:rFonts w:ascii="Simplified Arabic" w:hAnsi="Simplified Arabic" w:cs="Simplified Arabic"/>
          <w:sz w:val="26"/>
          <w:szCs w:val="26"/>
        </w:rPr>
        <w:t>9</w:t>
      </w:r>
      <w:r w:rsidR="0070362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الفئة العمرية </w:t>
      </w:r>
      <w:r w:rsidR="00BB1D4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45- 64 سنة</w:t>
      </w:r>
      <w:r w:rsidR="009C73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7A3547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205EB9" w:rsidRPr="00C36A59">
        <w:rPr>
          <w:rFonts w:ascii="Simplified Arabic" w:hAnsi="Simplified Arabic" w:cs="Simplified Arabic"/>
          <w:sz w:val="26"/>
          <w:szCs w:val="26"/>
          <w:lang w:eastAsia="en-US"/>
        </w:rPr>
        <w:t>7</w:t>
      </w:r>
      <w:r w:rsidR="007A3547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205EB9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وأميّة) و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>.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70362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الفئة العمرية </w:t>
      </w:r>
      <w:r w:rsidR="00BB1D4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30- 44 سنة</w:t>
      </w:r>
      <w:r w:rsidR="009C73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7A3547" w:rsidRPr="00C36A59">
        <w:rPr>
          <w:rFonts w:ascii="Simplified Arabic" w:hAnsi="Simplified Arabic" w:cs="Simplified Arabic"/>
          <w:sz w:val="26"/>
          <w:szCs w:val="26"/>
          <w:lang w:eastAsia="en-US"/>
        </w:rPr>
        <w:t>7.</w:t>
      </w:r>
      <w:r w:rsidR="00A8381F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آلاف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وأميّة)، 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حين بلغ بين الشباب </w:t>
      </w:r>
      <w:r w:rsidR="00BB1D4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15-29 سنة</w:t>
      </w:r>
      <w:r w:rsidR="009C73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0.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7</w:t>
      </w:r>
      <w:r w:rsidR="00230AA3" w:rsidRPr="00C36A5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5E7259" w:rsidRPr="00C36A59">
        <w:rPr>
          <w:rFonts w:ascii="Simplified Arabic" w:hAnsi="Simplified Arabic" w:cs="Simplified Arabic"/>
          <w:sz w:val="26"/>
          <w:szCs w:val="26"/>
          <w:lang w:eastAsia="en-US"/>
        </w:rPr>
        <w:t>10</w:t>
      </w:r>
      <w:r w:rsidR="007A3547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5E7259" w:rsidRPr="00C36A59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7F6A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آلاف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أمي وأميّة</w:t>
      </w:r>
      <w:r w:rsidRPr="00C36A59">
        <w:rPr>
          <w:rFonts w:ascii="Simplified Arabic" w:hAnsi="Simplified Arabic" w:cs="Simplified Arabic"/>
          <w:sz w:val="26"/>
          <w:szCs w:val="26"/>
          <w:rtl/>
        </w:rPr>
        <w:t>)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العام.</w:t>
      </w:r>
    </w:p>
    <w:p w:rsidR="00270D71" w:rsidRPr="00270D71" w:rsidRDefault="00270D71" w:rsidP="009C73EF">
      <w:pPr>
        <w:tabs>
          <w:tab w:val="left" w:pos="-48"/>
        </w:tabs>
        <w:jc w:val="both"/>
        <w:rPr>
          <w:rFonts w:ascii="Simplified Arabic" w:hAnsi="Simplified Arabic" w:cs="Simplified Arabic"/>
          <w:sz w:val="12"/>
          <w:szCs w:val="12"/>
          <w:lang w:eastAsia="en-US"/>
        </w:rPr>
      </w:pPr>
    </w:p>
    <w:p w:rsidR="001557EA" w:rsidRPr="00CD10C3" w:rsidRDefault="0097590D" w:rsidP="00CB48B1">
      <w:pPr>
        <w:ind w:left="67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CD10C3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73% من الأميين يعيشون في التجمعات الحضرية</w:t>
      </w:r>
    </w:p>
    <w:p w:rsidR="00270D71" w:rsidRPr="00270D71" w:rsidRDefault="001557EA" w:rsidP="00270D71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lang w:eastAsia="en-US" w:bidi="ar-JO"/>
        </w:rPr>
      </w:pP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الأمية في التجمعات الريفية </w:t>
      </w:r>
      <w:r w:rsidR="00EA2FE5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3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2C48C4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="0082268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9C73EF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C92AC3" w:rsidRPr="00C36A59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2C48C4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C92AC3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2C48C4" w:rsidRPr="00C36A59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EA2FE5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أمي وأميّة) و</w:t>
      </w:r>
      <w:r w:rsidR="003D2C5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856ABA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="0082268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في المخيمات (</w:t>
      </w:r>
      <w:r w:rsidR="00856ABA" w:rsidRPr="00C36A59">
        <w:rPr>
          <w:rFonts w:ascii="Simplified Arabic" w:hAnsi="Simplified Arabic" w:cs="Simplified Arabic"/>
          <w:sz w:val="26"/>
          <w:szCs w:val="26"/>
          <w:lang w:eastAsia="en-US"/>
        </w:rPr>
        <w:t>6</w:t>
      </w:r>
      <w:r w:rsidR="00C92AC3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856ABA" w:rsidRPr="00C36A59">
        <w:rPr>
          <w:rFonts w:ascii="Simplified Arabic" w:hAnsi="Simplified Arabic" w:cs="Simplified Arabic"/>
          <w:sz w:val="26"/>
          <w:szCs w:val="26"/>
          <w:lang w:eastAsia="en-US"/>
        </w:rPr>
        <w:t>6</w:t>
      </w:r>
      <w:r w:rsidR="00C92AC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D2C5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آلاف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أمي وأميّة) و</w:t>
      </w:r>
      <w:r w:rsidR="003D2C58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AE4132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5</w:t>
      </w:r>
      <w:r w:rsidR="0082268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في التجمعات الحضرية (</w:t>
      </w:r>
      <w:r w:rsidR="00C92AC3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422EC3" w:rsidRPr="00C36A59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C92AC3" w:rsidRPr="00C36A59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422EC3" w:rsidRPr="00C36A59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3E62C7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ألف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 وأميّة) في العام </w:t>
      </w:r>
      <w:r w:rsidR="00422EC3" w:rsidRPr="00C36A59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2019</w:t>
      </w:r>
      <w:r w:rsidRPr="00C36A59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. </w:t>
      </w:r>
    </w:p>
    <w:p w:rsidR="008F63BA" w:rsidRPr="00C36A59" w:rsidRDefault="008F63BA" w:rsidP="00690D46">
      <w:pPr>
        <w:tabs>
          <w:tab w:val="left" w:pos="-48"/>
          <w:tab w:val="left" w:pos="2428"/>
        </w:tabs>
        <w:jc w:val="both"/>
        <w:rPr>
          <w:rFonts w:ascii="Simplified Arabic" w:hAnsi="Simplified Arabic" w:cs="Simplified Arabic"/>
          <w:color w:val="FF0000"/>
          <w:sz w:val="2"/>
          <w:szCs w:val="2"/>
          <w:rtl/>
          <w:lang w:eastAsia="en-US"/>
        </w:rPr>
      </w:pPr>
    </w:p>
    <w:p w:rsidR="00270D71" w:rsidRPr="00270D71" w:rsidRDefault="00270D71" w:rsidP="00F80E4D">
      <w:pPr>
        <w:jc w:val="center"/>
        <w:rPr>
          <w:rFonts w:ascii="Simplified Arabic" w:hAnsi="Simplified Arabic" w:cs="Simplified Arabic"/>
          <w:b/>
          <w:bCs/>
          <w:sz w:val="6"/>
          <w:szCs w:val="6"/>
          <w:rtl/>
          <w:lang w:eastAsia="en-US"/>
        </w:rPr>
      </w:pPr>
    </w:p>
    <w:p w:rsidR="001557EA" w:rsidRPr="00CD10C3" w:rsidRDefault="001557EA" w:rsidP="00F80E4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CD10C3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معدل الأمية </w:t>
      </w:r>
      <w:r w:rsidR="00CF3973" w:rsidRPr="00CD10C3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وأعداد الأميين </w:t>
      </w:r>
      <w:r w:rsidRPr="00CD10C3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(15 سنة فأكثر) في فلسطين حسب </w:t>
      </w:r>
      <w:r w:rsidR="00566CF2" w:rsidRPr="00CD10C3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نوع </w:t>
      </w:r>
      <w:r w:rsidRPr="00CD10C3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التجمع والجنس، </w:t>
      </w:r>
      <w:r w:rsidR="00F80E4D" w:rsidRPr="00CD10C3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2019</w:t>
      </w:r>
    </w:p>
    <w:p w:rsidR="001557EA" w:rsidRPr="00C36A59" w:rsidRDefault="00954817" w:rsidP="00C36A59">
      <w:pPr>
        <w:tabs>
          <w:tab w:val="left" w:pos="-48"/>
        </w:tabs>
        <w:jc w:val="center"/>
        <w:rPr>
          <w:rFonts w:ascii="Simplified Arabic" w:hAnsi="Simplified Arabic" w:cs="Simplified Arabic"/>
          <w:color w:val="FF0000"/>
          <w:rtl/>
          <w:lang w:eastAsia="en-US"/>
        </w:rPr>
      </w:pPr>
      <w:r>
        <w:rPr>
          <w:rFonts w:ascii="Simplified Arabic" w:hAnsi="Simplified Arabic" w:cs="Simplified Arabic"/>
          <w:noProof/>
          <w:color w:val="FF0000"/>
          <w:rtl/>
          <w:lang w:eastAsia="en-US"/>
        </w:rPr>
        <w:drawing>
          <wp:inline distT="0" distB="0" distL="0" distR="0">
            <wp:extent cx="4086225" cy="1666875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1557EA" w:rsidRPr="00C36A59" w:rsidSect="00C36A59">
      <w:headerReference w:type="default" r:id="rId10"/>
      <w:footerReference w:type="even" r:id="rId11"/>
      <w:footerReference w:type="default" r:id="rId12"/>
      <w:type w:val="continuous"/>
      <w:pgSz w:w="11909" w:h="16834" w:code="9"/>
      <w:pgMar w:top="947" w:right="1138" w:bottom="1138" w:left="1138" w:header="360" w:footer="45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D3" w:rsidRDefault="00D46ED3">
      <w:r>
        <w:separator/>
      </w:r>
    </w:p>
  </w:endnote>
  <w:endnote w:type="continuationSeparator" w:id="0">
    <w:p w:rsidR="00D46ED3" w:rsidRDefault="00D4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1B" w:rsidRDefault="00716EF4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end"/>
    </w:r>
  </w:p>
  <w:p w:rsidR="0077081B" w:rsidRDefault="0077081B">
    <w:pPr>
      <w:pStyle w:val="Footer"/>
      <w:rPr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1B" w:rsidRDefault="00716EF4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CD10C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7081B" w:rsidRDefault="0077081B">
    <w:pPr>
      <w:pStyle w:val="Footer"/>
      <w:rPr>
        <w:szCs w:val="16"/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D3" w:rsidRDefault="00D46ED3">
      <w:r>
        <w:separator/>
      </w:r>
    </w:p>
  </w:footnote>
  <w:footnote w:type="continuationSeparator" w:id="0">
    <w:p w:rsidR="00D46ED3" w:rsidRDefault="00D4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1B" w:rsidRDefault="0077081B" w:rsidP="001C3405">
    <w:pPr>
      <w:pStyle w:val="Header"/>
    </w:pPr>
    <w:r>
      <w:rPr>
        <w:rFonts w:cs="Simplified Arabic" w:hint="cs"/>
        <w:b/>
        <w:bCs/>
        <w:sz w:val="28"/>
        <w:szCs w:val="28"/>
        <w:rtl/>
      </w:rPr>
      <w:t xml:space="preserve">      </w:t>
    </w:r>
  </w:p>
  <w:p w:rsidR="0077081B" w:rsidRDefault="0077081B" w:rsidP="00F754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212A"/>
    <w:multiLevelType w:val="hybridMultilevel"/>
    <w:tmpl w:val="F8DA558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613A6"/>
    <w:rsid w:val="0000020D"/>
    <w:rsid w:val="00002BF2"/>
    <w:rsid w:val="00003F9D"/>
    <w:rsid w:val="000112AA"/>
    <w:rsid w:val="00015164"/>
    <w:rsid w:val="000174E0"/>
    <w:rsid w:val="00022563"/>
    <w:rsid w:val="00023FE1"/>
    <w:rsid w:val="0002446F"/>
    <w:rsid w:val="00025849"/>
    <w:rsid w:val="0003052C"/>
    <w:rsid w:val="00032ABC"/>
    <w:rsid w:val="00033BE9"/>
    <w:rsid w:val="00033F91"/>
    <w:rsid w:val="0003439B"/>
    <w:rsid w:val="00036742"/>
    <w:rsid w:val="0003683E"/>
    <w:rsid w:val="00040E3E"/>
    <w:rsid w:val="00041C5F"/>
    <w:rsid w:val="00043175"/>
    <w:rsid w:val="0004322F"/>
    <w:rsid w:val="0004373B"/>
    <w:rsid w:val="0004562A"/>
    <w:rsid w:val="000462C7"/>
    <w:rsid w:val="00047167"/>
    <w:rsid w:val="000567CE"/>
    <w:rsid w:val="00063B77"/>
    <w:rsid w:val="00075607"/>
    <w:rsid w:val="00076464"/>
    <w:rsid w:val="00076838"/>
    <w:rsid w:val="00076C34"/>
    <w:rsid w:val="00077BFE"/>
    <w:rsid w:val="00080182"/>
    <w:rsid w:val="00080AD4"/>
    <w:rsid w:val="00081746"/>
    <w:rsid w:val="000830A5"/>
    <w:rsid w:val="00083C31"/>
    <w:rsid w:val="000868BB"/>
    <w:rsid w:val="00086C85"/>
    <w:rsid w:val="00087588"/>
    <w:rsid w:val="00090C34"/>
    <w:rsid w:val="000915F2"/>
    <w:rsid w:val="00094D5C"/>
    <w:rsid w:val="00095A91"/>
    <w:rsid w:val="00095B62"/>
    <w:rsid w:val="00096242"/>
    <w:rsid w:val="0009758F"/>
    <w:rsid w:val="00097E16"/>
    <w:rsid w:val="000A1535"/>
    <w:rsid w:val="000A2364"/>
    <w:rsid w:val="000A3037"/>
    <w:rsid w:val="000B44FB"/>
    <w:rsid w:val="000B5893"/>
    <w:rsid w:val="000B7F95"/>
    <w:rsid w:val="000B7FA4"/>
    <w:rsid w:val="000C0670"/>
    <w:rsid w:val="000C1BF6"/>
    <w:rsid w:val="000C3860"/>
    <w:rsid w:val="000D3708"/>
    <w:rsid w:val="000D5CCE"/>
    <w:rsid w:val="000D6EE0"/>
    <w:rsid w:val="000E25E2"/>
    <w:rsid w:val="000E55D0"/>
    <w:rsid w:val="001027F9"/>
    <w:rsid w:val="001031C5"/>
    <w:rsid w:val="00107B91"/>
    <w:rsid w:val="001113B5"/>
    <w:rsid w:val="00114B0A"/>
    <w:rsid w:val="00120065"/>
    <w:rsid w:val="00127195"/>
    <w:rsid w:val="00130D8F"/>
    <w:rsid w:val="00133A25"/>
    <w:rsid w:val="00136115"/>
    <w:rsid w:val="00141617"/>
    <w:rsid w:val="00142114"/>
    <w:rsid w:val="001432A2"/>
    <w:rsid w:val="001437D1"/>
    <w:rsid w:val="00143F71"/>
    <w:rsid w:val="00144D5B"/>
    <w:rsid w:val="0014629F"/>
    <w:rsid w:val="00146E30"/>
    <w:rsid w:val="00147CB8"/>
    <w:rsid w:val="00150EF1"/>
    <w:rsid w:val="00151B1A"/>
    <w:rsid w:val="00152D18"/>
    <w:rsid w:val="001557EA"/>
    <w:rsid w:val="001575E4"/>
    <w:rsid w:val="00160265"/>
    <w:rsid w:val="00161EB8"/>
    <w:rsid w:val="00163886"/>
    <w:rsid w:val="00163FB0"/>
    <w:rsid w:val="00164341"/>
    <w:rsid w:val="00165568"/>
    <w:rsid w:val="00175F8E"/>
    <w:rsid w:val="00176702"/>
    <w:rsid w:val="00181177"/>
    <w:rsid w:val="001830AA"/>
    <w:rsid w:val="00184A85"/>
    <w:rsid w:val="001857AD"/>
    <w:rsid w:val="001909DC"/>
    <w:rsid w:val="00191DCF"/>
    <w:rsid w:val="00194912"/>
    <w:rsid w:val="00197567"/>
    <w:rsid w:val="001A23BC"/>
    <w:rsid w:val="001A3951"/>
    <w:rsid w:val="001A4359"/>
    <w:rsid w:val="001A7C1C"/>
    <w:rsid w:val="001B05BB"/>
    <w:rsid w:val="001B198F"/>
    <w:rsid w:val="001B1C77"/>
    <w:rsid w:val="001B2746"/>
    <w:rsid w:val="001C187C"/>
    <w:rsid w:val="001C2991"/>
    <w:rsid w:val="001C3405"/>
    <w:rsid w:val="001D29C1"/>
    <w:rsid w:val="001D2BDF"/>
    <w:rsid w:val="001D3262"/>
    <w:rsid w:val="001D3DE5"/>
    <w:rsid w:val="001E08C7"/>
    <w:rsid w:val="001E2215"/>
    <w:rsid w:val="001E2F3E"/>
    <w:rsid w:val="001E5181"/>
    <w:rsid w:val="001E76D3"/>
    <w:rsid w:val="001F1DA6"/>
    <w:rsid w:val="001F2DE9"/>
    <w:rsid w:val="001F332E"/>
    <w:rsid w:val="001F360C"/>
    <w:rsid w:val="001F4221"/>
    <w:rsid w:val="001F446D"/>
    <w:rsid w:val="001F4FF8"/>
    <w:rsid w:val="001F6D52"/>
    <w:rsid w:val="00205D1E"/>
    <w:rsid w:val="00205EB9"/>
    <w:rsid w:val="002060C2"/>
    <w:rsid w:val="00213E2C"/>
    <w:rsid w:val="00221D60"/>
    <w:rsid w:val="0022295C"/>
    <w:rsid w:val="00223955"/>
    <w:rsid w:val="00224119"/>
    <w:rsid w:val="00230AA3"/>
    <w:rsid w:val="002401AF"/>
    <w:rsid w:val="002448D9"/>
    <w:rsid w:val="0024575F"/>
    <w:rsid w:val="0024760F"/>
    <w:rsid w:val="0025166F"/>
    <w:rsid w:val="00251AAE"/>
    <w:rsid w:val="00253937"/>
    <w:rsid w:val="00255DF1"/>
    <w:rsid w:val="00256E6C"/>
    <w:rsid w:val="00257C7D"/>
    <w:rsid w:val="00260AB7"/>
    <w:rsid w:val="00260DC5"/>
    <w:rsid w:val="002617C1"/>
    <w:rsid w:val="00263E41"/>
    <w:rsid w:val="00267044"/>
    <w:rsid w:val="00270D71"/>
    <w:rsid w:val="00272BEE"/>
    <w:rsid w:val="002741A4"/>
    <w:rsid w:val="00280286"/>
    <w:rsid w:val="00280D6D"/>
    <w:rsid w:val="00282083"/>
    <w:rsid w:val="0028235C"/>
    <w:rsid w:val="00284062"/>
    <w:rsid w:val="00284855"/>
    <w:rsid w:val="0028534E"/>
    <w:rsid w:val="00290A07"/>
    <w:rsid w:val="00291DC5"/>
    <w:rsid w:val="002939ED"/>
    <w:rsid w:val="002A0899"/>
    <w:rsid w:val="002A1176"/>
    <w:rsid w:val="002A35DA"/>
    <w:rsid w:val="002A3FAC"/>
    <w:rsid w:val="002B1533"/>
    <w:rsid w:val="002B21F3"/>
    <w:rsid w:val="002B415B"/>
    <w:rsid w:val="002B574A"/>
    <w:rsid w:val="002B6826"/>
    <w:rsid w:val="002B7FB9"/>
    <w:rsid w:val="002C04F4"/>
    <w:rsid w:val="002C3111"/>
    <w:rsid w:val="002C48C4"/>
    <w:rsid w:val="002D50A9"/>
    <w:rsid w:val="002D5AD4"/>
    <w:rsid w:val="002D69CE"/>
    <w:rsid w:val="002F152D"/>
    <w:rsid w:val="002F159A"/>
    <w:rsid w:val="002F2DAE"/>
    <w:rsid w:val="002F4FB4"/>
    <w:rsid w:val="002F6836"/>
    <w:rsid w:val="002F6CEA"/>
    <w:rsid w:val="002F76A5"/>
    <w:rsid w:val="00304F20"/>
    <w:rsid w:val="00304F5C"/>
    <w:rsid w:val="00306CD9"/>
    <w:rsid w:val="00306ECB"/>
    <w:rsid w:val="00314AD6"/>
    <w:rsid w:val="003220AA"/>
    <w:rsid w:val="00325F9A"/>
    <w:rsid w:val="00330564"/>
    <w:rsid w:val="00336932"/>
    <w:rsid w:val="00337ACB"/>
    <w:rsid w:val="00337DC9"/>
    <w:rsid w:val="00340BB2"/>
    <w:rsid w:val="0034251F"/>
    <w:rsid w:val="00342D76"/>
    <w:rsid w:val="00343E6E"/>
    <w:rsid w:val="003476DA"/>
    <w:rsid w:val="00351768"/>
    <w:rsid w:val="00353E0D"/>
    <w:rsid w:val="00362463"/>
    <w:rsid w:val="00362DA3"/>
    <w:rsid w:val="003631FD"/>
    <w:rsid w:val="00363924"/>
    <w:rsid w:val="003640AF"/>
    <w:rsid w:val="00364F56"/>
    <w:rsid w:val="0036749F"/>
    <w:rsid w:val="00371483"/>
    <w:rsid w:val="00371999"/>
    <w:rsid w:val="003724C2"/>
    <w:rsid w:val="00373806"/>
    <w:rsid w:val="00375658"/>
    <w:rsid w:val="003765A0"/>
    <w:rsid w:val="0037730E"/>
    <w:rsid w:val="00377E61"/>
    <w:rsid w:val="00380BE1"/>
    <w:rsid w:val="003819D8"/>
    <w:rsid w:val="0038395D"/>
    <w:rsid w:val="00384FFC"/>
    <w:rsid w:val="003851F3"/>
    <w:rsid w:val="00386798"/>
    <w:rsid w:val="00392C03"/>
    <w:rsid w:val="00392EB6"/>
    <w:rsid w:val="0039309B"/>
    <w:rsid w:val="00394715"/>
    <w:rsid w:val="003A7D2A"/>
    <w:rsid w:val="003A7E40"/>
    <w:rsid w:val="003B03E2"/>
    <w:rsid w:val="003B43B1"/>
    <w:rsid w:val="003B56EA"/>
    <w:rsid w:val="003B6275"/>
    <w:rsid w:val="003B6330"/>
    <w:rsid w:val="003C019A"/>
    <w:rsid w:val="003C1E01"/>
    <w:rsid w:val="003C23DC"/>
    <w:rsid w:val="003C2AB6"/>
    <w:rsid w:val="003D06DF"/>
    <w:rsid w:val="003D1128"/>
    <w:rsid w:val="003D2C58"/>
    <w:rsid w:val="003D72DC"/>
    <w:rsid w:val="003D7EFB"/>
    <w:rsid w:val="003E0CCA"/>
    <w:rsid w:val="003E3A83"/>
    <w:rsid w:val="003E3CC2"/>
    <w:rsid w:val="003E62C7"/>
    <w:rsid w:val="003E70E5"/>
    <w:rsid w:val="003F10A5"/>
    <w:rsid w:val="003F2DC5"/>
    <w:rsid w:val="004037E4"/>
    <w:rsid w:val="004043DF"/>
    <w:rsid w:val="004128A9"/>
    <w:rsid w:val="00412B54"/>
    <w:rsid w:val="004132F1"/>
    <w:rsid w:val="004147AB"/>
    <w:rsid w:val="00415B09"/>
    <w:rsid w:val="00415E7E"/>
    <w:rsid w:val="0042050D"/>
    <w:rsid w:val="004206EC"/>
    <w:rsid w:val="00421620"/>
    <w:rsid w:val="00421A51"/>
    <w:rsid w:val="00422EC3"/>
    <w:rsid w:val="0042321F"/>
    <w:rsid w:val="004250ED"/>
    <w:rsid w:val="00427308"/>
    <w:rsid w:val="00431434"/>
    <w:rsid w:val="00431974"/>
    <w:rsid w:val="004356F9"/>
    <w:rsid w:val="00435D1E"/>
    <w:rsid w:val="004378D8"/>
    <w:rsid w:val="00437925"/>
    <w:rsid w:val="0044398D"/>
    <w:rsid w:val="00446598"/>
    <w:rsid w:val="0045039B"/>
    <w:rsid w:val="00451E94"/>
    <w:rsid w:val="004520AD"/>
    <w:rsid w:val="004528EA"/>
    <w:rsid w:val="0045328E"/>
    <w:rsid w:val="00456090"/>
    <w:rsid w:val="00456B82"/>
    <w:rsid w:val="00462382"/>
    <w:rsid w:val="00466EF7"/>
    <w:rsid w:val="00470834"/>
    <w:rsid w:val="00471B74"/>
    <w:rsid w:val="0047347F"/>
    <w:rsid w:val="00480929"/>
    <w:rsid w:val="004830DB"/>
    <w:rsid w:val="004861B1"/>
    <w:rsid w:val="004866C0"/>
    <w:rsid w:val="0049018F"/>
    <w:rsid w:val="004916E8"/>
    <w:rsid w:val="004927B2"/>
    <w:rsid w:val="00497207"/>
    <w:rsid w:val="004A19CA"/>
    <w:rsid w:val="004B0EB5"/>
    <w:rsid w:val="004B4A2C"/>
    <w:rsid w:val="004B6AE5"/>
    <w:rsid w:val="004B7968"/>
    <w:rsid w:val="004C18AC"/>
    <w:rsid w:val="004C28B7"/>
    <w:rsid w:val="004C2E09"/>
    <w:rsid w:val="004C60B1"/>
    <w:rsid w:val="004D49FC"/>
    <w:rsid w:val="004D5E6A"/>
    <w:rsid w:val="004D6FBB"/>
    <w:rsid w:val="004E081C"/>
    <w:rsid w:val="004E2E74"/>
    <w:rsid w:val="004E79B4"/>
    <w:rsid w:val="004F11C3"/>
    <w:rsid w:val="004F7573"/>
    <w:rsid w:val="004F7A13"/>
    <w:rsid w:val="0050005A"/>
    <w:rsid w:val="0050198D"/>
    <w:rsid w:val="00504613"/>
    <w:rsid w:val="00521756"/>
    <w:rsid w:val="00522D83"/>
    <w:rsid w:val="005241C5"/>
    <w:rsid w:val="005246A6"/>
    <w:rsid w:val="005279F7"/>
    <w:rsid w:val="00527F41"/>
    <w:rsid w:val="00532CC5"/>
    <w:rsid w:val="0053315E"/>
    <w:rsid w:val="00535BEC"/>
    <w:rsid w:val="00535E20"/>
    <w:rsid w:val="005367BD"/>
    <w:rsid w:val="005376E3"/>
    <w:rsid w:val="0053798F"/>
    <w:rsid w:val="00540DC4"/>
    <w:rsid w:val="00541418"/>
    <w:rsid w:val="005443F5"/>
    <w:rsid w:val="005528AE"/>
    <w:rsid w:val="005528B7"/>
    <w:rsid w:val="0056117B"/>
    <w:rsid w:val="00563DD7"/>
    <w:rsid w:val="00566CF2"/>
    <w:rsid w:val="0057191B"/>
    <w:rsid w:val="00572436"/>
    <w:rsid w:val="005725DF"/>
    <w:rsid w:val="00575FD8"/>
    <w:rsid w:val="00576B2B"/>
    <w:rsid w:val="0058251D"/>
    <w:rsid w:val="0058519D"/>
    <w:rsid w:val="005916B0"/>
    <w:rsid w:val="005918B8"/>
    <w:rsid w:val="005A029E"/>
    <w:rsid w:val="005A5E36"/>
    <w:rsid w:val="005B1530"/>
    <w:rsid w:val="005B207C"/>
    <w:rsid w:val="005B28C9"/>
    <w:rsid w:val="005B42A5"/>
    <w:rsid w:val="005B504F"/>
    <w:rsid w:val="005B73F4"/>
    <w:rsid w:val="005C0186"/>
    <w:rsid w:val="005C16FA"/>
    <w:rsid w:val="005C1B98"/>
    <w:rsid w:val="005C2FE8"/>
    <w:rsid w:val="005C52BC"/>
    <w:rsid w:val="005C73B0"/>
    <w:rsid w:val="005D3061"/>
    <w:rsid w:val="005D6C47"/>
    <w:rsid w:val="005D77EB"/>
    <w:rsid w:val="005E2C2D"/>
    <w:rsid w:val="005E4025"/>
    <w:rsid w:val="005E649C"/>
    <w:rsid w:val="005E7259"/>
    <w:rsid w:val="005E7CEF"/>
    <w:rsid w:val="005F6204"/>
    <w:rsid w:val="005F7437"/>
    <w:rsid w:val="00602D54"/>
    <w:rsid w:val="00606321"/>
    <w:rsid w:val="0061041D"/>
    <w:rsid w:val="006143D9"/>
    <w:rsid w:val="0061477A"/>
    <w:rsid w:val="006157BA"/>
    <w:rsid w:val="006225E1"/>
    <w:rsid w:val="00626344"/>
    <w:rsid w:val="006318CF"/>
    <w:rsid w:val="00633EA4"/>
    <w:rsid w:val="00636030"/>
    <w:rsid w:val="0063635C"/>
    <w:rsid w:val="006410B9"/>
    <w:rsid w:val="00642145"/>
    <w:rsid w:val="00645710"/>
    <w:rsid w:val="00647FA4"/>
    <w:rsid w:val="00650821"/>
    <w:rsid w:val="006523AE"/>
    <w:rsid w:val="00654EE9"/>
    <w:rsid w:val="00655B77"/>
    <w:rsid w:val="006567D7"/>
    <w:rsid w:val="00656CB0"/>
    <w:rsid w:val="00657D83"/>
    <w:rsid w:val="00657E9E"/>
    <w:rsid w:val="0066098E"/>
    <w:rsid w:val="006642F4"/>
    <w:rsid w:val="006736E6"/>
    <w:rsid w:val="00680D46"/>
    <w:rsid w:val="00685231"/>
    <w:rsid w:val="0069099F"/>
    <w:rsid w:val="00690D46"/>
    <w:rsid w:val="0069237E"/>
    <w:rsid w:val="006A373E"/>
    <w:rsid w:val="006A765C"/>
    <w:rsid w:val="006B29B0"/>
    <w:rsid w:val="006B42A4"/>
    <w:rsid w:val="006B5621"/>
    <w:rsid w:val="006B5AE6"/>
    <w:rsid w:val="006C0079"/>
    <w:rsid w:val="006C0682"/>
    <w:rsid w:val="006C38BE"/>
    <w:rsid w:val="006C6956"/>
    <w:rsid w:val="006C6ADA"/>
    <w:rsid w:val="006C7DEE"/>
    <w:rsid w:val="006D08EF"/>
    <w:rsid w:val="006D4188"/>
    <w:rsid w:val="006D54DD"/>
    <w:rsid w:val="006D5DB4"/>
    <w:rsid w:val="006D708A"/>
    <w:rsid w:val="006E2779"/>
    <w:rsid w:val="006E3AF3"/>
    <w:rsid w:val="006E4856"/>
    <w:rsid w:val="006E4E2C"/>
    <w:rsid w:val="006F3847"/>
    <w:rsid w:val="006F4D6C"/>
    <w:rsid w:val="006F6C71"/>
    <w:rsid w:val="00700CE5"/>
    <w:rsid w:val="00701DE3"/>
    <w:rsid w:val="0070287D"/>
    <w:rsid w:val="0070362A"/>
    <w:rsid w:val="007045BA"/>
    <w:rsid w:val="00711AC0"/>
    <w:rsid w:val="00713475"/>
    <w:rsid w:val="00716EF4"/>
    <w:rsid w:val="007202A8"/>
    <w:rsid w:val="007273E8"/>
    <w:rsid w:val="007322FB"/>
    <w:rsid w:val="007353D1"/>
    <w:rsid w:val="007355F7"/>
    <w:rsid w:val="00736561"/>
    <w:rsid w:val="00741443"/>
    <w:rsid w:val="00742D53"/>
    <w:rsid w:val="007437B4"/>
    <w:rsid w:val="00752E4D"/>
    <w:rsid w:val="00753F9D"/>
    <w:rsid w:val="00756438"/>
    <w:rsid w:val="00756AA4"/>
    <w:rsid w:val="007571F6"/>
    <w:rsid w:val="00757868"/>
    <w:rsid w:val="0076155A"/>
    <w:rsid w:val="00762DF2"/>
    <w:rsid w:val="0077081B"/>
    <w:rsid w:val="00771F4A"/>
    <w:rsid w:val="00772957"/>
    <w:rsid w:val="0077438F"/>
    <w:rsid w:val="00777404"/>
    <w:rsid w:val="00781806"/>
    <w:rsid w:val="00782A7B"/>
    <w:rsid w:val="00784887"/>
    <w:rsid w:val="007859A0"/>
    <w:rsid w:val="00787EEA"/>
    <w:rsid w:val="007950FD"/>
    <w:rsid w:val="00797471"/>
    <w:rsid w:val="007A2482"/>
    <w:rsid w:val="007A266B"/>
    <w:rsid w:val="007A3547"/>
    <w:rsid w:val="007A3565"/>
    <w:rsid w:val="007A4FCF"/>
    <w:rsid w:val="007A62E6"/>
    <w:rsid w:val="007A6666"/>
    <w:rsid w:val="007A67BB"/>
    <w:rsid w:val="007B376F"/>
    <w:rsid w:val="007B5CC3"/>
    <w:rsid w:val="007B75C1"/>
    <w:rsid w:val="007C0215"/>
    <w:rsid w:val="007C51D8"/>
    <w:rsid w:val="007C681E"/>
    <w:rsid w:val="007D1ECE"/>
    <w:rsid w:val="007D2E66"/>
    <w:rsid w:val="007D499B"/>
    <w:rsid w:val="007D7A45"/>
    <w:rsid w:val="007D7FF0"/>
    <w:rsid w:val="007E0070"/>
    <w:rsid w:val="007E7B40"/>
    <w:rsid w:val="007F382E"/>
    <w:rsid w:val="007F4A63"/>
    <w:rsid w:val="007F6AEF"/>
    <w:rsid w:val="007F7C10"/>
    <w:rsid w:val="00807C0E"/>
    <w:rsid w:val="0081071E"/>
    <w:rsid w:val="00812285"/>
    <w:rsid w:val="00813FDD"/>
    <w:rsid w:val="00815F20"/>
    <w:rsid w:val="008175FD"/>
    <w:rsid w:val="00822683"/>
    <w:rsid w:val="00823969"/>
    <w:rsid w:val="008249AC"/>
    <w:rsid w:val="008311E0"/>
    <w:rsid w:val="00846040"/>
    <w:rsid w:val="008517CB"/>
    <w:rsid w:val="0085230D"/>
    <w:rsid w:val="00855D6C"/>
    <w:rsid w:val="00856ABA"/>
    <w:rsid w:val="00856B63"/>
    <w:rsid w:val="00857C39"/>
    <w:rsid w:val="00857EA6"/>
    <w:rsid w:val="00857F9D"/>
    <w:rsid w:val="008612B7"/>
    <w:rsid w:val="00861DC0"/>
    <w:rsid w:val="008631CA"/>
    <w:rsid w:val="008667A0"/>
    <w:rsid w:val="008718A7"/>
    <w:rsid w:val="00871939"/>
    <w:rsid w:val="0087248F"/>
    <w:rsid w:val="00873542"/>
    <w:rsid w:val="008776A1"/>
    <w:rsid w:val="00883A12"/>
    <w:rsid w:val="00885A3E"/>
    <w:rsid w:val="00886937"/>
    <w:rsid w:val="00890CF8"/>
    <w:rsid w:val="00893502"/>
    <w:rsid w:val="00896670"/>
    <w:rsid w:val="008A1DE2"/>
    <w:rsid w:val="008A2824"/>
    <w:rsid w:val="008A4279"/>
    <w:rsid w:val="008A4CE5"/>
    <w:rsid w:val="008A5DDF"/>
    <w:rsid w:val="008B435F"/>
    <w:rsid w:val="008B50A8"/>
    <w:rsid w:val="008B7B43"/>
    <w:rsid w:val="008C0D08"/>
    <w:rsid w:val="008C7F25"/>
    <w:rsid w:val="008D0684"/>
    <w:rsid w:val="008D221B"/>
    <w:rsid w:val="008D3EAF"/>
    <w:rsid w:val="008D4307"/>
    <w:rsid w:val="008D481A"/>
    <w:rsid w:val="008E2534"/>
    <w:rsid w:val="008E2C40"/>
    <w:rsid w:val="008E35FE"/>
    <w:rsid w:val="008E5FC3"/>
    <w:rsid w:val="008E7D2C"/>
    <w:rsid w:val="008F028C"/>
    <w:rsid w:val="008F63BA"/>
    <w:rsid w:val="009023AA"/>
    <w:rsid w:val="00905B54"/>
    <w:rsid w:val="009071AF"/>
    <w:rsid w:val="0090751D"/>
    <w:rsid w:val="00910F71"/>
    <w:rsid w:val="00920BFB"/>
    <w:rsid w:val="00920C9F"/>
    <w:rsid w:val="00921EE5"/>
    <w:rsid w:val="00927F5E"/>
    <w:rsid w:val="00933C9C"/>
    <w:rsid w:val="0093452D"/>
    <w:rsid w:val="00935690"/>
    <w:rsid w:val="009379E7"/>
    <w:rsid w:val="00940CAF"/>
    <w:rsid w:val="00947FFB"/>
    <w:rsid w:val="00951E9D"/>
    <w:rsid w:val="00952B7E"/>
    <w:rsid w:val="00954817"/>
    <w:rsid w:val="00956475"/>
    <w:rsid w:val="009565FB"/>
    <w:rsid w:val="00956D3B"/>
    <w:rsid w:val="009570DB"/>
    <w:rsid w:val="00962684"/>
    <w:rsid w:val="00962848"/>
    <w:rsid w:val="009633B6"/>
    <w:rsid w:val="00963DD3"/>
    <w:rsid w:val="0096463F"/>
    <w:rsid w:val="00967932"/>
    <w:rsid w:val="00970531"/>
    <w:rsid w:val="00970CBF"/>
    <w:rsid w:val="0097590D"/>
    <w:rsid w:val="00980212"/>
    <w:rsid w:val="009803CE"/>
    <w:rsid w:val="009832B6"/>
    <w:rsid w:val="009857A2"/>
    <w:rsid w:val="009874C0"/>
    <w:rsid w:val="0099138A"/>
    <w:rsid w:val="009A0846"/>
    <w:rsid w:val="009A0ED7"/>
    <w:rsid w:val="009A265E"/>
    <w:rsid w:val="009A4194"/>
    <w:rsid w:val="009A4A5B"/>
    <w:rsid w:val="009A51E4"/>
    <w:rsid w:val="009A6DED"/>
    <w:rsid w:val="009B1409"/>
    <w:rsid w:val="009B20FF"/>
    <w:rsid w:val="009B50FE"/>
    <w:rsid w:val="009B5495"/>
    <w:rsid w:val="009C5C45"/>
    <w:rsid w:val="009C73EF"/>
    <w:rsid w:val="009D4C67"/>
    <w:rsid w:val="009D5152"/>
    <w:rsid w:val="009D7B14"/>
    <w:rsid w:val="009E19E9"/>
    <w:rsid w:val="009E211B"/>
    <w:rsid w:val="009E510A"/>
    <w:rsid w:val="009F4B1D"/>
    <w:rsid w:val="00A012E4"/>
    <w:rsid w:val="00A04E19"/>
    <w:rsid w:val="00A07243"/>
    <w:rsid w:val="00A100C1"/>
    <w:rsid w:val="00A10DD0"/>
    <w:rsid w:val="00A153DA"/>
    <w:rsid w:val="00A1573D"/>
    <w:rsid w:val="00A159A3"/>
    <w:rsid w:val="00A15E1F"/>
    <w:rsid w:val="00A23553"/>
    <w:rsid w:val="00A27420"/>
    <w:rsid w:val="00A323DB"/>
    <w:rsid w:val="00A36800"/>
    <w:rsid w:val="00A36AF0"/>
    <w:rsid w:val="00A40962"/>
    <w:rsid w:val="00A443F2"/>
    <w:rsid w:val="00A4533B"/>
    <w:rsid w:val="00A46490"/>
    <w:rsid w:val="00A475DE"/>
    <w:rsid w:val="00A47679"/>
    <w:rsid w:val="00A55420"/>
    <w:rsid w:val="00A55BCF"/>
    <w:rsid w:val="00A60384"/>
    <w:rsid w:val="00A66550"/>
    <w:rsid w:val="00A70216"/>
    <w:rsid w:val="00A71B58"/>
    <w:rsid w:val="00A73FE6"/>
    <w:rsid w:val="00A81DC8"/>
    <w:rsid w:val="00A82A61"/>
    <w:rsid w:val="00A8381F"/>
    <w:rsid w:val="00A83EDC"/>
    <w:rsid w:val="00A84324"/>
    <w:rsid w:val="00A86F2F"/>
    <w:rsid w:val="00A908AA"/>
    <w:rsid w:val="00A91F34"/>
    <w:rsid w:val="00A95FAF"/>
    <w:rsid w:val="00A97470"/>
    <w:rsid w:val="00AA683A"/>
    <w:rsid w:val="00AA7C26"/>
    <w:rsid w:val="00AB246F"/>
    <w:rsid w:val="00AC0166"/>
    <w:rsid w:val="00AC1C97"/>
    <w:rsid w:val="00AC3F0D"/>
    <w:rsid w:val="00AC53F0"/>
    <w:rsid w:val="00AC5A35"/>
    <w:rsid w:val="00AC66AC"/>
    <w:rsid w:val="00AC7454"/>
    <w:rsid w:val="00AD1FF6"/>
    <w:rsid w:val="00AD413C"/>
    <w:rsid w:val="00AD5E9C"/>
    <w:rsid w:val="00AE03E8"/>
    <w:rsid w:val="00AE35A3"/>
    <w:rsid w:val="00AE4132"/>
    <w:rsid w:val="00AE4B85"/>
    <w:rsid w:val="00AF0297"/>
    <w:rsid w:val="00AF0D39"/>
    <w:rsid w:val="00AF1399"/>
    <w:rsid w:val="00AF15C7"/>
    <w:rsid w:val="00AF2894"/>
    <w:rsid w:val="00AF70A3"/>
    <w:rsid w:val="00AF7CFE"/>
    <w:rsid w:val="00B010C6"/>
    <w:rsid w:val="00B11183"/>
    <w:rsid w:val="00B113BE"/>
    <w:rsid w:val="00B16DB9"/>
    <w:rsid w:val="00B1701E"/>
    <w:rsid w:val="00B208A1"/>
    <w:rsid w:val="00B22213"/>
    <w:rsid w:val="00B22874"/>
    <w:rsid w:val="00B229CC"/>
    <w:rsid w:val="00B23A82"/>
    <w:rsid w:val="00B275D5"/>
    <w:rsid w:val="00B27F5F"/>
    <w:rsid w:val="00B3469F"/>
    <w:rsid w:val="00B356A5"/>
    <w:rsid w:val="00B35C7C"/>
    <w:rsid w:val="00B379F2"/>
    <w:rsid w:val="00B406C8"/>
    <w:rsid w:val="00B41826"/>
    <w:rsid w:val="00B42495"/>
    <w:rsid w:val="00B4437D"/>
    <w:rsid w:val="00B4547F"/>
    <w:rsid w:val="00B475D5"/>
    <w:rsid w:val="00B553A4"/>
    <w:rsid w:val="00B56C75"/>
    <w:rsid w:val="00B658F4"/>
    <w:rsid w:val="00B65EB7"/>
    <w:rsid w:val="00B6689A"/>
    <w:rsid w:val="00B66EB1"/>
    <w:rsid w:val="00B67A8A"/>
    <w:rsid w:val="00B67EE7"/>
    <w:rsid w:val="00B72752"/>
    <w:rsid w:val="00B73D19"/>
    <w:rsid w:val="00B73E90"/>
    <w:rsid w:val="00B74F35"/>
    <w:rsid w:val="00B81058"/>
    <w:rsid w:val="00B83FF5"/>
    <w:rsid w:val="00B92E65"/>
    <w:rsid w:val="00B96B0A"/>
    <w:rsid w:val="00BA0517"/>
    <w:rsid w:val="00BA29E7"/>
    <w:rsid w:val="00BB01E4"/>
    <w:rsid w:val="00BB0966"/>
    <w:rsid w:val="00BB1D42"/>
    <w:rsid w:val="00BB1EAF"/>
    <w:rsid w:val="00BB1F61"/>
    <w:rsid w:val="00BB550A"/>
    <w:rsid w:val="00BB5A97"/>
    <w:rsid w:val="00BB5CE2"/>
    <w:rsid w:val="00BB7B1B"/>
    <w:rsid w:val="00BC090B"/>
    <w:rsid w:val="00BC2FDE"/>
    <w:rsid w:val="00BC3C34"/>
    <w:rsid w:val="00BC4F19"/>
    <w:rsid w:val="00BC524F"/>
    <w:rsid w:val="00BC6AD7"/>
    <w:rsid w:val="00BD0839"/>
    <w:rsid w:val="00BD3B7C"/>
    <w:rsid w:val="00BD45B4"/>
    <w:rsid w:val="00BD6F66"/>
    <w:rsid w:val="00BD7C5C"/>
    <w:rsid w:val="00BE094D"/>
    <w:rsid w:val="00BE0FC3"/>
    <w:rsid w:val="00BF0614"/>
    <w:rsid w:val="00BF1333"/>
    <w:rsid w:val="00BF257A"/>
    <w:rsid w:val="00BF4044"/>
    <w:rsid w:val="00C00D54"/>
    <w:rsid w:val="00C016A3"/>
    <w:rsid w:val="00C10922"/>
    <w:rsid w:val="00C11C7B"/>
    <w:rsid w:val="00C14E6F"/>
    <w:rsid w:val="00C22D26"/>
    <w:rsid w:val="00C2458C"/>
    <w:rsid w:val="00C25B1B"/>
    <w:rsid w:val="00C25D8B"/>
    <w:rsid w:val="00C27E1C"/>
    <w:rsid w:val="00C32FD0"/>
    <w:rsid w:val="00C3500B"/>
    <w:rsid w:val="00C36A59"/>
    <w:rsid w:val="00C36A92"/>
    <w:rsid w:val="00C43261"/>
    <w:rsid w:val="00C43A18"/>
    <w:rsid w:val="00C470F6"/>
    <w:rsid w:val="00C5029B"/>
    <w:rsid w:val="00C53DF9"/>
    <w:rsid w:val="00C55D5E"/>
    <w:rsid w:val="00C5770B"/>
    <w:rsid w:val="00C622EC"/>
    <w:rsid w:val="00C65D44"/>
    <w:rsid w:val="00C701D4"/>
    <w:rsid w:val="00C73C95"/>
    <w:rsid w:val="00C81092"/>
    <w:rsid w:val="00C821EC"/>
    <w:rsid w:val="00C83640"/>
    <w:rsid w:val="00C83A28"/>
    <w:rsid w:val="00C83B7A"/>
    <w:rsid w:val="00C85953"/>
    <w:rsid w:val="00C90DAA"/>
    <w:rsid w:val="00C92AC3"/>
    <w:rsid w:val="00C937DB"/>
    <w:rsid w:val="00C95528"/>
    <w:rsid w:val="00CA229F"/>
    <w:rsid w:val="00CA7A2F"/>
    <w:rsid w:val="00CB2EF3"/>
    <w:rsid w:val="00CB48B1"/>
    <w:rsid w:val="00CB602F"/>
    <w:rsid w:val="00CB7877"/>
    <w:rsid w:val="00CC4B30"/>
    <w:rsid w:val="00CC4BF1"/>
    <w:rsid w:val="00CC6E21"/>
    <w:rsid w:val="00CD10C3"/>
    <w:rsid w:val="00CD310E"/>
    <w:rsid w:val="00CD3CC2"/>
    <w:rsid w:val="00CE01DB"/>
    <w:rsid w:val="00CE3855"/>
    <w:rsid w:val="00CE3B4F"/>
    <w:rsid w:val="00CE590F"/>
    <w:rsid w:val="00CF24D3"/>
    <w:rsid w:val="00CF3973"/>
    <w:rsid w:val="00CF4A43"/>
    <w:rsid w:val="00CF6301"/>
    <w:rsid w:val="00CF69CE"/>
    <w:rsid w:val="00CF71DA"/>
    <w:rsid w:val="00CF74F2"/>
    <w:rsid w:val="00CF7B15"/>
    <w:rsid w:val="00D005F3"/>
    <w:rsid w:val="00D05811"/>
    <w:rsid w:val="00D12217"/>
    <w:rsid w:val="00D124DB"/>
    <w:rsid w:val="00D214C0"/>
    <w:rsid w:val="00D2214B"/>
    <w:rsid w:val="00D22B29"/>
    <w:rsid w:val="00D26C5B"/>
    <w:rsid w:val="00D36ABB"/>
    <w:rsid w:val="00D36B3E"/>
    <w:rsid w:val="00D3796D"/>
    <w:rsid w:val="00D409BF"/>
    <w:rsid w:val="00D432AC"/>
    <w:rsid w:val="00D46ED3"/>
    <w:rsid w:val="00D54B56"/>
    <w:rsid w:val="00D618B7"/>
    <w:rsid w:val="00D61B6E"/>
    <w:rsid w:val="00D63085"/>
    <w:rsid w:val="00D63200"/>
    <w:rsid w:val="00D64AD3"/>
    <w:rsid w:val="00D64CD8"/>
    <w:rsid w:val="00D70ECA"/>
    <w:rsid w:val="00D715A2"/>
    <w:rsid w:val="00D746B6"/>
    <w:rsid w:val="00D753CB"/>
    <w:rsid w:val="00D75724"/>
    <w:rsid w:val="00D76C28"/>
    <w:rsid w:val="00D7776B"/>
    <w:rsid w:val="00D80454"/>
    <w:rsid w:val="00D80C6F"/>
    <w:rsid w:val="00D813BA"/>
    <w:rsid w:val="00D81608"/>
    <w:rsid w:val="00D83EA8"/>
    <w:rsid w:val="00D85325"/>
    <w:rsid w:val="00D872BB"/>
    <w:rsid w:val="00D905B2"/>
    <w:rsid w:val="00DA0112"/>
    <w:rsid w:val="00DA0FDD"/>
    <w:rsid w:val="00DA1019"/>
    <w:rsid w:val="00DA1879"/>
    <w:rsid w:val="00DA1AD1"/>
    <w:rsid w:val="00DA443D"/>
    <w:rsid w:val="00DB4A88"/>
    <w:rsid w:val="00DD061D"/>
    <w:rsid w:val="00DD1FFB"/>
    <w:rsid w:val="00DD3262"/>
    <w:rsid w:val="00DD7ED3"/>
    <w:rsid w:val="00DE02FB"/>
    <w:rsid w:val="00DE1F24"/>
    <w:rsid w:val="00DE677E"/>
    <w:rsid w:val="00DE7BE0"/>
    <w:rsid w:val="00DF46FB"/>
    <w:rsid w:val="00DF64E7"/>
    <w:rsid w:val="00E027C0"/>
    <w:rsid w:val="00E128B4"/>
    <w:rsid w:val="00E17CE7"/>
    <w:rsid w:val="00E207F8"/>
    <w:rsid w:val="00E227E8"/>
    <w:rsid w:val="00E27BA0"/>
    <w:rsid w:val="00E31177"/>
    <w:rsid w:val="00E34608"/>
    <w:rsid w:val="00E35488"/>
    <w:rsid w:val="00E36200"/>
    <w:rsid w:val="00E413C0"/>
    <w:rsid w:val="00E42BC0"/>
    <w:rsid w:val="00E43DB7"/>
    <w:rsid w:val="00E4420E"/>
    <w:rsid w:val="00E44DF9"/>
    <w:rsid w:val="00E46453"/>
    <w:rsid w:val="00E4666C"/>
    <w:rsid w:val="00E46739"/>
    <w:rsid w:val="00E51FF9"/>
    <w:rsid w:val="00E52EE1"/>
    <w:rsid w:val="00E5309C"/>
    <w:rsid w:val="00E5340F"/>
    <w:rsid w:val="00E53B2B"/>
    <w:rsid w:val="00E548D1"/>
    <w:rsid w:val="00E55D0F"/>
    <w:rsid w:val="00E57C38"/>
    <w:rsid w:val="00E605C4"/>
    <w:rsid w:val="00E613A6"/>
    <w:rsid w:val="00E763DB"/>
    <w:rsid w:val="00E779B4"/>
    <w:rsid w:val="00E860BC"/>
    <w:rsid w:val="00E86723"/>
    <w:rsid w:val="00E86CC6"/>
    <w:rsid w:val="00E94E66"/>
    <w:rsid w:val="00E976A4"/>
    <w:rsid w:val="00E9786D"/>
    <w:rsid w:val="00E97D51"/>
    <w:rsid w:val="00EA140C"/>
    <w:rsid w:val="00EA2719"/>
    <w:rsid w:val="00EA2FE5"/>
    <w:rsid w:val="00EA74B3"/>
    <w:rsid w:val="00EB2F33"/>
    <w:rsid w:val="00EB55C7"/>
    <w:rsid w:val="00EC2D65"/>
    <w:rsid w:val="00ED5F6E"/>
    <w:rsid w:val="00ED67FD"/>
    <w:rsid w:val="00ED76C1"/>
    <w:rsid w:val="00ED7BF2"/>
    <w:rsid w:val="00EE10B0"/>
    <w:rsid w:val="00EE37A9"/>
    <w:rsid w:val="00EE55F6"/>
    <w:rsid w:val="00EE5C8C"/>
    <w:rsid w:val="00EF095B"/>
    <w:rsid w:val="00EF0AB3"/>
    <w:rsid w:val="00EF4C49"/>
    <w:rsid w:val="00EF54FC"/>
    <w:rsid w:val="00F01496"/>
    <w:rsid w:val="00F038BD"/>
    <w:rsid w:val="00F044FF"/>
    <w:rsid w:val="00F118B3"/>
    <w:rsid w:val="00F15151"/>
    <w:rsid w:val="00F16BF0"/>
    <w:rsid w:val="00F205B8"/>
    <w:rsid w:val="00F25130"/>
    <w:rsid w:val="00F26614"/>
    <w:rsid w:val="00F33A0D"/>
    <w:rsid w:val="00F350CA"/>
    <w:rsid w:val="00F41249"/>
    <w:rsid w:val="00F416C4"/>
    <w:rsid w:val="00F42208"/>
    <w:rsid w:val="00F44BBC"/>
    <w:rsid w:val="00F44F52"/>
    <w:rsid w:val="00F46273"/>
    <w:rsid w:val="00F462C6"/>
    <w:rsid w:val="00F47662"/>
    <w:rsid w:val="00F50CDD"/>
    <w:rsid w:val="00F51C68"/>
    <w:rsid w:val="00F6370C"/>
    <w:rsid w:val="00F660FA"/>
    <w:rsid w:val="00F6774C"/>
    <w:rsid w:val="00F67C62"/>
    <w:rsid w:val="00F75461"/>
    <w:rsid w:val="00F80C8A"/>
    <w:rsid w:val="00F80E4D"/>
    <w:rsid w:val="00F83D66"/>
    <w:rsid w:val="00F869C9"/>
    <w:rsid w:val="00F916D0"/>
    <w:rsid w:val="00F91BE8"/>
    <w:rsid w:val="00F968BB"/>
    <w:rsid w:val="00F97994"/>
    <w:rsid w:val="00FA30E2"/>
    <w:rsid w:val="00FA3614"/>
    <w:rsid w:val="00FA44F4"/>
    <w:rsid w:val="00FA5A84"/>
    <w:rsid w:val="00FA5D03"/>
    <w:rsid w:val="00FB019E"/>
    <w:rsid w:val="00FB0FE5"/>
    <w:rsid w:val="00FB4536"/>
    <w:rsid w:val="00FB7B53"/>
    <w:rsid w:val="00FC031C"/>
    <w:rsid w:val="00FC6FB0"/>
    <w:rsid w:val="00FD0769"/>
    <w:rsid w:val="00FD1469"/>
    <w:rsid w:val="00FD22D4"/>
    <w:rsid w:val="00FD5879"/>
    <w:rsid w:val="00FD70FD"/>
    <w:rsid w:val="00FE173A"/>
    <w:rsid w:val="00FE17D9"/>
    <w:rsid w:val="00FE18FF"/>
    <w:rsid w:val="00FE449B"/>
    <w:rsid w:val="00FE5E79"/>
    <w:rsid w:val="00FE63DB"/>
    <w:rsid w:val="00FF1518"/>
    <w:rsid w:val="00FF6181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8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12285"/>
    <w:pPr>
      <w:keepNext/>
      <w:outlineLvl w:val="0"/>
    </w:pPr>
    <w:rPr>
      <w:rFonts w:ascii="Verdana" w:hAnsi="Verdana" w:cs="Simplified Arabic"/>
      <w:b/>
      <w:bCs/>
      <w:color w:val="000000"/>
    </w:rPr>
  </w:style>
  <w:style w:type="paragraph" w:styleId="Heading2">
    <w:name w:val="heading 2"/>
    <w:basedOn w:val="Normal"/>
    <w:next w:val="Normal"/>
    <w:qFormat/>
    <w:rsid w:val="00812285"/>
    <w:pPr>
      <w:keepNext/>
      <w:jc w:val="lowKashida"/>
      <w:outlineLvl w:val="1"/>
    </w:pPr>
    <w:rPr>
      <w:rFonts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2285"/>
    <w:pPr>
      <w:keepNext/>
      <w:jc w:val="center"/>
      <w:outlineLvl w:val="2"/>
    </w:pPr>
    <w:rPr>
      <w:rFonts w:cs="Simplified Arab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2285"/>
    <w:pPr>
      <w:keepNext/>
      <w:jc w:val="center"/>
      <w:outlineLvl w:val="3"/>
    </w:pPr>
    <w:rPr>
      <w:rFonts w:cs="Simplified Arabic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2285"/>
    <w:pPr>
      <w:keepNext/>
      <w:jc w:val="center"/>
      <w:outlineLvl w:val="4"/>
    </w:pPr>
    <w:rPr>
      <w:rFonts w:cs="Simplified Arabi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22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12285"/>
    <w:pPr>
      <w:jc w:val="center"/>
    </w:pPr>
    <w:rPr>
      <w:rFonts w:ascii="Verdana" w:hAnsi="Verdana" w:cs="Simplified Arabic"/>
      <w:b/>
      <w:bCs/>
      <w:color w:val="000000"/>
      <w:sz w:val="26"/>
      <w:szCs w:val="26"/>
    </w:rPr>
  </w:style>
  <w:style w:type="character" w:styleId="PageNumber">
    <w:name w:val="page number"/>
    <w:basedOn w:val="DefaultParagraphFont"/>
    <w:semiHidden/>
    <w:rsid w:val="00812285"/>
  </w:style>
  <w:style w:type="character" w:customStyle="1" w:styleId="HeaderChar">
    <w:name w:val="Header Char"/>
    <w:basedOn w:val="DefaultParagraphFont"/>
    <w:link w:val="Header"/>
    <w:rsid w:val="00280D6D"/>
    <w:rPr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rsid w:val="00A4533B"/>
    <w:pPr>
      <w:overflowPunct w:val="0"/>
      <w:autoSpaceDE w:val="0"/>
      <w:autoSpaceDN w:val="0"/>
      <w:adjustRightInd w:val="0"/>
      <w:jc w:val="center"/>
      <w:textAlignment w:val="baseline"/>
    </w:pPr>
    <w:rPr>
      <w:rFonts w:cs="Simplified Arabic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4533B"/>
    <w:rPr>
      <w:rFonts w:cs="Simplified Arabi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E2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1557EA"/>
    <w:rPr>
      <w:rFonts w:cs="Simplified Arabic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557EA"/>
    <w:rPr>
      <w:rFonts w:cs="Simplified Arabic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1557EA"/>
    <w:rPr>
      <w:rFonts w:ascii="Verdana" w:hAnsi="Verdana" w:cs="Simplified Arabic"/>
      <w:b/>
      <w:bCs/>
      <w:color w:val="000000"/>
      <w:sz w:val="26"/>
      <w:szCs w:val="2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1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11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A01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98F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B198F"/>
    <w:rPr>
      <w:vertAlign w:val="superscript"/>
    </w:rPr>
  </w:style>
  <w:style w:type="table" w:styleId="TableGrid">
    <w:name w:val="Table Grid"/>
    <w:basedOn w:val="TableNormal"/>
    <w:uiPriority w:val="59"/>
    <w:rsid w:val="001602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160265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16026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802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683E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9.2571741032370938E-2"/>
          <c:y val="9.6615638781193267E-2"/>
          <c:w val="0.84631714785651757"/>
          <c:h val="0.71210733176119478"/>
        </c:manualLayout>
      </c:layout>
      <c:lineChart>
        <c:grouping val="standard"/>
        <c:ser>
          <c:idx val="0"/>
          <c:order val="0"/>
          <c:tx>
            <c:strRef>
              <c:f>انجليزي!$J$1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-2.7777777777777974E-2"/>
                  <c:y val="-7.09219858156029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2E-45E6-B3E4-54F8F38ED2E8}"/>
                </c:ext>
              </c:extLst>
            </c:dLbl>
            <c:dLbl>
              <c:idx val="20"/>
              <c:layout>
                <c:manualLayout>
                  <c:x val="-8.333333333333354E-3"/>
                  <c:y val="-2.030456852791880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2E-45E6-B3E4-54F8F38ED2E8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انجليزي!$I$2:$I$22</c:f>
              <c:numCache>
                <c:formatCode>General</c:formatCode>
                <c:ptCount val="21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انجليزي!$J$2:$J$22</c:f>
              <c:numCache>
                <c:formatCode>General</c:formatCode>
                <c:ptCount val="21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1.7000000000000013</c:v>
                </c:pt>
                <c:pt idx="19">
                  <c:v>1.3</c:v>
                </c:pt>
                <c:pt idx="20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2E-45E6-B3E4-54F8F38ED2E8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اناث</c:v>
                </c:pt>
              </c:strCache>
            </c:strRef>
          </c:tx>
          <c:dLbls>
            <c:dLbl>
              <c:idx val="0"/>
              <c:layout>
                <c:manualLayout>
                  <c:x val="-4.4444444444444564E-2"/>
                  <c:y val="-7.09219858156029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2E-45E6-B3E4-54F8F38ED2E8}"/>
                </c:ext>
              </c:extLst>
            </c:dLbl>
            <c:dLbl>
              <c:idx val="20"/>
              <c:layout>
                <c:manualLayout>
                  <c:x val="-3.3333333333333402E-2"/>
                  <c:y val="-7.80141843971631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2E-45E6-B3E4-54F8F38ED2E8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انجليزي!$I$2:$I$22</c:f>
              <c:numCache>
                <c:formatCode>General</c:formatCode>
                <c:ptCount val="21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انجليزي!$K$2:$K$22</c:f>
              <c:numCache>
                <c:formatCode>General</c:formatCode>
                <c:ptCount val="21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32E-45E6-B3E4-54F8F38ED2E8}"/>
            </c:ext>
          </c:extLst>
        </c:ser>
        <c:marker val="1"/>
        <c:axId val="49686400"/>
        <c:axId val="49687936"/>
      </c:lineChart>
      <c:catAx>
        <c:axId val="496864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49687936"/>
        <c:crosses val="autoZero"/>
        <c:auto val="1"/>
        <c:lblAlgn val="ctr"/>
        <c:lblOffset val="100"/>
      </c:catAx>
      <c:valAx>
        <c:axId val="49687936"/>
        <c:scaling>
          <c:orientation val="minMax"/>
        </c:scaling>
        <c:axPos val="l"/>
        <c:numFmt formatCode="General" sourceLinked="1"/>
        <c:tickLblPos val="nextTo"/>
        <c:crossAx val="49686400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ar-SA"/>
          </a:p>
        </c:txPr>
      </c:legendEntry>
      <c:layout>
        <c:manualLayout>
          <c:xMode val="edge"/>
          <c:yMode val="edge"/>
          <c:x val="0.6166666666666667"/>
          <c:y val="0.14776428988043447"/>
          <c:w val="0.17647222222222314"/>
          <c:h val="0.16743438320210147"/>
        </c:manualLayout>
      </c:layout>
      <c:txPr>
        <a:bodyPr/>
        <a:lstStyle/>
        <a:p>
          <a:pPr>
            <a:defRPr sz="800"/>
          </a:pPr>
          <a:endParaRPr lang="ar-SA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  <a:r>
                      <a:rPr lang="en-US" baseline="0"/>
                      <a:t> (13,916)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AC-401C-8860-29E61955EE8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1.3 (3,040)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AC-401C-8860-29E61955EE8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1.2 (1,586)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AC-401C-8860-29E61955EE8F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1.3</c:v>
                </c:pt>
                <c:pt idx="1">
                  <c:v>1.4</c:v>
                </c:pt>
                <c:pt idx="2" formatCode="General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CAC-401C-8860-29E61955EE8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اناث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fld id="{0A5E18C4-339D-4DE2-985C-E040FA25992F}" type="VALUE">
                      <a:rPr lang="en-US"/>
                      <a:pPr/>
                      <a:t>[VALUE]</a:t>
                    </a:fld>
                    <a:r>
                      <a:rPr lang="en-US"/>
                      <a:t> (44,626)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CAC-401C-8860-29E61955EE8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5.2 (12,308)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AC-401C-8860-29E61955EE8F}"/>
                </c:ext>
              </c:extLst>
            </c:dLbl>
            <c:dLbl>
              <c:idx val="2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4.0 (5,008)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7CAC-401C-8860-29E61955EE8F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 formatCode="General">
                  <c:v>3.9</c:v>
                </c:pt>
                <c:pt idx="1">
                  <c:v>6</c:v>
                </c:pt>
                <c:pt idx="2" formatCode="General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CAC-401C-8860-29E61955EE8F}"/>
            </c:ext>
          </c:extLst>
        </c:ser>
        <c:axId val="106725376"/>
        <c:axId val="49361664"/>
      </c:barChart>
      <c:catAx>
        <c:axId val="106725376"/>
        <c:scaling>
          <c:orientation val="minMax"/>
        </c:scaling>
        <c:axPos val="l"/>
        <c:numFmt formatCode="General" sourceLinked="0"/>
        <c:tickLblPos val="nextTo"/>
        <c:crossAx val="49361664"/>
        <c:crosses val="autoZero"/>
        <c:auto val="1"/>
        <c:lblAlgn val="ctr"/>
        <c:lblOffset val="100"/>
      </c:catAx>
      <c:valAx>
        <c:axId val="49361664"/>
        <c:scaling>
          <c:orientation val="minMax"/>
        </c:scaling>
        <c:delete val="1"/>
        <c:axPos val="b"/>
        <c:numFmt formatCode="General" sourceLinked="1"/>
        <c:tickLblPos val="none"/>
        <c:crossAx val="1067253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2FC5-A09D-4D0B-9909-9BBB0784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حسب تعريف منظمة الامم المتحدة للتربية والثقافة والعلوم (اليونسكو) يعرف الشخص الامي هو الشخص الذي لا يستطيع ان يقرأ ويكتب جملة</vt:lpstr>
      <vt:lpstr>حسب تعريف منظمة الامم المتحدة للتربية والثقافة والعلوم (اليونسكو) يعرف الشخص الامي هو الشخص الذي لا يستطيع ان يقرأ ويكتب جملة </vt:lpstr>
    </vt:vector>
  </TitlesOfParts>
  <Company>pcbs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حسب تعريف منظمة الامم المتحدة للتربية والثقافة والعلوم (اليونسكو) يعرف الشخص الامي هو الشخص الذي لا يستطيع ان يقرأ ويكتب جملة</dc:title>
  <dc:creator>masem</dc:creator>
  <cp:lastModifiedBy>hbadran</cp:lastModifiedBy>
  <cp:revision>4</cp:revision>
  <cp:lastPrinted>2020-09-08T08:40:00Z</cp:lastPrinted>
  <dcterms:created xsi:type="dcterms:W3CDTF">2020-09-08T08:34:00Z</dcterms:created>
  <dcterms:modified xsi:type="dcterms:W3CDTF">2020-09-08T08:40:00Z</dcterms:modified>
</cp:coreProperties>
</file>