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6B" w:rsidRPr="00B3426B" w:rsidRDefault="00B3426B" w:rsidP="00B3426B">
      <w:pPr>
        <w:rPr>
          <w:rFonts w:hint="cs"/>
          <w:rtl/>
          <w:lang w:eastAsia="en-US"/>
        </w:rPr>
      </w:pPr>
    </w:p>
    <w:p w:rsidR="00B3426B" w:rsidRDefault="00B3426B" w:rsidP="00B3426B">
      <w:pPr>
        <w:pStyle w:val="Heading1"/>
        <w:ind w:right="284"/>
        <w:jc w:val="center"/>
        <w:rPr>
          <w:rFonts w:cs="Simplified Arabic"/>
          <w:rtl/>
        </w:rPr>
      </w:pPr>
    </w:p>
    <w:p w:rsidR="00B3426B" w:rsidRDefault="00B3426B" w:rsidP="00B3426B">
      <w:pPr>
        <w:pStyle w:val="Heading1"/>
        <w:ind w:right="284"/>
        <w:jc w:val="center"/>
        <w:rPr>
          <w:rFonts w:cs="Simplified Arabic"/>
          <w:rtl/>
        </w:rPr>
      </w:pPr>
    </w:p>
    <w:p w:rsidR="00B3426B" w:rsidRDefault="00B3426B" w:rsidP="00B3426B">
      <w:pPr>
        <w:pStyle w:val="Heading1"/>
        <w:ind w:right="284"/>
        <w:jc w:val="center"/>
        <w:rPr>
          <w:rFonts w:cs="Simplified Arabic"/>
          <w:rtl/>
        </w:rPr>
      </w:pPr>
      <w:r>
        <w:rPr>
          <w:rFonts w:cs="Simplified Arabic" w:hint="cs"/>
          <w:rtl/>
        </w:rPr>
        <w:t>ا</w:t>
      </w:r>
      <w:r w:rsidRPr="00B3426B">
        <w:rPr>
          <w:rFonts w:cs="Simplified Arabic" w:hint="cs"/>
          <w:sz w:val="32"/>
          <w:szCs w:val="32"/>
          <w:rtl/>
        </w:rPr>
        <w:t xml:space="preserve">لاحصاء الفلسطيني يصدر تقريرا احصائيا حول رخص الأبنية الربع </w:t>
      </w:r>
      <w:proofErr w:type="spellStart"/>
      <w:r w:rsidRPr="00B3426B">
        <w:rPr>
          <w:rFonts w:cs="Simplified Arabic" w:hint="cs"/>
          <w:sz w:val="32"/>
          <w:szCs w:val="32"/>
          <w:rtl/>
        </w:rPr>
        <w:t>الرابع،</w:t>
      </w:r>
      <w:proofErr w:type="spellEnd"/>
      <w:r w:rsidRPr="00B3426B">
        <w:rPr>
          <w:rFonts w:cs="Simplified Arabic" w:hint="cs"/>
          <w:sz w:val="32"/>
          <w:szCs w:val="32"/>
          <w:rtl/>
        </w:rPr>
        <w:t xml:space="preserve"> 2012</w:t>
      </w:r>
    </w:p>
    <w:p w:rsidR="00806D87" w:rsidRPr="00C0121F" w:rsidRDefault="00806D87" w:rsidP="00806D87">
      <w:pPr>
        <w:rPr>
          <w:rtl/>
          <w:lang w:eastAsia="en-US"/>
        </w:rPr>
      </w:pPr>
    </w:p>
    <w:p w:rsidR="00806D87" w:rsidRPr="00B3426B" w:rsidRDefault="00043023" w:rsidP="005A1D8D">
      <w:pPr>
        <w:pStyle w:val="Heading1"/>
        <w:ind w:right="284"/>
        <w:jc w:val="both"/>
        <w:rPr>
          <w:rFonts w:cs="Simplified Arabic"/>
          <w:rtl/>
          <w:lang w:eastAsia="ar-SA"/>
        </w:rPr>
      </w:pPr>
      <w:r w:rsidRPr="00B3426B">
        <w:rPr>
          <w:rFonts w:cs="Simplified Arabic" w:hint="cs"/>
          <w:rtl/>
        </w:rPr>
        <w:t>ارتفاع</w:t>
      </w:r>
      <w:r w:rsidR="00806D87" w:rsidRPr="00B3426B">
        <w:rPr>
          <w:rFonts w:cs="Simplified Arabic" w:hint="cs"/>
          <w:rtl/>
        </w:rPr>
        <w:t xml:space="preserve"> في عدد الرخص على مستوى </w:t>
      </w:r>
      <w:r w:rsidR="005A1D8D" w:rsidRPr="00B3426B">
        <w:rPr>
          <w:rFonts w:cs="Simplified Arabic" w:hint="cs"/>
          <w:rtl/>
        </w:rPr>
        <w:t>فلسطين</w:t>
      </w:r>
      <w:r w:rsidR="00C369C0" w:rsidRPr="00B3426B">
        <w:rPr>
          <w:rFonts w:cs="Simplified Arabic"/>
        </w:rPr>
        <w:t>*</w:t>
      </w:r>
      <w:r w:rsidR="00C369C0" w:rsidRPr="00B3426B">
        <w:rPr>
          <w:rFonts w:cs="Simplified Arabic" w:hint="cs"/>
          <w:rtl/>
        </w:rPr>
        <w:t xml:space="preserve"> </w:t>
      </w:r>
      <w:r w:rsidR="00806D87" w:rsidRPr="00B3426B">
        <w:rPr>
          <w:rFonts w:cs="Simplified Arabic" w:hint="cs"/>
          <w:rtl/>
        </w:rPr>
        <w:t>مقارنة بالربع السابق</w:t>
      </w:r>
      <w:r w:rsidR="00D939DF" w:rsidRPr="00B3426B">
        <w:rPr>
          <w:rFonts w:cs="Simplified Arabic" w:hint="cs"/>
          <w:rtl/>
        </w:rPr>
        <w:t xml:space="preserve"> من عام 2012</w:t>
      </w:r>
      <w:r w:rsidR="00806D87" w:rsidRPr="00B3426B">
        <w:rPr>
          <w:rFonts w:cs="Simplified Arabic" w:hint="cs"/>
          <w:rtl/>
        </w:rPr>
        <w:t xml:space="preserve"> و</w:t>
      </w:r>
      <w:r w:rsidR="009319A5" w:rsidRPr="00B3426B">
        <w:rPr>
          <w:rFonts w:cs="Simplified Arabic" w:hint="cs"/>
          <w:rtl/>
        </w:rPr>
        <w:t>ارتفاعها مقارنة ب</w:t>
      </w:r>
      <w:r w:rsidR="00806D87" w:rsidRPr="00B3426B">
        <w:rPr>
          <w:rFonts w:cs="Simplified Arabic" w:hint="cs"/>
          <w:rtl/>
        </w:rPr>
        <w:t xml:space="preserve">الربع المناظر </w:t>
      </w:r>
      <w:r w:rsidR="00806D87" w:rsidRPr="00B3426B">
        <w:rPr>
          <w:rFonts w:cs="Simplified Arabic" w:hint="cs"/>
          <w:rtl/>
          <w:lang w:eastAsia="ar-SA"/>
        </w:rPr>
        <w:t xml:space="preserve">من عام 2011: </w:t>
      </w:r>
    </w:p>
    <w:p w:rsidR="00806D87" w:rsidRPr="00DA668E" w:rsidRDefault="00806D87" w:rsidP="00806D87">
      <w:pPr>
        <w:ind w:right="284"/>
        <w:jc w:val="lowKashida"/>
        <w:rPr>
          <w:rFonts w:cs="Simplified Arabic"/>
          <w:sz w:val="20"/>
          <w:szCs w:val="20"/>
          <w:rtl/>
        </w:rPr>
      </w:pPr>
    </w:p>
    <w:p w:rsidR="00806D87" w:rsidRPr="004B1FFA" w:rsidRDefault="00806D87" w:rsidP="008E2DA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4B1FFA">
        <w:rPr>
          <w:rFonts w:cs="Simplified Arabic"/>
          <w:rtl/>
        </w:rPr>
        <w:t>بلغ عدد رخص الأبن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ية الصادرة للمباني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 وغير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</w:t>
      </w:r>
      <w:r w:rsidRPr="004B1FFA">
        <w:rPr>
          <w:rFonts w:cs="Simplified Arabic" w:hint="cs"/>
          <w:rtl/>
        </w:rPr>
        <w:t xml:space="preserve"> </w:t>
      </w:r>
      <w:r w:rsidR="008E2DA0">
        <w:rPr>
          <w:rFonts w:cs="Simplified Arabic"/>
        </w:rPr>
        <w:t>2</w:t>
      </w:r>
      <w:r w:rsidR="009319A5" w:rsidRPr="004B1FFA">
        <w:rPr>
          <w:rFonts w:cs="Simplified Arabic"/>
        </w:rPr>
        <w:t>,</w:t>
      </w:r>
      <w:r w:rsidR="008E2DA0">
        <w:rPr>
          <w:rFonts w:cs="Simplified Arabic"/>
        </w:rPr>
        <w:t>099</w:t>
      </w:r>
      <w:r w:rsidRPr="004B1FFA">
        <w:rPr>
          <w:rFonts w:cs="Simplified Arabic" w:hint="cs"/>
          <w:rtl/>
        </w:rPr>
        <w:t xml:space="preserve"> رخصة</w:t>
      </w:r>
      <w:r w:rsidRPr="004B1FFA">
        <w:rPr>
          <w:rFonts w:cs="Simplified Arabic"/>
          <w:rtl/>
        </w:rPr>
        <w:t xml:space="preserve"> خلال الربع </w:t>
      </w:r>
      <w:r w:rsidR="005A1D8D">
        <w:rPr>
          <w:rFonts w:cs="Simplified Arabic" w:hint="cs"/>
          <w:rtl/>
        </w:rPr>
        <w:t>الرابع</w:t>
      </w:r>
      <w:r w:rsidRPr="004B1FFA">
        <w:rPr>
          <w:rFonts w:cs="Simplified Arabic"/>
          <w:rtl/>
        </w:rPr>
        <w:t xml:space="preserve"> </w:t>
      </w:r>
      <w:r w:rsidRPr="004B1FFA">
        <w:rPr>
          <w:rFonts w:cs="Simplified Arabic" w:hint="cs"/>
          <w:rtl/>
        </w:rPr>
        <w:t xml:space="preserve">من </w:t>
      </w:r>
      <w:r w:rsidRPr="004B1FFA">
        <w:rPr>
          <w:rFonts w:cs="Simplified Arabic"/>
          <w:rtl/>
        </w:rPr>
        <w:t xml:space="preserve">عام </w:t>
      </w:r>
      <w:proofErr w:type="spellStart"/>
      <w:r w:rsidRPr="004B1FFA">
        <w:rPr>
          <w:rFonts w:cs="Simplified Arabic" w:hint="cs"/>
          <w:rtl/>
        </w:rPr>
        <w:t>2012،</w:t>
      </w:r>
      <w:proofErr w:type="spellEnd"/>
      <w:r w:rsidRPr="004B1FFA">
        <w:rPr>
          <w:rFonts w:cs="Simplified Arabic" w:hint="cs"/>
          <w:rtl/>
        </w:rPr>
        <w:t xml:space="preserve"> منها </w:t>
      </w:r>
      <w:r w:rsidR="00137F91" w:rsidRPr="004B1FFA">
        <w:rPr>
          <w:rFonts w:cs="Simplified Arabic"/>
        </w:rPr>
        <w:t xml:space="preserve"> </w:t>
      </w:r>
      <w:r w:rsidR="009319A5" w:rsidRPr="004B1FFA">
        <w:rPr>
          <w:rFonts w:cs="Simplified Arabic"/>
        </w:rPr>
        <w:t>1,</w:t>
      </w:r>
      <w:r w:rsidR="008E2DA0">
        <w:rPr>
          <w:rFonts w:cs="Simplified Arabic"/>
        </w:rPr>
        <w:t>264</w:t>
      </w:r>
      <w:r w:rsidRPr="004B1FFA">
        <w:rPr>
          <w:rFonts w:cs="Simplified Arabic"/>
          <w:rtl/>
        </w:rPr>
        <w:t>رخص</w:t>
      </w:r>
      <w:r w:rsidRPr="004B1FFA">
        <w:rPr>
          <w:rFonts w:cs="Simplified Arabic" w:hint="cs"/>
          <w:rtl/>
        </w:rPr>
        <w:t>ة</w:t>
      </w:r>
      <w:r w:rsidRPr="004B1FFA">
        <w:rPr>
          <w:rFonts w:cs="Simplified Arabic"/>
          <w:rtl/>
        </w:rPr>
        <w:t xml:space="preserve"> أبنية جديدة.</w:t>
      </w:r>
    </w:p>
    <w:p w:rsidR="00806D87" w:rsidRPr="007316D4" w:rsidRDefault="00806D87" w:rsidP="00806D87">
      <w:pPr>
        <w:ind w:right="284"/>
        <w:jc w:val="lowKashida"/>
        <w:rPr>
          <w:rFonts w:cs="Simplified Arabic"/>
          <w:sz w:val="20"/>
          <w:szCs w:val="20"/>
          <w:rtl/>
        </w:rPr>
      </w:pPr>
    </w:p>
    <w:p w:rsidR="00806D87" w:rsidRPr="009C7BC7" w:rsidRDefault="00806D87" w:rsidP="008E2DA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9C7BC7">
        <w:rPr>
          <w:rFonts w:cs="Simplified Arabic" w:hint="cs"/>
          <w:rtl/>
        </w:rPr>
        <w:t>سجل عدد الرخص الصادرة في</w:t>
      </w:r>
      <w:r w:rsidR="005A1D8D">
        <w:rPr>
          <w:rFonts w:cs="Simplified Arabic" w:hint="cs"/>
          <w:rtl/>
        </w:rPr>
        <w:t xml:space="preserve"> فلسطين</w:t>
      </w:r>
      <w:r w:rsidRPr="009C7BC7">
        <w:rPr>
          <w:rFonts w:cs="Simplified Arabic" w:hint="cs"/>
          <w:rtl/>
        </w:rPr>
        <w:t xml:space="preserve"> ف</w:t>
      </w:r>
      <w:r w:rsidRPr="009C7BC7">
        <w:rPr>
          <w:rFonts w:cs="Simplified Arabic" w:hint="eastAsia"/>
          <w:rtl/>
        </w:rPr>
        <w:t>ي</w:t>
      </w:r>
      <w:r w:rsidRPr="009C7BC7">
        <w:rPr>
          <w:rFonts w:cs="Simplified Arabic" w:hint="cs"/>
          <w:rtl/>
        </w:rPr>
        <w:t xml:space="preserve"> الربع </w:t>
      </w:r>
      <w:r w:rsidR="005A1D8D">
        <w:rPr>
          <w:rFonts w:cs="Simplified Arabic" w:hint="cs"/>
          <w:rtl/>
        </w:rPr>
        <w:t>الرابع</w:t>
      </w:r>
      <w:r w:rsidR="004B1FFA" w:rsidRPr="009C7BC7">
        <w:rPr>
          <w:rFonts w:cs="Simplified Arabic" w:hint="cs"/>
          <w:rtl/>
        </w:rPr>
        <w:t xml:space="preserve"> من العام 2012 </w:t>
      </w:r>
      <w:r w:rsidR="008E2DA0">
        <w:rPr>
          <w:rFonts w:cs="Simplified Arabic" w:hint="cs"/>
          <w:rtl/>
        </w:rPr>
        <w:t>ارتفاع</w:t>
      </w:r>
      <w:r w:rsidR="004B1FFA" w:rsidRPr="009C7BC7">
        <w:rPr>
          <w:rFonts w:cs="Simplified Arabic" w:hint="cs"/>
          <w:rtl/>
        </w:rPr>
        <w:t>اً</w:t>
      </w:r>
      <w:r w:rsidRPr="009C7BC7">
        <w:rPr>
          <w:rFonts w:cs="Simplified Arabic" w:hint="cs"/>
          <w:rtl/>
        </w:rPr>
        <w:t xml:space="preserve"> بنسبة </w:t>
      </w:r>
      <w:r w:rsidR="004B1FFA" w:rsidRPr="009C7BC7">
        <w:rPr>
          <w:rFonts w:cs="Simplified Arabic"/>
        </w:rPr>
        <w:t>18.</w:t>
      </w:r>
      <w:r w:rsidR="008E2DA0">
        <w:rPr>
          <w:rFonts w:cs="Simplified Arabic"/>
        </w:rPr>
        <w:t>1</w:t>
      </w:r>
      <w:proofErr w:type="spellStart"/>
      <w:r w:rsidRPr="009C7BC7">
        <w:rPr>
          <w:rFonts w:cs="Simplified Arabic" w:hint="cs"/>
          <w:rtl/>
        </w:rPr>
        <w:t>%</w:t>
      </w:r>
      <w:proofErr w:type="spellEnd"/>
      <w:r w:rsidRPr="009C7BC7">
        <w:rPr>
          <w:rFonts w:cs="Simplified Arabic" w:hint="cs"/>
          <w:rtl/>
        </w:rPr>
        <w:t xml:space="preserve"> مقارنة بالربع </w:t>
      </w:r>
      <w:r w:rsidR="005A1D8D">
        <w:rPr>
          <w:rFonts w:cs="Simplified Arabic" w:hint="cs"/>
          <w:rtl/>
        </w:rPr>
        <w:t>الثالث</w:t>
      </w:r>
      <w:r w:rsidRPr="009C7BC7">
        <w:rPr>
          <w:rFonts w:cs="Simplified Arabic" w:hint="cs"/>
          <w:rtl/>
        </w:rPr>
        <w:t xml:space="preserve"> من العام </w:t>
      </w:r>
      <w:proofErr w:type="spellStart"/>
      <w:r w:rsidRPr="009C7BC7">
        <w:rPr>
          <w:rFonts w:cs="Simplified Arabic" w:hint="cs"/>
          <w:rtl/>
        </w:rPr>
        <w:t>201</w:t>
      </w:r>
      <w:r w:rsidR="00D939DF" w:rsidRPr="009C7BC7">
        <w:rPr>
          <w:rFonts w:cs="Simplified Arabic" w:hint="cs"/>
          <w:rtl/>
        </w:rPr>
        <w:t>2</w:t>
      </w:r>
      <w:r w:rsidRPr="009C7BC7">
        <w:rPr>
          <w:rFonts w:cs="Simplified Arabic" w:hint="cs"/>
          <w:rtl/>
        </w:rPr>
        <w:t>,</w:t>
      </w:r>
      <w:proofErr w:type="spellEnd"/>
      <w:r w:rsidRPr="009C7BC7">
        <w:rPr>
          <w:rFonts w:cs="Simplified Arabic" w:hint="cs"/>
          <w:rtl/>
        </w:rPr>
        <w:t xml:space="preserve"> فيما سجل ارتفاع</w:t>
      </w:r>
      <w:r w:rsidR="00AC3B65" w:rsidRPr="009C7BC7">
        <w:rPr>
          <w:rFonts w:cs="Simplified Arabic" w:hint="cs"/>
          <w:rtl/>
        </w:rPr>
        <w:t>اً</w:t>
      </w:r>
      <w:r w:rsidRPr="009C7BC7">
        <w:rPr>
          <w:rFonts w:cs="Simplified Arabic" w:hint="cs"/>
          <w:rtl/>
        </w:rPr>
        <w:t xml:space="preserve"> بنسبة </w:t>
      </w:r>
      <w:r w:rsidR="008E2DA0">
        <w:rPr>
          <w:rFonts w:cs="Simplified Arabic"/>
        </w:rPr>
        <w:t>11</w:t>
      </w:r>
      <w:r w:rsidR="004B1FFA" w:rsidRPr="009C7BC7">
        <w:rPr>
          <w:rFonts w:cs="Simplified Arabic"/>
        </w:rPr>
        <w:t>.</w:t>
      </w:r>
      <w:r w:rsidR="008E2DA0">
        <w:rPr>
          <w:rFonts w:cs="Simplified Arabic"/>
        </w:rPr>
        <w:t>4</w:t>
      </w:r>
      <w:proofErr w:type="spellStart"/>
      <w:r w:rsidRPr="009C7BC7">
        <w:rPr>
          <w:rFonts w:cs="Simplified Arabic" w:hint="cs"/>
          <w:rtl/>
        </w:rPr>
        <w:t>%</w:t>
      </w:r>
      <w:proofErr w:type="spellEnd"/>
      <w:r w:rsidRPr="009C7BC7">
        <w:rPr>
          <w:rFonts w:cs="Simplified Arabic" w:hint="cs"/>
          <w:rtl/>
        </w:rPr>
        <w:t xml:space="preserve"> مقارنة بالربع </w:t>
      </w:r>
      <w:r w:rsidR="005A1D8D">
        <w:rPr>
          <w:rFonts w:cs="Simplified Arabic" w:hint="cs"/>
          <w:rtl/>
        </w:rPr>
        <w:t>الرابع</w:t>
      </w:r>
      <w:r w:rsidRPr="009C7BC7">
        <w:rPr>
          <w:rFonts w:cs="Simplified Arabic" w:hint="cs"/>
          <w:rtl/>
        </w:rPr>
        <w:t xml:space="preserve"> من العام 2011.</w:t>
      </w:r>
    </w:p>
    <w:p w:rsidR="00806D87" w:rsidRPr="007316D4" w:rsidRDefault="00806D87" w:rsidP="00806D87">
      <w:pPr>
        <w:ind w:right="284"/>
        <w:jc w:val="lowKashida"/>
        <w:rPr>
          <w:rFonts w:cs="Simplified Arabic"/>
          <w:sz w:val="20"/>
          <w:szCs w:val="20"/>
          <w:rtl/>
        </w:rPr>
      </w:pPr>
    </w:p>
    <w:p w:rsidR="00806D87" w:rsidRPr="00F21C6E" w:rsidRDefault="00806D87" w:rsidP="008E2DA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/>
          <w:rtl/>
        </w:rPr>
        <w:t>بلغ مجموع مساحة الأبنية (سكني وغير سكني</w:t>
      </w:r>
      <w:proofErr w:type="spellStart"/>
      <w:r w:rsidRPr="00F21C6E">
        <w:rPr>
          <w:rFonts w:cs="Simplified Arabic"/>
          <w:rtl/>
        </w:rPr>
        <w:t>)</w:t>
      </w:r>
      <w:proofErr w:type="spellEnd"/>
      <w:r w:rsidRPr="00F21C6E">
        <w:rPr>
          <w:rFonts w:cs="Simplified Arabic" w:hint="cs"/>
          <w:rtl/>
        </w:rPr>
        <w:t xml:space="preserve"> </w:t>
      </w:r>
      <w:r w:rsidR="008E2DA0">
        <w:rPr>
          <w:rFonts w:cs="Simplified Arabic"/>
        </w:rPr>
        <w:t>1,125</w:t>
      </w:r>
      <w:r w:rsidR="009C7BC7" w:rsidRPr="00F21C6E">
        <w:rPr>
          <w:rFonts w:cs="Simplified Arabic"/>
        </w:rPr>
        <w:t>.</w:t>
      </w:r>
      <w:r w:rsidR="008E2DA0">
        <w:rPr>
          <w:rFonts w:cs="Simplified Arabic"/>
        </w:rPr>
        <w:t>5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 xml:space="preserve">ألف متر </w:t>
      </w:r>
      <w:proofErr w:type="spellStart"/>
      <w:r w:rsidRPr="00F21C6E">
        <w:rPr>
          <w:rFonts w:cs="Simplified Arabic"/>
          <w:rtl/>
        </w:rPr>
        <w:t>مربع</w:t>
      </w:r>
      <w:r w:rsidRPr="00F21C6E">
        <w:rPr>
          <w:rFonts w:cs="Simplified Arabic" w:hint="cs"/>
          <w:rtl/>
        </w:rPr>
        <w:t>،</w:t>
      </w:r>
      <w:proofErr w:type="spellEnd"/>
      <w:r w:rsidRPr="00F21C6E">
        <w:rPr>
          <w:rFonts w:cs="Simplified Arabic" w:hint="cs"/>
          <w:rtl/>
        </w:rPr>
        <w:t xml:space="preserve"> منها</w:t>
      </w:r>
      <w:r w:rsidR="00F21C6E">
        <w:rPr>
          <w:rFonts w:cs="Simplified Arabic" w:hint="cs"/>
          <w:rtl/>
        </w:rPr>
        <w:t xml:space="preserve"> </w:t>
      </w:r>
      <w:r w:rsidR="00F21C6E">
        <w:rPr>
          <w:rFonts w:cs="Simplified Arabic"/>
        </w:rPr>
        <w:t xml:space="preserve"> </w:t>
      </w:r>
      <w:r w:rsidR="008E2DA0">
        <w:rPr>
          <w:rFonts w:cs="Simplified Arabic"/>
        </w:rPr>
        <w:t>967</w:t>
      </w:r>
      <w:r w:rsidR="009C7BC7" w:rsidRPr="00F21C6E">
        <w:rPr>
          <w:rFonts w:cs="Simplified Arabic"/>
        </w:rPr>
        <w:t>.</w:t>
      </w:r>
      <w:r w:rsidR="008E2DA0">
        <w:rPr>
          <w:rFonts w:cs="Simplified Arabic"/>
        </w:rPr>
        <w:t>8</w:t>
      </w:r>
      <w:r w:rsidRPr="00F21C6E">
        <w:rPr>
          <w:rFonts w:cs="Simplified Arabic" w:hint="cs"/>
          <w:rtl/>
        </w:rPr>
        <w:t>ألف</w:t>
      </w:r>
      <w:r w:rsidRPr="00F21C6E">
        <w:rPr>
          <w:rFonts w:cs="Simplified Arabic"/>
          <w:rtl/>
        </w:rPr>
        <w:t xml:space="preserve"> متر مربع مساحات</w:t>
      </w:r>
      <w:r w:rsidRPr="00F21C6E">
        <w:rPr>
          <w:rFonts w:cs="Simplified Arabic" w:hint="cs"/>
          <w:rtl/>
        </w:rPr>
        <w:t xml:space="preserve"> أبنية</w:t>
      </w:r>
      <w:r w:rsidRPr="00F21C6E">
        <w:rPr>
          <w:rFonts w:cs="Simplified Arabic"/>
          <w:rtl/>
        </w:rPr>
        <w:t xml:space="preserve"> جديدة</w:t>
      </w:r>
      <w:r w:rsidRPr="00F21C6E">
        <w:rPr>
          <w:rFonts w:cs="Simplified Arabic" w:hint="cs"/>
          <w:rtl/>
        </w:rPr>
        <w:t xml:space="preserve"> و</w:t>
      </w:r>
      <w:r w:rsidR="008E2DA0">
        <w:rPr>
          <w:rFonts w:cs="Simplified Arabic"/>
        </w:rPr>
        <w:t>157</w:t>
      </w:r>
      <w:r w:rsidR="009C7BC7" w:rsidRPr="00F21C6E">
        <w:rPr>
          <w:rFonts w:cs="Simplified Arabic"/>
        </w:rPr>
        <w:t>.7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 مساحات</w:t>
      </w:r>
      <w:r w:rsidRPr="00F21C6E">
        <w:rPr>
          <w:rFonts w:cs="Simplified Arabic" w:hint="cs"/>
          <w:rtl/>
        </w:rPr>
        <w:t xml:space="preserve"> أبنية</w:t>
      </w:r>
      <w:r w:rsidRPr="00F21C6E">
        <w:rPr>
          <w:rFonts w:cs="Simplified Arabic"/>
          <w:rtl/>
        </w:rPr>
        <w:t xml:space="preserve"> قائمة</w:t>
      </w:r>
      <w:r w:rsidRPr="00F21C6E">
        <w:rPr>
          <w:rFonts w:cs="Simplified Arabic" w:hint="cs"/>
          <w:rtl/>
        </w:rPr>
        <w:t>.</w:t>
      </w:r>
    </w:p>
    <w:p w:rsidR="00806D87" w:rsidRPr="007316D4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20"/>
          <w:szCs w:val="20"/>
          <w:rtl/>
        </w:rPr>
      </w:pPr>
    </w:p>
    <w:p w:rsidR="00806D87" w:rsidRPr="00F21C6E" w:rsidRDefault="00806D87" w:rsidP="008E2DA0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 w:hint="cs"/>
          <w:rtl/>
        </w:rPr>
        <w:t xml:space="preserve">كما </w:t>
      </w:r>
      <w:r w:rsidRPr="00F21C6E">
        <w:rPr>
          <w:rFonts w:cs="Simplified Arabic"/>
          <w:rtl/>
        </w:rPr>
        <w:t>بلغ عدد الوحدات السكنية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المرخصة</w:t>
      </w:r>
      <w:r w:rsidRPr="00F21C6E">
        <w:rPr>
          <w:rFonts w:cs="Simplified Arabic" w:hint="cs"/>
          <w:rtl/>
        </w:rPr>
        <w:t xml:space="preserve"> </w:t>
      </w:r>
      <w:r w:rsidR="008E2DA0">
        <w:rPr>
          <w:rFonts w:cs="Simplified Arabic"/>
        </w:rPr>
        <w:t>4</w:t>
      </w:r>
      <w:r w:rsidR="00F21C6E" w:rsidRPr="00F21C6E">
        <w:rPr>
          <w:rFonts w:cs="Simplified Arabic"/>
        </w:rPr>
        <w:t>,</w:t>
      </w:r>
      <w:r w:rsidR="008E2DA0">
        <w:rPr>
          <w:rFonts w:cs="Simplified Arabic"/>
        </w:rPr>
        <w:t>296</w:t>
      </w:r>
      <w:r w:rsidR="00F21C6E" w:rsidRPr="00F21C6E">
        <w:rPr>
          <w:rFonts w:cs="Simplified Arabic"/>
        </w:rPr>
        <w:t xml:space="preserve"> </w:t>
      </w:r>
      <w:r w:rsidRPr="00F21C6E">
        <w:rPr>
          <w:rFonts w:cs="Simplified Arabic"/>
          <w:rtl/>
        </w:rPr>
        <w:t>وحدة سكني</w:t>
      </w:r>
      <w:r w:rsidRPr="00F21C6E">
        <w:rPr>
          <w:rFonts w:cs="Simplified Arabic" w:hint="cs"/>
          <w:rtl/>
        </w:rPr>
        <w:t>ـ</w:t>
      </w:r>
      <w:r w:rsidRPr="00F21C6E">
        <w:rPr>
          <w:rFonts w:cs="Simplified Arabic"/>
          <w:rtl/>
        </w:rPr>
        <w:t>ة مساحات</w:t>
      </w:r>
      <w:r w:rsidRPr="00F21C6E">
        <w:rPr>
          <w:rFonts w:cs="Simplified Arabic" w:hint="cs"/>
          <w:rtl/>
        </w:rPr>
        <w:t xml:space="preserve">ها </w:t>
      </w:r>
      <w:r w:rsidR="008E2DA0">
        <w:rPr>
          <w:rFonts w:cs="Simplified Arabic"/>
        </w:rPr>
        <w:t>749</w:t>
      </w:r>
      <w:r w:rsidR="00F21C6E" w:rsidRPr="00F21C6E">
        <w:rPr>
          <w:rFonts w:cs="Simplified Arabic"/>
        </w:rPr>
        <w:t>.</w:t>
      </w:r>
      <w:r w:rsidR="008E2DA0">
        <w:rPr>
          <w:rFonts w:cs="Simplified Arabic"/>
        </w:rPr>
        <w:t>0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 xml:space="preserve">ألف متر </w:t>
      </w:r>
      <w:proofErr w:type="spellStart"/>
      <w:r w:rsidRPr="00F21C6E">
        <w:rPr>
          <w:rFonts w:cs="Simplified Arabic"/>
          <w:rtl/>
        </w:rPr>
        <w:t>مربع</w:t>
      </w:r>
      <w:r w:rsidRPr="00F21C6E">
        <w:rPr>
          <w:rFonts w:cs="Simplified Arabic" w:hint="cs"/>
          <w:rtl/>
        </w:rPr>
        <w:t>،</w:t>
      </w:r>
      <w:proofErr w:type="spellEnd"/>
      <w:r w:rsidRPr="00F21C6E">
        <w:rPr>
          <w:rFonts w:cs="Simplified Arabic" w:hint="cs"/>
          <w:rtl/>
        </w:rPr>
        <w:t xml:space="preserve"> منها </w:t>
      </w:r>
      <w:r w:rsidRPr="00F21C6E">
        <w:rPr>
          <w:rFonts w:cs="Simplified Arabic"/>
        </w:rPr>
        <w:t>3,</w:t>
      </w:r>
      <w:r w:rsidR="008E2DA0">
        <w:rPr>
          <w:rFonts w:cs="Simplified Arabic"/>
        </w:rPr>
        <w:t>673</w:t>
      </w:r>
      <w:r w:rsidRPr="00F21C6E">
        <w:rPr>
          <w:rFonts w:cs="Simplified Arabic" w:hint="cs"/>
          <w:rtl/>
        </w:rPr>
        <w:t xml:space="preserve"> وحدة</w:t>
      </w:r>
      <w:r w:rsidRPr="00F21C6E">
        <w:rPr>
          <w:rFonts w:cs="Simplified Arabic"/>
          <w:rtl/>
        </w:rPr>
        <w:t xml:space="preserve"> </w:t>
      </w:r>
      <w:r w:rsidRPr="00F21C6E">
        <w:rPr>
          <w:rFonts w:cs="Simplified Arabic" w:hint="cs"/>
          <w:rtl/>
        </w:rPr>
        <w:t xml:space="preserve">جديدة مساحتها </w:t>
      </w:r>
      <w:r w:rsidR="008E2DA0">
        <w:rPr>
          <w:rFonts w:cs="Simplified Arabic"/>
        </w:rPr>
        <w:t>636</w:t>
      </w:r>
      <w:r w:rsidR="00F21C6E" w:rsidRPr="00F21C6E">
        <w:rPr>
          <w:rFonts w:cs="Simplified Arabic"/>
        </w:rPr>
        <w:t>.</w:t>
      </w:r>
      <w:r w:rsidR="008E2DA0">
        <w:rPr>
          <w:rFonts w:cs="Simplified Arabic"/>
        </w:rPr>
        <w:t>5</w:t>
      </w:r>
      <w:r w:rsidRPr="00F21C6E">
        <w:rPr>
          <w:rFonts w:cs="Simplified Arabic" w:hint="cs"/>
          <w:rtl/>
        </w:rPr>
        <w:t xml:space="preserve"> ألف متر مربع،</w:t>
      </w:r>
      <w:r w:rsidRPr="00F21C6E">
        <w:rPr>
          <w:rFonts w:cs="Simplified Arabic"/>
          <w:rtl/>
        </w:rPr>
        <w:t xml:space="preserve"> </w:t>
      </w:r>
      <w:r w:rsidR="00586434">
        <w:rPr>
          <w:rFonts w:cs="Simplified Arabic" w:hint="cs"/>
          <w:rtl/>
        </w:rPr>
        <w:t>و</w:t>
      </w:r>
      <w:r w:rsidR="008E2DA0">
        <w:rPr>
          <w:rFonts w:cs="Simplified Arabic"/>
        </w:rPr>
        <w:t>623</w:t>
      </w:r>
      <w:r w:rsidRPr="00F21C6E">
        <w:rPr>
          <w:rFonts w:cs="Simplified Arabic"/>
          <w:rtl/>
        </w:rPr>
        <w:t xml:space="preserve"> وحدة</w:t>
      </w:r>
      <w:r w:rsidRPr="00F21C6E">
        <w:rPr>
          <w:rFonts w:cs="Simplified Arabic" w:hint="cs"/>
          <w:rtl/>
        </w:rPr>
        <w:t xml:space="preserve"> قائمة</w:t>
      </w:r>
      <w:r w:rsidRPr="00F21C6E">
        <w:rPr>
          <w:rFonts w:cs="Simplified Arabic"/>
          <w:rtl/>
        </w:rPr>
        <w:t xml:space="preserve"> مجموع مساحات</w:t>
      </w:r>
      <w:r w:rsidRPr="00F21C6E">
        <w:rPr>
          <w:rFonts w:cs="Simplified Arabic" w:hint="cs"/>
          <w:rtl/>
        </w:rPr>
        <w:t xml:space="preserve">ها </w:t>
      </w:r>
      <w:r w:rsidR="008E2DA0">
        <w:rPr>
          <w:rFonts w:cs="Simplified Arabic"/>
        </w:rPr>
        <w:t>112</w:t>
      </w:r>
      <w:r w:rsidR="00F21C6E" w:rsidRPr="00F21C6E">
        <w:rPr>
          <w:rFonts w:cs="Simplified Arabic"/>
        </w:rPr>
        <w:t>.</w:t>
      </w:r>
      <w:r w:rsidR="008E2DA0">
        <w:rPr>
          <w:rFonts w:cs="Simplified Arabic"/>
        </w:rPr>
        <w:t>5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>.</w:t>
      </w:r>
      <w:r w:rsidRPr="00F21C6E">
        <w:rPr>
          <w:rFonts w:cs="Simplified Arabic"/>
          <w:rtl/>
        </w:rPr>
        <w:t xml:space="preserve"> </w:t>
      </w:r>
    </w:p>
    <w:p w:rsidR="00806D87" w:rsidRPr="00F21C6E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tl/>
        </w:rPr>
      </w:pPr>
    </w:p>
    <w:p w:rsidR="00806D87" w:rsidRPr="003E6E90" w:rsidRDefault="00806D87" w:rsidP="00292791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3E6E90">
        <w:rPr>
          <w:rFonts w:cs="Simplified Arabic" w:hint="cs"/>
          <w:rtl/>
        </w:rPr>
        <w:t>وقد سجل عدد الوحدات السكنية الجديدة</w:t>
      </w:r>
      <w:r w:rsidR="006A474D" w:rsidRPr="003E6E90">
        <w:rPr>
          <w:rFonts w:cs="Simplified Arabic" w:hint="cs"/>
          <w:rtl/>
        </w:rPr>
        <w:t xml:space="preserve"> </w:t>
      </w:r>
      <w:r w:rsidR="00800FFF">
        <w:rPr>
          <w:rFonts w:cs="Simplified Arabic" w:hint="cs"/>
          <w:rtl/>
        </w:rPr>
        <w:t>ارتفاعاً</w:t>
      </w:r>
      <w:r w:rsidRPr="003E6E90">
        <w:rPr>
          <w:rFonts w:cs="Simplified Arabic" w:hint="cs"/>
          <w:rtl/>
        </w:rPr>
        <w:t xml:space="preserve"> بنسبة </w:t>
      </w:r>
      <w:r w:rsidR="00292791">
        <w:rPr>
          <w:rFonts w:cs="Simplified Arabic"/>
        </w:rPr>
        <w:t>18</w:t>
      </w:r>
      <w:r w:rsidR="00F21C6E" w:rsidRPr="003E6E90">
        <w:rPr>
          <w:rFonts w:cs="Simplified Arabic"/>
        </w:rPr>
        <w:t>.</w:t>
      </w:r>
      <w:r w:rsidR="00292791">
        <w:rPr>
          <w:rFonts w:cs="Simplified Arabic"/>
        </w:rPr>
        <w:t>2</w:t>
      </w:r>
      <w:proofErr w:type="spellStart"/>
      <w:r w:rsidRPr="003E6E90">
        <w:rPr>
          <w:rFonts w:cs="Simplified Arabic" w:hint="cs"/>
          <w:rtl/>
        </w:rPr>
        <w:t>%</w:t>
      </w:r>
      <w:proofErr w:type="spellEnd"/>
      <w:r w:rsidRPr="003E6E90">
        <w:rPr>
          <w:rFonts w:cs="Simplified Arabic" w:hint="cs"/>
          <w:rtl/>
        </w:rPr>
        <w:t xml:space="preserve"> خلال الربع </w:t>
      </w:r>
      <w:r w:rsidR="005A1D8D">
        <w:rPr>
          <w:rFonts w:cs="Simplified Arabic" w:hint="cs"/>
          <w:rtl/>
        </w:rPr>
        <w:t>الرابع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2012 مقارنة بالربع</w:t>
      </w:r>
      <w:r w:rsidR="0040737E" w:rsidRPr="003E6E90">
        <w:rPr>
          <w:rFonts w:cs="Simplified Arabic" w:hint="cs"/>
          <w:rtl/>
        </w:rPr>
        <w:t xml:space="preserve"> </w:t>
      </w:r>
      <w:r w:rsidR="005A1D8D">
        <w:rPr>
          <w:rFonts w:cs="Simplified Arabic" w:hint="cs"/>
          <w:rtl/>
        </w:rPr>
        <w:t>الثالث</w:t>
      </w:r>
      <w:r w:rsidRPr="003E6E90">
        <w:rPr>
          <w:rFonts w:cs="Simplified Arabic" w:hint="cs"/>
          <w:rtl/>
        </w:rPr>
        <w:t xml:space="preserve"> من العام </w:t>
      </w:r>
      <w:proofErr w:type="spellStart"/>
      <w:r w:rsidRPr="003E6E90">
        <w:rPr>
          <w:rFonts w:cs="Simplified Arabic" w:hint="cs"/>
          <w:rtl/>
        </w:rPr>
        <w:t>201</w:t>
      </w:r>
      <w:r w:rsidR="00D939DF" w:rsidRPr="003E6E90">
        <w:rPr>
          <w:rFonts w:cs="Simplified Arabic" w:hint="cs"/>
          <w:rtl/>
        </w:rPr>
        <w:t>2</w:t>
      </w:r>
      <w:r w:rsidRPr="003E6E90">
        <w:rPr>
          <w:rFonts w:cs="Simplified Arabic" w:hint="cs"/>
          <w:rtl/>
        </w:rPr>
        <w:t>،</w:t>
      </w:r>
      <w:proofErr w:type="spellEnd"/>
      <w:r w:rsidRPr="003E6E90">
        <w:rPr>
          <w:rFonts w:cs="Simplified Arabic" w:hint="cs"/>
          <w:rtl/>
        </w:rPr>
        <w:t xml:space="preserve"> وسجل ارتفاعاً بنسبة </w:t>
      </w:r>
      <w:r w:rsidR="00292791">
        <w:rPr>
          <w:rFonts w:cs="Simplified Arabic"/>
        </w:rPr>
        <w:t>16</w:t>
      </w:r>
      <w:r w:rsidR="00F21C6E" w:rsidRPr="003E6E90">
        <w:rPr>
          <w:rFonts w:cs="Simplified Arabic"/>
        </w:rPr>
        <w:t>.</w:t>
      </w:r>
      <w:r w:rsidR="00292791">
        <w:rPr>
          <w:rFonts w:cs="Simplified Arabic"/>
        </w:rPr>
        <w:t>9</w:t>
      </w:r>
      <w:proofErr w:type="spellStart"/>
      <w:r w:rsidRPr="003E6E90">
        <w:rPr>
          <w:rFonts w:cs="Simplified Arabic" w:hint="cs"/>
          <w:rtl/>
        </w:rPr>
        <w:t>%</w:t>
      </w:r>
      <w:proofErr w:type="spellEnd"/>
      <w:r w:rsidRPr="003E6E90">
        <w:rPr>
          <w:rFonts w:cs="Simplified Arabic" w:hint="cs"/>
          <w:rtl/>
        </w:rPr>
        <w:t xml:space="preserve"> خلال الربع </w:t>
      </w:r>
      <w:r w:rsidR="005A1D8D">
        <w:rPr>
          <w:rFonts w:cs="Simplified Arabic" w:hint="cs"/>
          <w:rtl/>
        </w:rPr>
        <w:t>الرابع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2012 لدى مقارنته بالربع</w:t>
      </w:r>
      <w:r w:rsidR="0040737E" w:rsidRPr="003E6E90">
        <w:rPr>
          <w:rFonts w:cs="Simplified Arabic" w:hint="cs"/>
          <w:rtl/>
        </w:rPr>
        <w:t xml:space="preserve"> </w:t>
      </w:r>
      <w:r w:rsidR="005A1D8D">
        <w:rPr>
          <w:rFonts w:cs="Simplified Arabic" w:hint="cs"/>
          <w:rtl/>
        </w:rPr>
        <w:t>الرابع</w:t>
      </w:r>
      <w:r w:rsidRPr="003E6E90">
        <w:rPr>
          <w:rFonts w:cs="Simplified Arabic" w:hint="cs"/>
          <w:rtl/>
        </w:rPr>
        <w:t xml:space="preserve"> من العام 2011.</w:t>
      </w:r>
    </w:p>
    <w:p w:rsidR="00B3426B" w:rsidRPr="003E6E90" w:rsidRDefault="00B3426B" w:rsidP="00B3426B">
      <w:pPr>
        <w:pStyle w:val="BodyText"/>
        <w:tabs>
          <w:tab w:val="right" w:pos="139"/>
          <w:tab w:val="right" w:pos="281"/>
        </w:tabs>
        <w:ind w:right="284"/>
        <w:jc w:val="both"/>
        <w:rPr>
          <w:szCs w:val="24"/>
          <w:rtl/>
        </w:rPr>
      </w:pPr>
    </w:p>
    <w:p w:rsidR="0099558D" w:rsidRDefault="00DA668E" w:rsidP="00D70601">
      <w:pPr>
        <w:ind w:left="2" w:firstLine="31"/>
        <w:jc w:val="center"/>
        <w:rPr>
          <w:rFonts w:cs="Simplified Arabic"/>
          <w:b/>
          <w:bCs/>
          <w:sz w:val="22"/>
          <w:szCs w:val="22"/>
          <w:rtl/>
        </w:rPr>
      </w:pPr>
      <w:r w:rsidRPr="00055B15">
        <w:rPr>
          <w:rFonts w:cs="Simplified Arabic" w:hint="cs"/>
          <w:b/>
          <w:bCs/>
          <w:sz w:val="22"/>
          <w:szCs w:val="22"/>
          <w:rtl/>
        </w:rPr>
        <w:t xml:space="preserve">عدد </w:t>
      </w:r>
      <w:r w:rsidRPr="00055B15">
        <w:rPr>
          <w:rFonts w:cs="Simplified Arabic"/>
          <w:b/>
          <w:bCs/>
          <w:sz w:val="22"/>
          <w:szCs w:val="22"/>
          <w:rtl/>
        </w:rPr>
        <w:t xml:space="preserve">رخص الأبنية الصادرة في </w:t>
      </w:r>
      <w:r w:rsidR="005A1D8D">
        <w:rPr>
          <w:rFonts w:cs="Simplified Arabic" w:hint="cs"/>
          <w:b/>
          <w:bCs/>
          <w:sz w:val="22"/>
          <w:szCs w:val="22"/>
          <w:rtl/>
        </w:rPr>
        <w:t>فلسطين</w:t>
      </w:r>
      <w:r w:rsidR="00C369C0">
        <w:rPr>
          <w:rFonts w:cs="Simplified Arabic"/>
          <w:b/>
          <w:bCs/>
          <w:sz w:val="22"/>
          <w:szCs w:val="22"/>
        </w:rPr>
        <w:t>*</w:t>
      </w:r>
      <w:r w:rsidR="00AC3B65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D939DF">
        <w:rPr>
          <w:rFonts w:cs="Simplified Arabic" w:hint="cs"/>
          <w:b/>
          <w:bCs/>
          <w:sz w:val="22"/>
          <w:szCs w:val="22"/>
          <w:rtl/>
        </w:rPr>
        <w:t>ا</w:t>
      </w:r>
      <w:r w:rsidR="000F003D">
        <w:rPr>
          <w:rFonts w:cs="Simplified Arabic" w:hint="cs"/>
          <w:b/>
          <w:bCs/>
          <w:sz w:val="22"/>
          <w:szCs w:val="22"/>
          <w:rtl/>
        </w:rPr>
        <w:t>لربع الأول 2011 إلى الربع</w:t>
      </w:r>
      <w:r w:rsidR="00D70601">
        <w:rPr>
          <w:rFonts w:cs="Simplified Arabic" w:hint="cs"/>
          <w:b/>
          <w:bCs/>
          <w:sz w:val="22"/>
          <w:szCs w:val="22"/>
          <w:rtl/>
        </w:rPr>
        <w:t xml:space="preserve">   </w:t>
      </w:r>
      <w:r w:rsidR="005A1D8D">
        <w:rPr>
          <w:rFonts w:cs="Simplified Arabic" w:hint="cs"/>
          <w:b/>
          <w:bCs/>
          <w:sz w:val="22"/>
          <w:szCs w:val="22"/>
          <w:rtl/>
        </w:rPr>
        <w:t>الرابع</w:t>
      </w:r>
      <w:r w:rsidR="00AC3B65">
        <w:rPr>
          <w:rFonts w:cs="Simplified Arabic" w:hint="cs"/>
          <w:b/>
          <w:bCs/>
          <w:sz w:val="22"/>
          <w:szCs w:val="22"/>
          <w:rtl/>
        </w:rPr>
        <w:t xml:space="preserve"> 2012</w:t>
      </w:r>
    </w:p>
    <w:p w:rsidR="00BF2018" w:rsidRDefault="00464879" w:rsidP="00B3426B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95675" cy="2390775"/>
            <wp:effectExtent l="57150" t="1905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426B" w:rsidRDefault="00B3426B" w:rsidP="00B3426B">
      <w:pPr>
        <w:pStyle w:val="BodyText"/>
        <w:jc w:val="left"/>
        <w:rPr>
          <w:sz w:val="18"/>
          <w:szCs w:val="18"/>
          <w:rtl/>
        </w:rPr>
      </w:pP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464879" w:rsidRPr="00C369C0" w:rsidRDefault="00BF2018" w:rsidP="001949A2">
      <w:pPr>
        <w:pStyle w:val="BodyText"/>
        <w:jc w:val="center"/>
        <w:rPr>
          <w:b/>
          <w:bCs/>
          <w:rtl/>
        </w:rPr>
      </w:pPr>
      <w:r>
        <w:rPr>
          <w:sz w:val="18"/>
          <w:szCs w:val="18"/>
        </w:rPr>
        <w:t>*</w:t>
      </w:r>
      <w:r w:rsidR="00C369C0" w:rsidRPr="00C369C0">
        <w:rPr>
          <w:sz w:val="18"/>
          <w:szCs w:val="18"/>
        </w:rPr>
        <w:t xml:space="preserve"> </w:t>
      </w:r>
      <w:r w:rsidR="00C369C0" w:rsidRPr="00C369C0">
        <w:rPr>
          <w:rFonts w:hint="cs"/>
          <w:sz w:val="18"/>
          <w:szCs w:val="18"/>
          <w:rtl/>
        </w:rPr>
        <w:t xml:space="preserve">البيانات لا تشمل ذلك الجزء من محافظة القدس الذي </w:t>
      </w:r>
      <w:r w:rsidR="00C369C0">
        <w:rPr>
          <w:rFonts w:hint="cs"/>
          <w:sz w:val="18"/>
          <w:szCs w:val="18"/>
          <w:rtl/>
        </w:rPr>
        <w:t xml:space="preserve">ضمته إسرائيل عنوة بعيد احتلالها </w:t>
      </w:r>
      <w:r w:rsidR="00C369C0" w:rsidRPr="00C369C0">
        <w:rPr>
          <w:rFonts w:hint="cs"/>
          <w:sz w:val="18"/>
          <w:szCs w:val="18"/>
          <w:rtl/>
        </w:rPr>
        <w:t>للضفة الغربية عام 1967</w:t>
      </w:r>
    </w:p>
    <w:p w:rsidR="00EF1E7B" w:rsidRPr="00B3426B" w:rsidRDefault="00EF1E7B" w:rsidP="00B3426B">
      <w:pPr>
        <w:pStyle w:val="BodyText"/>
        <w:jc w:val="both"/>
        <w:rPr>
          <w:color w:val="000000"/>
        </w:rPr>
      </w:pPr>
    </w:p>
    <w:sectPr w:rsidR="00EF1E7B" w:rsidRPr="00B3426B" w:rsidSect="00B3426B">
      <w:pgSz w:w="12240" w:h="15840"/>
      <w:pgMar w:top="851" w:right="810" w:bottom="851" w:left="851" w:header="360" w:footer="720" w:gutter="0"/>
      <w:cols w:space="78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1F" w:rsidRDefault="0036311F">
      <w:r>
        <w:separator/>
      </w:r>
    </w:p>
  </w:endnote>
  <w:endnote w:type="continuationSeparator" w:id="0">
    <w:p w:rsidR="0036311F" w:rsidRDefault="00363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1F" w:rsidRDefault="0036311F">
      <w:r>
        <w:separator/>
      </w:r>
    </w:p>
  </w:footnote>
  <w:footnote w:type="continuationSeparator" w:id="0">
    <w:p w:rsidR="0036311F" w:rsidRDefault="00363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43023"/>
    <w:rsid w:val="000440C4"/>
    <w:rsid w:val="000627C7"/>
    <w:rsid w:val="00063D4D"/>
    <w:rsid w:val="000712BB"/>
    <w:rsid w:val="0007716F"/>
    <w:rsid w:val="00090C4E"/>
    <w:rsid w:val="000A5DEA"/>
    <w:rsid w:val="000A7D5F"/>
    <w:rsid w:val="000F003D"/>
    <w:rsid w:val="001165FE"/>
    <w:rsid w:val="00122CD2"/>
    <w:rsid w:val="00126A51"/>
    <w:rsid w:val="00137F91"/>
    <w:rsid w:val="00163D8E"/>
    <w:rsid w:val="00185362"/>
    <w:rsid w:val="001949A2"/>
    <w:rsid w:val="001A0E21"/>
    <w:rsid w:val="001A7663"/>
    <w:rsid w:val="001B4AD5"/>
    <w:rsid w:val="001E1B60"/>
    <w:rsid w:val="001E6F82"/>
    <w:rsid w:val="001E746B"/>
    <w:rsid w:val="00203EF5"/>
    <w:rsid w:val="002336E5"/>
    <w:rsid w:val="00240522"/>
    <w:rsid w:val="00282853"/>
    <w:rsid w:val="00292791"/>
    <w:rsid w:val="002A5795"/>
    <w:rsid w:val="002B458C"/>
    <w:rsid w:val="002B6FE2"/>
    <w:rsid w:val="002D4E13"/>
    <w:rsid w:val="003029E5"/>
    <w:rsid w:val="003170FC"/>
    <w:rsid w:val="00323EB1"/>
    <w:rsid w:val="00344E0F"/>
    <w:rsid w:val="0036311F"/>
    <w:rsid w:val="00374098"/>
    <w:rsid w:val="00381ACE"/>
    <w:rsid w:val="00386C9A"/>
    <w:rsid w:val="003B1BC7"/>
    <w:rsid w:val="003D7622"/>
    <w:rsid w:val="003E6E90"/>
    <w:rsid w:val="003E7DAB"/>
    <w:rsid w:val="003F1947"/>
    <w:rsid w:val="0040737E"/>
    <w:rsid w:val="004320EE"/>
    <w:rsid w:val="00436C6A"/>
    <w:rsid w:val="00455D54"/>
    <w:rsid w:val="00464879"/>
    <w:rsid w:val="00464C2A"/>
    <w:rsid w:val="0047710F"/>
    <w:rsid w:val="0048400C"/>
    <w:rsid w:val="0049065D"/>
    <w:rsid w:val="004A2669"/>
    <w:rsid w:val="004B1FFA"/>
    <w:rsid w:val="004B7619"/>
    <w:rsid w:val="004D01E6"/>
    <w:rsid w:val="004D60AA"/>
    <w:rsid w:val="004F62FD"/>
    <w:rsid w:val="00511A66"/>
    <w:rsid w:val="00513D8A"/>
    <w:rsid w:val="00517B99"/>
    <w:rsid w:val="00526999"/>
    <w:rsid w:val="00547072"/>
    <w:rsid w:val="00551887"/>
    <w:rsid w:val="00555D4F"/>
    <w:rsid w:val="00556309"/>
    <w:rsid w:val="005722DD"/>
    <w:rsid w:val="0057564E"/>
    <w:rsid w:val="00586434"/>
    <w:rsid w:val="00590171"/>
    <w:rsid w:val="005A1D8D"/>
    <w:rsid w:val="006038F4"/>
    <w:rsid w:val="006134E1"/>
    <w:rsid w:val="00613FB8"/>
    <w:rsid w:val="00641A72"/>
    <w:rsid w:val="006431F1"/>
    <w:rsid w:val="00644839"/>
    <w:rsid w:val="006541CD"/>
    <w:rsid w:val="0067593C"/>
    <w:rsid w:val="00675CF0"/>
    <w:rsid w:val="00683B5E"/>
    <w:rsid w:val="006A474D"/>
    <w:rsid w:val="006A6650"/>
    <w:rsid w:val="006F1DFC"/>
    <w:rsid w:val="00704E31"/>
    <w:rsid w:val="007050B6"/>
    <w:rsid w:val="007316D4"/>
    <w:rsid w:val="007317C5"/>
    <w:rsid w:val="00750586"/>
    <w:rsid w:val="00764053"/>
    <w:rsid w:val="0077006A"/>
    <w:rsid w:val="00794422"/>
    <w:rsid w:val="007A445C"/>
    <w:rsid w:val="007B3406"/>
    <w:rsid w:val="007E6F39"/>
    <w:rsid w:val="00800FFF"/>
    <w:rsid w:val="00805F36"/>
    <w:rsid w:val="00806D87"/>
    <w:rsid w:val="00811800"/>
    <w:rsid w:val="0082204B"/>
    <w:rsid w:val="00847074"/>
    <w:rsid w:val="00850E11"/>
    <w:rsid w:val="00857339"/>
    <w:rsid w:val="00865423"/>
    <w:rsid w:val="00880B06"/>
    <w:rsid w:val="008817A1"/>
    <w:rsid w:val="00885E6F"/>
    <w:rsid w:val="008B41B3"/>
    <w:rsid w:val="008E2DA0"/>
    <w:rsid w:val="008F05BF"/>
    <w:rsid w:val="00906A12"/>
    <w:rsid w:val="009160AD"/>
    <w:rsid w:val="009319A5"/>
    <w:rsid w:val="00940BA2"/>
    <w:rsid w:val="0095270C"/>
    <w:rsid w:val="00983E2D"/>
    <w:rsid w:val="009874E5"/>
    <w:rsid w:val="009935FE"/>
    <w:rsid w:val="0099558D"/>
    <w:rsid w:val="009C0762"/>
    <w:rsid w:val="009C7BC7"/>
    <w:rsid w:val="009D4EFE"/>
    <w:rsid w:val="00A26501"/>
    <w:rsid w:val="00A54D20"/>
    <w:rsid w:val="00A55278"/>
    <w:rsid w:val="00A57955"/>
    <w:rsid w:val="00A70367"/>
    <w:rsid w:val="00A82766"/>
    <w:rsid w:val="00A84169"/>
    <w:rsid w:val="00AA4303"/>
    <w:rsid w:val="00AC3B65"/>
    <w:rsid w:val="00AD5297"/>
    <w:rsid w:val="00AF2A33"/>
    <w:rsid w:val="00B14DE8"/>
    <w:rsid w:val="00B3426B"/>
    <w:rsid w:val="00B4490E"/>
    <w:rsid w:val="00B5578A"/>
    <w:rsid w:val="00B772E1"/>
    <w:rsid w:val="00BA3F65"/>
    <w:rsid w:val="00BA7639"/>
    <w:rsid w:val="00BE4A49"/>
    <w:rsid w:val="00BE5534"/>
    <w:rsid w:val="00BF2018"/>
    <w:rsid w:val="00C0606E"/>
    <w:rsid w:val="00C369C0"/>
    <w:rsid w:val="00C40A47"/>
    <w:rsid w:val="00C538F3"/>
    <w:rsid w:val="00C65CA6"/>
    <w:rsid w:val="00C75D8D"/>
    <w:rsid w:val="00C86529"/>
    <w:rsid w:val="00CA30E8"/>
    <w:rsid w:val="00CC4757"/>
    <w:rsid w:val="00CD053B"/>
    <w:rsid w:val="00CF7275"/>
    <w:rsid w:val="00D22654"/>
    <w:rsid w:val="00D53C5E"/>
    <w:rsid w:val="00D70601"/>
    <w:rsid w:val="00D75B73"/>
    <w:rsid w:val="00D8278D"/>
    <w:rsid w:val="00D939DF"/>
    <w:rsid w:val="00D9517E"/>
    <w:rsid w:val="00DA668E"/>
    <w:rsid w:val="00DB44F5"/>
    <w:rsid w:val="00DC0D9E"/>
    <w:rsid w:val="00DC2990"/>
    <w:rsid w:val="00DD294E"/>
    <w:rsid w:val="00DF73BB"/>
    <w:rsid w:val="00E0796B"/>
    <w:rsid w:val="00E1608A"/>
    <w:rsid w:val="00E16C0A"/>
    <w:rsid w:val="00E27857"/>
    <w:rsid w:val="00E43C27"/>
    <w:rsid w:val="00E460CE"/>
    <w:rsid w:val="00E74226"/>
    <w:rsid w:val="00E81941"/>
    <w:rsid w:val="00EA1124"/>
    <w:rsid w:val="00EB390C"/>
    <w:rsid w:val="00EB7CFD"/>
    <w:rsid w:val="00ED2DED"/>
    <w:rsid w:val="00EF1E7B"/>
    <w:rsid w:val="00F01AC3"/>
    <w:rsid w:val="00F21C6E"/>
    <w:rsid w:val="00F21F40"/>
    <w:rsid w:val="00F3411A"/>
    <w:rsid w:val="00F37765"/>
    <w:rsid w:val="00F43803"/>
    <w:rsid w:val="00F64981"/>
    <w:rsid w:val="00F83A0B"/>
    <w:rsid w:val="00F8578A"/>
    <w:rsid w:val="00FA2D6D"/>
    <w:rsid w:val="00FA4336"/>
    <w:rsid w:val="00FA6B5F"/>
    <w:rsid w:val="00FB466E"/>
    <w:rsid w:val="00FC590A"/>
    <w:rsid w:val="00FE6F4E"/>
    <w:rsid w:val="00F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semiHidden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795783360867411"/>
          <c:y val="3.6853010196155681E-2"/>
          <c:w val="0.83160905976671173"/>
          <c:h val="0.6888205329474043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Sheet1!$A$2:$A$9</c:f>
              <c:strCache>
                <c:ptCount val="8"/>
                <c:pt idx="0">
                  <c:v>الربع الاول 2011</c:v>
                </c:pt>
                <c:pt idx="1">
                  <c:v>الربع الثاني 2011</c:v>
                </c:pt>
                <c:pt idx="2">
                  <c:v>الربع الثالث 2011</c:v>
                </c:pt>
                <c:pt idx="3">
                  <c:v>الربع الرابع 2011</c:v>
                </c:pt>
                <c:pt idx="4">
                  <c:v>الربع الاول 2012</c:v>
                </c:pt>
                <c:pt idx="5">
                  <c:v>الربع الثاني 2012</c:v>
                </c:pt>
                <c:pt idx="6">
                  <c:v>الربع الثالث 2012</c:v>
                </c:pt>
                <c:pt idx="7">
                  <c:v>الربع الرابع 2012</c:v>
                </c:pt>
              </c:strCache>
            </c:strRef>
          </c:cat>
          <c:val>
            <c:numRef>
              <c:f>Sheet1!$B$2:$B$9</c:f>
              <c:numCache>
                <c:formatCode>#,##0</c:formatCode>
                <c:ptCount val="8"/>
                <c:pt idx="0">
                  <c:v>282</c:v>
                </c:pt>
                <c:pt idx="1">
                  <c:v>353</c:v>
                </c:pt>
                <c:pt idx="2">
                  <c:v>283</c:v>
                </c:pt>
                <c:pt idx="3">
                  <c:v>341</c:v>
                </c:pt>
                <c:pt idx="4">
                  <c:v>389</c:v>
                </c:pt>
                <c:pt idx="5">
                  <c:v>477</c:v>
                </c:pt>
                <c:pt idx="6">
                  <c:v>331</c:v>
                </c:pt>
                <c:pt idx="7">
                  <c:v>376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Sheet1!$A$2:$A$9</c:f>
              <c:strCache>
                <c:ptCount val="8"/>
                <c:pt idx="0">
                  <c:v>الربع الاول 2011</c:v>
                </c:pt>
                <c:pt idx="1">
                  <c:v>الربع الثاني 2011</c:v>
                </c:pt>
                <c:pt idx="2">
                  <c:v>الربع الثالث 2011</c:v>
                </c:pt>
                <c:pt idx="3">
                  <c:v>الربع الرابع 2011</c:v>
                </c:pt>
                <c:pt idx="4">
                  <c:v>الربع الاول 2012</c:v>
                </c:pt>
                <c:pt idx="5">
                  <c:v>الربع الثاني 2012</c:v>
                </c:pt>
                <c:pt idx="6">
                  <c:v>الربع الثالث 2012</c:v>
                </c:pt>
                <c:pt idx="7">
                  <c:v>الربع الرابع 2012</c:v>
                </c:pt>
              </c:strCache>
            </c:strRef>
          </c:cat>
          <c:val>
            <c:numRef>
              <c:f>Sheet1!$C$2:$C$9</c:f>
              <c:numCache>
                <c:formatCode>#,##0</c:formatCode>
                <c:ptCount val="8"/>
                <c:pt idx="0">
                  <c:v>1177</c:v>
                </c:pt>
                <c:pt idx="1">
                  <c:v>1154</c:v>
                </c:pt>
                <c:pt idx="2">
                  <c:v>1001</c:v>
                </c:pt>
                <c:pt idx="3">
                  <c:v>1035</c:v>
                </c:pt>
                <c:pt idx="4">
                  <c:v>1344</c:v>
                </c:pt>
                <c:pt idx="5">
                  <c:v>1222</c:v>
                </c:pt>
                <c:pt idx="6">
                  <c:v>1059</c:v>
                </c:pt>
                <c:pt idx="7">
                  <c:v>1264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Sheet1!$A$2:$A$9</c:f>
              <c:strCache>
                <c:ptCount val="8"/>
                <c:pt idx="0">
                  <c:v>الربع الاول 2011</c:v>
                </c:pt>
                <c:pt idx="1">
                  <c:v>الربع الثاني 2011</c:v>
                </c:pt>
                <c:pt idx="2">
                  <c:v>الربع الثالث 2011</c:v>
                </c:pt>
                <c:pt idx="3">
                  <c:v>الربع الرابع 2011</c:v>
                </c:pt>
                <c:pt idx="4">
                  <c:v>الربع الاول 2012</c:v>
                </c:pt>
                <c:pt idx="5">
                  <c:v>الربع الثاني 2012</c:v>
                </c:pt>
                <c:pt idx="6">
                  <c:v>الربع الثالث 2012</c:v>
                </c:pt>
                <c:pt idx="7">
                  <c:v>الربع الرابع 2012</c:v>
                </c:pt>
              </c:strCache>
            </c:strRef>
          </c:cat>
          <c:val>
            <c:numRef>
              <c:f>Sheet1!$D$2:$D$9</c:f>
              <c:numCache>
                <c:formatCode>#,##0</c:formatCode>
                <c:ptCount val="8"/>
                <c:pt idx="0">
                  <c:v>2092</c:v>
                </c:pt>
                <c:pt idx="1">
                  <c:v>2015</c:v>
                </c:pt>
                <c:pt idx="2">
                  <c:v>1717</c:v>
                </c:pt>
                <c:pt idx="3">
                  <c:v>1884</c:v>
                </c:pt>
                <c:pt idx="4">
                  <c:v>2172</c:v>
                </c:pt>
                <c:pt idx="5">
                  <c:v>2190</c:v>
                </c:pt>
                <c:pt idx="6">
                  <c:v>1778</c:v>
                </c:pt>
                <c:pt idx="7">
                  <c:v>2099</c:v>
                </c:pt>
              </c:numCache>
            </c:numRef>
          </c:val>
        </c:ser>
        <c:marker val="1"/>
        <c:axId val="136471680"/>
        <c:axId val="136473216"/>
      </c:lineChart>
      <c:catAx>
        <c:axId val="13647168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136473216"/>
        <c:crosses val="autoZero"/>
        <c:auto val="1"/>
        <c:lblAlgn val="ctr"/>
        <c:lblOffset val="100"/>
      </c:catAx>
      <c:valAx>
        <c:axId val="1364732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0"/>
                  <a:t>عدد الرخص</a:t>
                </a:r>
                <a:endParaRPr lang="en-US" sz="900" b="0"/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64716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621"/>
          <c:w val="0.99834452573537258"/>
          <c:h val="0.10898946042959583"/>
        </c:manualLayout>
      </c:layout>
      <c:txPr>
        <a:bodyPr/>
        <a:lstStyle/>
        <a:p>
          <a:pPr>
            <a:defRPr sz="900"/>
          </a:pPr>
          <a:endParaRPr lang="ar-SA"/>
        </a:p>
      </c:txPr>
    </c:legend>
    <c:plotVisOnly val="1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F8FB-92E7-4077-9FF9-4BCE11B6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zhalees</cp:lastModifiedBy>
  <cp:revision>3</cp:revision>
  <cp:lastPrinted>2013-02-18T06:34:00Z</cp:lastPrinted>
  <dcterms:created xsi:type="dcterms:W3CDTF">2013-02-26T09:31:00Z</dcterms:created>
  <dcterms:modified xsi:type="dcterms:W3CDTF">2013-02-26T10:51:00Z</dcterms:modified>
</cp:coreProperties>
</file>