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0F" w:rsidRDefault="006C1D3A" w:rsidP="007552EB">
      <w:pPr>
        <w:tabs>
          <w:tab w:val="left" w:pos="2267"/>
        </w:tabs>
        <w:ind w:firstLine="424"/>
        <w:jc w:val="center"/>
        <w:rPr>
          <w:rFonts w:cs="Simplified Arabic"/>
          <w:b/>
          <w:bCs/>
          <w:sz w:val="32"/>
          <w:szCs w:val="32"/>
          <w:rtl/>
        </w:rPr>
      </w:pPr>
      <w:bookmarkStart w:id="0" w:name="_GoBack"/>
      <w:bookmarkEnd w:id="0"/>
      <w:r w:rsidRPr="006C1D3A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685DA7" w:rsidRPr="006C1D3A">
        <w:rPr>
          <w:rFonts w:cs="Simplified Arabic" w:hint="cs"/>
          <w:b/>
          <w:bCs/>
          <w:sz w:val="32"/>
          <w:szCs w:val="32"/>
          <w:rtl/>
        </w:rPr>
        <w:t xml:space="preserve">بعد </w:t>
      </w:r>
      <w:r w:rsidR="006141C1" w:rsidRPr="006C1D3A">
        <w:rPr>
          <w:rFonts w:cs="Simplified Arabic" w:hint="cs"/>
          <w:b/>
          <w:bCs/>
          <w:sz w:val="32"/>
          <w:szCs w:val="32"/>
          <w:rtl/>
        </w:rPr>
        <w:t>عام</w:t>
      </w:r>
      <w:r w:rsidR="00575468">
        <w:rPr>
          <w:rFonts w:cs="Simplified Arabic" w:hint="cs"/>
          <w:b/>
          <w:bCs/>
          <w:sz w:val="32"/>
          <w:szCs w:val="32"/>
          <w:rtl/>
        </w:rPr>
        <w:t xml:space="preserve"> من</w:t>
      </w:r>
      <w:r w:rsidR="006141C1" w:rsidRPr="006C1D3A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575468">
        <w:rPr>
          <w:rFonts w:cs="Simplified Arabic" w:hint="cs"/>
          <w:b/>
          <w:bCs/>
          <w:sz w:val="32"/>
          <w:szCs w:val="32"/>
          <w:rtl/>
        </w:rPr>
        <w:t>ا</w:t>
      </w:r>
      <w:r w:rsidR="00685DA7" w:rsidRPr="006C1D3A">
        <w:rPr>
          <w:rFonts w:cs="Simplified Arabic" w:hint="cs"/>
          <w:b/>
          <w:bCs/>
          <w:sz w:val="32"/>
          <w:szCs w:val="32"/>
          <w:rtl/>
        </w:rPr>
        <w:t>ل</w:t>
      </w:r>
      <w:r w:rsidR="00A30A6A" w:rsidRPr="006C1D3A">
        <w:rPr>
          <w:rFonts w:cs="Simplified Arabic" w:hint="cs"/>
          <w:b/>
          <w:bCs/>
          <w:sz w:val="32"/>
          <w:szCs w:val="32"/>
          <w:rtl/>
        </w:rPr>
        <w:t xml:space="preserve">عدوان الاسرائيلي </w:t>
      </w:r>
      <w:r w:rsidR="00685DA7" w:rsidRPr="006C1D3A">
        <w:rPr>
          <w:rFonts w:cs="Simplified Arabic" w:hint="cs"/>
          <w:b/>
          <w:bCs/>
          <w:sz w:val="32"/>
          <w:szCs w:val="32"/>
          <w:rtl/>
        </w:rPr>
        <w:t xml:space="preserve">المستمر </w:t>
      </w:r>
      <w:r w:rsidR="00A30A6A" w:rsidRPr="006C1D3A">
        <w:rPr>
          <w:rFonts w:cs="Simplified Arabic" w:hint="cs"/>
          <w:b/>
          <w:bCs/>
          <w:sz w:val="32"/>
          <w:szCs w:val="32"/>
          <w:rtl/>
        </w:rPr>
        <w:t>على قطاع غزة</w:t>
      </w:r>
      <w:r w:rsidR="004C7BE2" w:rsidRPr="006C1D3A">
        <w:rPr>
          <w:rFonts w:cs="Simplified Arabic" w:hint="cs"/>
          <w:b/>
          <w:bCs/>
          <w:sz w:val="32"/>
          <w:szCs w:val="32"/>
          <w:rtl/>
        </w:rPr>
        <w:t>،</w:t>
      </w:r>
      <w:r w:rsidR="006141C1" w:rsidRPr="006C1D3A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787A82" w:rsidRPr="006C1D3A">
        <w:rPr>
          <w:rFonts w:cs="Simplified Arabic" w:hint="cs"/>
          <w:b/>
          <w:bCs/>
          <w:sz w:val="32"/>
          <w:szCs w:val="32"/>
          <w:rtl/>
        </w:rPr>
        <w:t>مؤشر غلاء المعيشة ل</w:t>
      </w:r>
      <w:r w:rsidR="004016D3" w:rsidRPr="006C1D3A">
        <w:rPr>
          <w:rFonts w:cs="Simplified Arabic" w:hint="cs"/>
          <w:b/>
          <w:bCs/>
          <w:sz w:val="32"/>
          <w:szCs w:val="32"/>
          <w:rtl/>
        </w:rPr>
        <w:t xml:space="preserve">قطاع غزة </w:t>
      </w:r>
      <w:r w:rsidR="006141C1" w:rsidRPr="006C1D3A">
        <w:rPr>
          <w:rFonts w:cs="Simplified Arabic" w:hint="cs"/>
          <w:b/>
          <w:bCs/>
          <w:sz w:val="32"/>
          <w:szCs w:val="32"/>
          <w:rtl/>
        </w:rPr>
        <w:t xml:space="preserve">يسجل ارتفاعاً حاداً </w:t>
      </w:r>
      <w:r w:rsidR="009772A8" w:rsidRPr="006C1D3A">
        <w:rPr>
          <w:rFonts w:cs="Simplified Arabic" w:hint="cs"/>
          <w:b/>
          <w:bCs/>
          <w:sz w:val="32"/>
          <w:szCs w:val="32"/>
          <w:rtl/>
        </w:rPr>
        <w:t>نسبته</w:t>
      </w:r>
      <w:r w:rsidR="004016D3" w:rsidRPr="006C1D3A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6141C1" w:rsidRPr="006C1D3A">
        <w:rPr>
          <w:rFonts w:cs="Simplified Arabic"/>
          <w:b/>
          <w:bCs/>
          <w:sz w:val="32"/>
          <w:szCs w:val="32"/>
        </w:rPr>
        <w:t>359</w:t>
      </w:r>
      <w:r w:rsidR="006141C1" w:rsidRPr="006C1D3A">
        <w:rPr>
          <w:rFonts w:cs="Simplified Arabic" w:hint="cs"/>
          <w:b/>
          <w:bCs/>
          <w:sz w:val="32"/>
          <w:szCs w:val="32"/>
          <w:rtl/>
        </w:rPr>
        <w:t>%</w:t>
      </w:r>
    </w:p>
    <w:p w:rsidR="006C1D3A" w:rsidRPr="006C1D3A" w:rsidRDefault="006C1D3A" w:rsidP="006C1D3A">
      <w:pPr>
        <w:jc w:val="center"/>
        <w:rPr>
          <w:rFonts w:cs="Simplified Arabic"/>
          <w:b/>
          <w:bCs/>
          <w:sz w:val="32"/>
          <w:szCs w:val="32"/>
          <w:rtl/>
        </w:rPr>
      </w:pPr>
    </w:p>
    <w:p w:rsidR="003421C1" w:rsidRPr="00361CF2" w:rsidRDefault="003421C1" w:rsidP="003421C1">
      <w:pPr>
        <w:jc w:val="both"/>
        <w:rPr>
          <w:rFonts w:cs="Simplified Arabic"/>
          <w:sz w:val="20"/>
          <w:szCs w:val="20"/>
        </w:rPr>
      </w:pPr>
    </w:p>
    <w:p w:rsidR="00000764" w:rsidRPr="006C1D3A" w:rsidRDefault="00000764" w:rsidP="009772A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C1D3A">
        <w:rPr>
          <w:rFonts w:ascii="Simplified Arabic" w:hAnsi="Simplified Arabic" w:cs="Simplified Arabic"/>
          <w:sz w:val="26"/>
          <w:szCs w:val="26"/>
          <w:rtl/>
        </w:rPr>
        <w:t>سجل</w:t>
      </w:r>
      <w:r w:rsidR="00195EBF" w:rsidRPr="006C1D3A">
        <w:rPr>
          <w:rFonts w:ascii="Simplified Arabic" w:hAnsi="Simplified Arabic" w:cs="Simplified Arabic"/>
          <w:sz w:val="26"/>
          <w:szCs w:val="26"/>
        </w:rPr>
        <w:t xml:space="preserve"> </w:t>
      </w:r>
      <w:r w:rsidRPr="006C1D3A">
        <w:rPr>
          <w:rFonts w:ascii="Simplified Arabic" w:hAnsi="Simplified Arabic" w:cs="Simplified Arabic"/>
          <w:sz w:val="26"/>
          <w:szCs w:val="26"/>
          <w:rtl/>
        </w:rPr>
        <w:t>الرقم القياسي لأسعار المستهلك في فلسطين</w:t>
      </w:r>
      <w:r w:rsidR="00195EBF" w:rsidRPr="006C1D3A">
        <w:rPr>
          <w:rFonts w:ascii="Simplified Arabic" w:hAnsi="Simplified Arabic" w:cs="Simplified Arabic"/>
          <w:sz w:val="26"/>
          <w:szCs w:val="26"/>
        </w:rPr>
        <w:t xml:space="preserve"> </w:t>
      </w:r>
      <w:r w:rsidR="00E86B6F"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="009772A8" w:rsidRPr="006C1D3A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4F3015"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حاداً </w:t>
      </w:r>
      <w:r w:rsidR="00E86B6F"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195EBF" w:rsidRPr="006C1D3A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10621D"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>9.19</w:t>
      </w:r>
      <w:r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Pr="006C1D3A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10621D" w:rsidRPr="006C1D3A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="002A22BB">
        <w:rPr>
          <w:rFonts w:ascii="Simplified Arabic" w:hAnsi="Simplified Arabic" w:cs="Simplified Arabic" w:hint="cs"/>
          <w:sz w:val="26"/>
          <w:szCs w:val="26"/>
          <w:rtl/>
        </w:rPr>
        <w:t>، 10/</w:t>
      </w:r>
      <w:r w:rsidRPr="006C1D3A">
        <w:rPr>
          <w:rFonts w:ascii="Simplified Arabic" w:hAnsi="Simplified Arabic" w:cs="Simplified Arabic"/>
          <w:sz w:val="26"/>
          <w:szCs w:val="26"/>
          <w:rtl/>
        </w:rPr>
        <w:t xml:space="preserve">2024 مقارنة مع شهر </w:t>
      </w:r>
      <w:r w:rsidR="0010621D" w:rsidRPr="006C1D3A">
        <w:rPr>
          <w:rFonts w:ascii="Simplified Arabic" w:hAnsi="Simplified Arabic" w:cs="Simplified Arabic"/>
          <w:sz w:val="26"/>
          <w:szCs w:val="26"/>
          <w:rtl/>
        </w:rPr>
        <w:t>أيلول</w:t>
      </w:r>
      <w:r w:rsidRPr="006C1D3A">
        <w:rPr>
          <w:rFonts w:ascii="Simplified Arabic" w:hAnsi="Simplified Arabic" w:cs="Simplified Arabic"/>
          <w:sz w:val="26"/>
          <w:szCs w:val="26"/>
          <w:rtl/>
        </w:rPr>
        <w:t xml:space="preserve"> 2024، بواقع </w:t>
      </w:r>
      <w:r w:rsidR="0010621D"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>19.84</w:t>
      </w:r>
      <w:r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>% في قطاع غزة</w:t>
      </w:r>
      <w:r w:rsidRPr="006C1D3A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10621D" w:rsidRPr="006C1D3A">
        <w:rPr>
          <w:rFonts w:ascii="Simplified Arabic" w:hAnsi="Simplified Arabic" w:cs="Simplified Arabic"/>
          <w:sz w:val="26"/>
          <w:szCs w:val="26"/>
          <w:rtl/>
        </w:rPr>
        <w:t xml:space="preserve">بينما سجل الرقم القياسي </w:t>
      </w:r>
      <w:r w:rsidR="0010621D"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 مقداره</w:t>
      </w:r>
      <w:r w:rsidR="003E3301"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86B6F"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>1.</w:t>
      </w:r>
      <w:r w:rsidR="0010621D"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>01</w:t>
      </w:r>
      <w:r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="00E86B6F"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>في الضفة الغربية**</w:t>
      </w:r>
      <w:r w:rsidR="00E86B6F" w:rsidRPr="006C1D3A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10621D" w:rsidRPr="006C1D3A">
        <w:rPr>
          <w:rFonts w:ascii="Simplified Arabic" w:hAnsi="Simplified Arabic" w:cs="Simplified Arabic"/>
          <w:sz w:val="26"/>
          <w:szCs w:val="26"/>
          <w:rtl/>
        </w:rPr>
        <w:t>وبمقدار</w:t>
      </w:r>
      <w:r w:rsidR="00E86B6F" w:rsidRPr="006C1D3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F3015"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>0.</w:t>
      </w:r>
      <w:r w:rsidR="0010621D"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>41</w:t>
      </w:r>
      <w:r w:rsidR="00E86B6F"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="00FD4D14"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القدس </w:t>
      </w:r>
      <w:r w:rsidR="00FD4D14" w:rsidRPr="006C1D3A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="00FD4D14"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>*</w:t>
      </w:r>
      <w:r w:rsidR="00E86B6F"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</w:p>
    <w:p w:rsidR="00791CAF" w:rsidRPr="006C1D3A" w:rsidRDefault="00791CAF" w:rsidP="00791CA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837CB2" w:rsidRPr="006C1D3A" w:rsidRDefault="00664CC6" w:rsidP="009772A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C1D3A">
        <w:rPr>
          <w:rFonts w:ascii="Simplified Arabic" w:hAnsi="Simplified Arabic" w:cs="Simplified Arabic"/>
          <w:sz w:val="26"/>
          <w:szCs w:val="26"/>
          <w:rtl/>
        </w:rPr>
        <w:t xml:space="preserve">نتج </w:t>
      </w:r>
      <w:r w:rsidR="00E86B6F" w:rsidRPr="006C1D3A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791CAF" w:rsidRPr="006C1D3A">
        <w:rPr>
          <w:rFonts w:ascii="Simplified Arabic" w:hAnsi="Simplified Arabic" w:cs="Simplified Arabic"/>
          <w:sz w:val="26"/>
          <w:szCs w:val="26"/>
          <w:rtl/>
        </w:rPr>
        <w:t xml:space="preserve"> الأسعار في فلسطين </w:t>
      </w:r>
      <w:r w:rsidR="00C809A4" w:rsidRPr="006C1D3A">
        <w:rPr>
          <w:rFonts w:ascii="Simplified Arabic" w:hAnsi="Simplified Arabic" w:cs="Simplified Arabic"/>
          <w:sz w:val="26"/>
          <w:szCs w:val="26"/>
          <w:rtl/>
        </w:rPr>
        <w:t>عن</w:t>
      </w:r>
      <w:r w:rsidR="00195EBF" w:rsidRPr="006C1D3A">
        <w:rPr>
          <w:rFonts w:ascii="Simplified Arabic" w:hAnsi="Simplified Arabic" w:cs="Simplified Arabic"/>
          <w:sz w:val="26"/>
          <w:szCs w:val="26"/>
        </w:rPr>
        <w:t xml:space="preserve"> </w:t>
      </w:r>
      <w:r w:rsidR="00E86B6F" w:rsidRPr="006C1D3A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FA2AB5" w:rsidRPr="006C1D3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A4B10" w:rsidRPr="006C1D3A">
        <w:rPr>
          <w:rFonts w:ascii="Simplified Arabic" w:hAnsi="Simplified Arabic" w:cs="Simplified Arabic"/>
          <w:sz w:val="26"/>
          <w:szCs w:val="26"/>
          <w:rtl/>
        </w:rPr>
        <w:t>أسعار الخضروات المجففة بنسبة</w:t>
      </w:r>
      <w:r w:rsidR="00BA4B10" w:rsidRPr="006C1D3A">
        <w:rPr>
          <w:rFonts w:ascii="Simplified Arabic" w:hAnsi="Simplified Arabic" w:cs="Simplified Arabic"/>
          <w:sz w:val="26"/>
          <w:szCs w:val="26"/>
        </w:rPr>
        <w:t xml:space="preserve"> </w:t>
      </w:r>
      <w:r w:rsidR="00BA4B10" w:rsidRPr="006C1D3A">
        <w:rPr>
          <w:rFonts w:ascii="Simplified Arabic" w:hAnsi="Simplified Arabic" w:cs="Simplified Arabic"/>
          <w:sz w:val="26"/>
          <w:szCs w:val="26"/>
          <w:rtl/>
        </w:rPr>
        <w:t>144.33%، وأسعار البطاطا بنسبة</w:t>
      </w:r>
      <w:r w:rsidR="009772A8" w:rsidRPr="006C1D3A">
        <w:rPr>
          <w:rFonts w:ascii="Simplified Arabic" w:hAnsi="Simplified Arabic" w:cs="Simplified Arabic"/>
          <w:sz w:val="26"/>
          <w:szCs w:val="26"/>
        </w:rPr>
        <w:t xml:space="preserve"> </w:t>
      </w:r>
      <w:r w:rsidR="00BA4B10" w:rsidRPr="006C1D3A">
        <w:rPr>
          <w:rFonts w:ascii="Simplified Arabic" w:hAnsi="Simplified Arabic" w:cs="Simplified Arabic"/>
          <w:sz w:val="26"/>
          <w:szCs w:val="26"/>
          <w:rtl/>
        </w:rPr>
        <w:t xml:space="preserve">74.41%، وأسعار البيض بنسبة 61.55%، وأسعار الدجاج الطازج بنسبة 61.21%، وأسعار الزيوت النباتية بنسبة 59.55%، وأسعار الخضروات الطازجة بنسبة 11.58%، وأسعار المحروقات السائلة المستخدمة كوقود للسيارات "الديزل" بنسبة 1.02%، </w:t>
      </w:r>
      <w:r w:rsidR="009838B9" w:rsidRPr="006C1D3A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BA4B10" w:rsidRPr="006C1D3A">
        <w:rPr>
          <w:rFonts w:ascii="Simplified Arabic" w:hAnsi="Simplified Arabic" w:cs="Simplified Arabic"/>
          <w:sz w:val="26"/>
          <w:szCs w:val="26"/>
          <w:rtl/>
        </w:rPr>
        <w:t>انخفاض أسعار الفواكه الطازجة بمقدار 24.42%،</w:t>
      </w:r>
      <w:r w:rsidR="00195EBF" w:rsidRPr="006C1D3A">
        <w:rPr>
          <w:rFonts w:ascii="Simplified Arabic" w:hAnsi="Simplified Arabic" w:cs="Simplified Arabic"/>
          <w:sz w:val="26"/>
          <w:szCs w:val="26"/>
        </w:rPr>
        <w:t xml:space="preserve"> </w:t>
      </w:r>
      <w:r w:rsidR="00BA4B10" w:rsidRPr="006C1D3A">
        <w:rPr>
          <w:rFonts w:ascii="Simplified Arabic" w:hAnsi="Simplified Arabic" w:cs="Simplified Arabic"/>
          <w:sz w:val="26"/>
          <w:szCs w:val="26"/>
          <w:rtl/>
        </w:rPr>
        <w:t>و</w:t>
      </w:r>
      <w:r w:rsidR="00C81196" w:rsidRPr="006C1D3A">
        <w:rPr>
          <w:rFonts w:ascii="Simplified Arabic" w:hAnsi="Simplified Arabic" w:cs="Simplified Arabic"/>
          <w:sz w:val="26"/>
          <w:szCs w:val="26"/>
          <w:rtl/>
        </w:rPr>
        <w:t xml:space="preserve">أسعار المحروقات السائلة المستخدمة كوقود للسيارات </w:t>
      </w:r>
      <w:r w:rsidR="00856282" w:rsidRPr="006C1D3A">
        <w:rPr>
          <w:rFonts w:ascii="Simplified Arabic" w:hAnsi="Simplified Arabic" w:cs="Simplified Arabic"/>
          <w:sz w:val="26"/>
          <w:szCs w:val="26"/>
          <w:rtl/>
        </w:rPr>
        <w:t xml:space="preserve">"البنزين" بمقدار </w:t>
      </w:r>
      <w:r w:rsidR="00BA4B10" w:rsidRPr="006C1D3A">
        <w:rPr>
          <w:rFonts w:ascii="Simplified Arabic" w:hAnsi="Simplified Arabic" w:cs="Simplified Arabic"/>
          <w:sz w:val="26"/>
          <w:szCs w:val="26"/>
          <w:rtl/>
        </w:rPr>
        <w:t>3.85</w:t>
      </w:r>
      <w:r w:rsidR="00856282" w:rsidRPr="006C1D3A">
        <w:rPr>
          <w:rFonts w:ascii="Simplified Arabic" w:hAnsi="Simplified Arabic" w:cs="Simplified Arabic"/>
          <w:sz w:val="26"/>
          <w:szCs w:val="26"/>
          <w:rtl/>
        </w:rPr>
        <w:t>%</w:t>
      </w:r>
      <w:r w:rsidR="00B06977" w:rsidRPr="006C1D3A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837CB2" w:rsidRPr="006C1D3A" w:rsidRDefault="00837CB2" w:rsidP="00837CB2">
      <w:pPr>
        <w:jc w:val="both"/>
        <w:rPr>
          <w:rFonts w:ascii="Simplified Arabic" w:hAnsi="Simplified Arabic" w:cs="Simplified Arabic"/>
          <w:sz w:val="26"/>
          <w:szCs w:val="26"/>
          <w:rtl/>
          <w:lang w:bidi="ar-DZ"/>
        </w:rPr>
      </w:pPr>
    </w:p>
    <w:p w:rsidR="00532854" w:rsidRPr="006C1D3A" w:rsidRDefault="003421C1" w:rsidP="0010621D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6C1D3A">
        <w:rPr>
          <w:rFonts w:ascii="Simplified Arabic" w:hAnsi="Simplified Arabic" w:cs="Simplified Arabic"/>
          <w:sz w:val="26"/>
          <w:szCs w:val="26"/>
          <w:rtl/>
        </w:rPr>
        <w:t xml:space="preserve">عند مقارنة الأسعار خلال شهر </w:t>
      </w:r>
      <w:r w:rsidR="0010621D" w:rsidRPr="006C1D3A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="00E86B6F" w:rsidRPr="006C1D3A">
        <w:rPr>
          <w:rFonts w:ascii="Simplified Arabic" w:hAnsi="Simplified Arabic" w:cs="Simplified Arabic"/>
          <w:sz w:val="26"/>
          <w:szCs w:val="26"/>
          <w:rtl/>
        </w:rPr>
        <w:t xml:space="preserve"> 2024</w:t>
      </w:r>
      <w:r w:rsidR="00EC47BF" w:rsidRPr="006C1D3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C1D3A">
        <w:rPr>
          <w:rFonts w:ascii="Simplified Arabic" w:hAnsi="Simplified Arabic" w:cs="Simplified Arabic"/>
          <w:sz w:val="26"/>
          <w:szCs w:val="26"/>
          <w:rtl/>
        </w:rPr>
        <w:t xml:space="preserve">مع شهر </w:t>
      </w:r>
      <w:r w:rsidR="0010621D" w:rsidRPr="006C1D3A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="00E86B6F" w:rsidRPr="006C1D3A">
        <w:rPr>
          <w:rFonts w:ascii="Simplified Arabic" w:hAnsi="Simplified Arabic" w:cs="Simplified Arabic"/>
          <w:sz w:val="26"/>
          <w:szCs w:val="26"/>
          <w:rtl/>
        </w:rPr>
        <w:t xml:space="preserve"> 2023</w:t>
      </w:r>
      <w:r w:rsidR="00BA0EF7" w:rsidRPr="006C1D3A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6C1D3A">
        <w:rPr>
          <w:rFonts w:ascii="Simplified Arabic" w:hAnsi="Simplified Arabic" w:cs="Simplified Arabic"/>
          <w:sz w:val="26"/>
          <w:szCs w:val="26"/>
          <w:rtl/>
        </w:rPr>
        <w:t>تشير البيانات إلى ارتفاع الرقم القياسي</w:t>
      </w:r>
      <w:r w:rsidR="00D559DE" w:rsidRPr="006C1D3A">
        <w:rPr>
          <w:rFonts w:ascii="Simplified Arabic" w:hAnsi="Simplified Arabic" w:cs="Simplified Arabic"/>
          <w:sz w:val="26"/>
          <w:szCs w:val="26"/>
          <w:rtl/>
        </w:rPr>
        <w:t xml:space="preserve"> لأسعار المستهلك في فلسطين بنسبة</w:t>
      </w:r>
      <w:r w:rsidR="00195EBF" w:rsidRPr="006C1D3A">
        <w:rPr>
          <w:rFonts w:ascii="Simplified Arabic" w:hAnsi="Simplified Arabic" w:cs="Simplified Arabic"/>
          <w:sz w:val="26"/>
          <w:szCs w:val="26"/>
        </w:rPr>
        <w:t xml:space="preserve"> </w:t>
      </w:r>
      <w:r w:rsidR="0010621D" w:rsidRPr="006C1D3A">
        <w:rPr>
          <w:rFonts w:ascii="Simplified Arabic" w:hAnsi="Simplified Arabic" w:cs="Simplified Arabic"/>
          <w:sz w:val="26"/>
          <w:szCs w:val="26"/>
          <w:rtl/>
          <w:lang w:bidi="ar-DZ"/>
        </w:rPr>
        <w:t>70.40</w:t>
      </w:r>
      <w:r w:rsidR="00F96AE3" w:rsidRPr="006C1D3A">
        <w:rPr>
          <w:rFonts w:ascii="Simplified Arabic" w:hAnsi="Simplified Arabic" w:cs="Simplified Arabic"/>
          <w:sz w:val="26"/>
          <w:szCs w:val="26"/>
          <w:rtl/>
        </w:rPr>
        <w:t>%</w:t>
      </w:r>
      <w:r w:rsidR="00BA0EF7" w:rsidRPr="006C1D3A">
        <w:rPr>
          <w:rFonts w:ascii="Simplified Arabic" w:hAnsi="Simplified Arabic" w:cs="Simplified Arabic"/>
          <w:sz w:val="26"/>
          <w:szCs w:val="26"/>
          <w:rtl/>
        </w:rPr>
        <w:t>،</w:t>
      </w:r>
      <w:r w:rsidR="00E86B6F" w:rsidRPr="006C1D3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58D6" w:rsidRPr="006C1D3A">
        <w:rPr>
          <w:rFonts w:ascii="Simplified Arabic" w:hAnsi="Simplified Arabic" w:cs="Simplified Arabic"/>
          <w:sz w:val="26"/>
          <w:szCs w:val="26"/>
          <w:rtl/>
        </w:rPr>
        <w:t>(</w:t>
      </w:r>
      <w:r w:rsidRPr="006C1D3A">
        <w:rPr>
          <w:rFonts w:ascii="Simplified Arabic" w:hAnsi="Simplified Arabic" w:cs="Simplified Arabic"/>
          <w:sz w:val="26"/>
          <w:szCs w:val="26"/>
          <w:rtl/>
        </w:rPr>
        <w:t xml:space="preserve">بواقع </w:t>
      </w:r>
      <w:r w:rsidR="0010621D" w:rsidRPr="006C1D3A">
        <w:rPr>
          <w:rFonts w:ascii="Simplified Arabic" w:hAnsi="Simplified Arabic" w:cs="Simplified Arabic"/>
          <w:sz w:val="26"/>
          <w:szCs w:val="26"/>
          <w:rtl/>
        </w:rPr>
        <w:t>309.41</w:t>
      </w:r>
      <w:r w:rsidRPr="006C1D3A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E241CF" w:rsidRPr="006C1D3A">
        <w:rPr>
          <w:rFonts w:ascii="Simplified Arabic" w:hAnsi="Simplified Arabic" w:cs="Simplified Arabic"/>
          <w:sz w:val="26"/>
          <w:szCs w:val="26"/>
          <w:rtl/>
        </w:rPr>
        <w:t xml:space="preserve">في قطاع غزة، </w:t>
      </w:r>
      <w:r w:rsidR="007E4B2C" w:rsidRPr="006C1D3A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4F3015" w:rsidRPr="006C1D3A">
        <w:rPr>
          <w:rFonts w:ascii="Simplified Arabic" w:hAnsi="Simplified Arabic" w:cs="Simplified Arabic"/>
          <w:sz w:val="26"/>
          <w:szCs w:val="26"/>
          <w:rtl/>
        </w:rPr>
        <w:t>3.</w:t>
      </w:r>
      <w:r w:rsidR="0010621D" w:rsidRPr="006C1D3A">
        <w:rPr>
          <w:rFonts w:ascii="Simplified Arabic" w:hAnsi="Simplified Arabic" w:cs="Simplified Arabic"/>
          <w:sz w:val="26"/>
          <w:szCs w:val="26"/>
          <w:rtl/>
        </w:rPr>
        <w:t>03</w:t>
      </w:r>
      <w:r w:rsidR="007E4B2C" w:rsidRPr="006C1D3A">
        <w:rPr>
          <w:rFonts w:ascii="Simplified Arabic" w:hAnsi="Simplified Arabic" w:cs="Simplified Arabic"/>
          <w:sz w:val="26"/>
          <w:szCs w:val="26"/>
          <w:rtl/>
        </w:rPr>
        <w:t xml:space="preserve">% في القدس </w:t>
      </w:r>
      <w:r w:rsidR="007E4B2C" w:rsidRPr="006C1D3A">
        <w:rPr>
          <w:rFonts w:ascii="Simplified Arabic" w:hAnsi="Simplified Arabic" w:cs="Simplified Arabic"/>
          <w:sz w:val="26"/>
          <w:szCs w:val="26"/>
        </w:rPr>
        <w:t>J1</w:t>
      </w:r>
      <w:r w:rsidR="007E4B2C" w:rsidRPr="006C1D3A">
        <w:rPr>
          <w:rFonts w:ascii="Simplified Arabic" w:hAnsi="Simplified Arabic" w:cs="Simplified Arabic"/>
          <w:sz w:val="26"/>
          <w:szCs w:val="26"/>
          <w:rtl/>
        </w:rPr>
        <w:t xml:space="preserve">*، </w:t>
      </w:r>
      <w:r w:rsidR="008D5630" w:rsidRPr="006C1D3A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10621D" w:rsidRPr="006C1D3A">
        <w:rPr>
          <w:rFonts w:ascii="Simplified Arabic" w:hAnsi="Simplified Arabic" w:cs="Simplified Arabic"/>
          <w:sz w:val="26"/>
          <w:szCs w:val="26"/>
          <w:rtl/>
        </w:rPr>
        <w:t>1.85</w:t>
      </w:r>
      <w:r w:rsidR="008D5630" w:rsidRPr="006C1D3A">
        <w:rPr>
          <w:rFonts w:ascii="Simplified Arabic" w:hAnsi="Simplified Arabic" w:cs="Simplified Arabic"/>
          <w:sz w:val="26"/>
          <w:szCs w:val="26"/>
          <w:rtl/>
        </w:rPr>
        <w:t>% في الضفة الغر</w:t>
      </w:r>
      <w:r w:rsidR="007E4B2C" w:rsidRPr="006C1D3A">
        <w:rPr>
          <w:rFonts w:ascii="Simplified Arabic" w:hAnsi="Simplified Arabic" w:cs="Simplified Arabic"/>
          <w:sz w:val="26"/>
          <w:szCs w:val="26"/>
          <w:rtl/>
        </w:rPr>
        <w:t>بية**</w:t>
      </w:r>
      <w:r w:rsidR="008658D6" w:rsidRPr="006C1D3A">
        <w:rPr>
          <w:rFonts w:ascii="Simplified Arabic" w:hAnsi="Simplified Arabic" w:cs="Simplified Arabic"/>
          <w:sz w:val="26"/>
          <w:szCs w:val="26"/>
          <w:rtl/>
        </w:rPr>
        <w:t>)</w:t>
      </w:r>
      <w:r w:rsidRPr="006C1D3A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633D32" w:rsidRPr="006C1D3A" w:rsidRDefault="00633D32" w:rsidP="007B0732">
      <w:pPr>
        <w:jc w:val="both"/>
        <w:rPr>
          <w:rFonts w:ascii="Simplified Arabic" w:hAnsi="Simplified Arabic" w:cs="Simplified Arabic"/>
          <w:sz w:val="26"/>
          <w:szCs w:val="26"/>
        </w:rPr>
      </w:pPr>
    </w:p>
    <w:p w:rsidR="003421C1" w:rsidRPr="007A37CF" w:rsidRDefault="003421C1" w:rsidP="003421C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A37CF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المستهلك على مستوى المناطق الفلسطينية</w:t>
      </w:r>
      <w:r w:rsidR="00295D95" w:rsidRPr="007A37CF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7A37CF" w:rsidRPr="006C1D3A" w:rsidRDefault="007A37CF" w:rsidP="003421C1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B06977" w:rsidRPr="007A37CF" w:rsidRDefault="00B06977" w:rsidP="00B06977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7A37CF">
        <w:rPr>
          <w:rFonts w:ascii="Simplified Arabic" w:hAnsi="Simplified Arabic" w:cs="Simplified Arabic"/>
          <w:b/>
          <w:bCs/>
          <w:sz w:val="28"/>
          <w:szCs w:val="28"/>
          <w:rtl/>
        </w:rPr>
        <w:t>ارتفاع</w:t>
      </w:r>
      <w:r w:rsidR="0010557C" w:rsidRPr="007A37C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حاد في</w:t>
      </w:r>
      <w:r w:rsidR="00195EBF" w:rsidRPr="007A37C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D559DE" w:rsidRPr="007A37CF">
        <w:rPr>
          <w:rFonts w:ascii="Simplified Arabic" w:hAnsi="Simplified Arabic" w:cs="Simplified Arabic"/>
          <w:b/>
          <w:bCs/>
          <w:sz w:val="28"/>
          <w:szCs w:val="28"/>
          <w:rtl/>
        </w:rPr>
        <w:t>مؤشر غلاء المعيشة</w:t>
      </w:r>
      <w:r w:rsidR="00195EBF" w:rsidRPr="007A37C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D559DE" w:rsidRPr="007A37CF">
        <w:rPr>
          <w:rFonts w:ascii="Simplified Arabic" w:hAnsi="Simplified Arabic" w:cs="Simplified Arabic"/>
          <w:b/>
          <w:bCs/>
          <w:sz w:val="28"/>
          <w:szCs w:val="28"/>
          <w:rtl/>
        </w:rPr>
        <w:t>ل</w:t>
      </w:r>
      <w:r w:rsidR="00C77AE4" w:rsidRPr="007A37CF">
        <w:rPr>
          <w:rFonts w:ascii="Simplified Arabic" w:hAnsi="Simplified Arabic" w:cs="Simplified Arabic"/>
          <w:b/>
          <w:bCs/>
          <w:sz w:val="28"/>
          <w:szCs w:val="28"/>
          <w:rtl/>
        </w:rPr>
        <w:t>قطاع غزة</w:t>
      </w:r>
    </w:p>
    <w:p w:rsidR="00617600" w:rsidRPr="006C1D3A" w:rsidRDefault="0087262D" w:rsidP="005D767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C1D3A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</w:t>
      </w:r>
      <w:r w:rsidR="00B06977"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="009772A8" w:rsidRPr="006C1D3A">
        <w:rPr>
          <w:rFonts w:ascii="Simplified Arabic" w:hAnsi="Simplified Arabic" w:cs="Simplified Arabic"/>
          <w:sz w:val="26"/>
          <w:szCs w:val="26"/>
        </w:rPr>
        <w:t xml:space="preserve"> </w:t>
      </w:r>
      <w:r w:rsidR="0010557C"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حاداً </w:t>
      </w:r>
      <w:r w:rsidR="00B06977"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195EBF" w:rsidRPr="006C1D3A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5D767C"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>19.84</w:t>
      </w:r>
      <w:r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Pr="006C1D3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77364" w:rsidRPr="006C1D3A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5D767C" w:rsidRPr="006C1D3A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="00277364" w:rsidRPr="006C1D3A">
        <w:rPr>
          <w:rFonts w:ascii="Simplified Arabic" w:hAnsi="Simplified Arabic" w:cs="Simplified Arabic"/>
          <w:sz w:val="26"/>
          <w:szCs w:val="26"/>
          <w:rtl/>
        </w:rPr>
        <w:t xml:space="preserve"> 2024 مقارنة </w:t>
      </w:r>
      <w:r w:rsidR="000F7084" w:rsidRPr="006C1D3A">
        <w:rPr>
          <w:rFonts w:ascii="Simplified Arabic" w:hAnsi="Simplified Arabic" w:cs="Simplified Arabic"/>
          <w:sz w:val="26"/>
          <w:szCs w:val="26"/>
          <w:rtl/>
        </w:rPr>
        <w:t xml:space="preserve">مع شهر </w:t>
      </w:r>
      <w:r w:rsidR="005D767C" w:rsidRPr="006C1D3A">
        <w:rPr>
          <w:rFonts w:ascii="Simplified Arabic" w:hAnsi="Simplified Arabic" w:cs="Simplified Arabic"/>
          <w:sz w:val="26"/>
          <w:szCs w:val="26"/>
          <w:rtl/>
        </w:rPr>
        <w:t>أيلول</w:t>
      </w:r>
      <w:r w:rsidR="000F7084" w:rsidRPr="006C1D3A">
        <w:rPr>
          <w:rFonts w:ascii="Simplified Arabic" w:hAnsi="Simplified Arabic" w:cs="Simplified Arabic"/>
          <w:sz w:val="26"/>
          <w:szCs w:val="26"/>
          <w:rtl/>
        </w:rPr>
        <w:t xml:space="preserve"> 2024</w:t>
      </w:r>
      <w:r w:rsidR="00166DB5" w:rsidRPr="006C1D3A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6C1D3A" w:rsidRDefault="006C1D3A" w:rsidP="00A2715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5A2547" w:rsidRDefault="004E167E" w:rsidP="00A2715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C1D3A">
        <w:rPr>
          <w:rFonts w:ascii="Simplified Arabic" w:hAnsi="Simplified Arabic" w:cs="Simplified Arabic"/>
          <w:sz w:val="26"/>
          <w:szCs w:val="26"/>
          <w:rtl/>
        </w:rPr>
        <w:t xml:space="preserve">يعود </w:t>
      </w:r>
      <w:r w:rsidR="000F7084" w:rsidRPr="006C1D3A">
        <w:rPr>
          <w:rFonts w:ascii="Simplified Arabic" w:hAnsi="Simplified Arabic" w:cs="Simplified Arabic"/>
          <w:sz w:val="26"/>
          <w:szCs w:val="26"/>
          <w:rtl/>
        </w:rPr>
        <w:t xml:space="preserve">السبب </w:t>
      </w:r>
      <w:r w:rsidR="00252F85" w:rsidRPr="006C1D3A">
        <w:rPr>
          <w:rFonts w:ascii="Simplified Arabic" w:hAnsi="Simplified Arabic" w:cs="Simplified Arabic"/>
          <w:sz w:val="26"/>
          <w:szCs w:val="26"/>
          <w:rtl/>
        </w:rPr>
        <w:t xml:space="preserve">الرئيسي </w:t>
      </w:r>
      <w:r w:rsidR="00B06977" w:rsidRPr="006C1D3A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="00195EBF" w:rsidRPr="006C1D3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C1D3A">
        <w:rPr>
          <w:rFonts w:ascii="Simplified Arabic" w:hAnsi="Simplified Arabic" w:cs="Simplified Arabic"/>
          <w:sz w:val="26"/>
          <w:szCs w:val="26"/>
          <w:rtl/>
        </w:rPr>
        <w:t>مؤشر غلاء المعيشة</w:t>
      </w:r>
      <w:r w:rsidR="00252F85" w:rsidRPr="006C1D3A">
        <w:rPr>
          <w:rFonts w:ascii="Simplified Arabic" w:hAnsi="Simplified Arabic" w:cs="Simplified Arabic"/>
          <w:sz w:val="26"/>
          <w:szCs w:val="26"/>
          <w:rtl/>
        </w:rPr>
        <w:t xml:space="preserve"> في</w:t>
      </w:r>
      <w:r w:rsidR="00195EBF" w:rsidRPr="006C1D3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52F85" w:rsidRPr="006C1D3A">
        <w:rPr>
          <w:rFonts w:ascii="Simplified Arabic" w:hAnsi="Simplified Arabic" w:cs="Simplified Arabic"/>
          <w:sz w:val="26"/>
          <w:szCs w:val="26"/>
          <w:rtl/>
        </w:rPr>
        <w:t xml:space="preserve">قطاع غزة </w:t>
      </w:r>
      <w:r w:rsidR="00FF00FF" w:rsidRPr="006C1D3A">
        <w:rPr>
          <w:rFonts w:ascii="Simplified Arabic" w:hAnsi="Simplified Arabic" w:cs="Simplified Arabic"/>
          <w:sz w:val="26"/>
          <w:szCs w:val="26"/>
          <w:rtl/>
        </w:rPr>
        <w:t>إلى</w:t>
      </w:r>
      <w:r w:rsidR="00195EBF" w:rsidRPr="006C1D3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6977" w:rsidRPr="006C1D3A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195EBF" w:rsidRPr="006C1D3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F7084" w:rsidRPr="006C1D3A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252F85" w:rsidRPr="006C1D3A">
        <w:rPr>
          <w:rFonts w:ascii="Simplified Arabic" w:hAnsi="Simplified Arabic" w:cs="Simplified Arabic"/>
          <w:sz w:val="26"/>
          <w:szCs w:val="26"/>
          <w:rtl/>
        </w:rPr>
        <w:t>السلع</w:t>
      </w:r>
      <w:r w:rsidR="00195EBF" w:rsidRPr="006C1D3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C1D3A">
        <w:rPr>
          <w:rFonts w:ascii="Simplified Arabic" w:hAnsi="Simplified Arabic" w:cs="Simplified Arabic"/>
          <w:sz w:val="26"/>
          <w:szCs w:val="26"/>
          <w:rtl/>
        </w:rPr>
        <w:t xml:space="preserve">ضمن المجموعات الفرعية </w:t>
      </w:r>
      <w:r w:rsidR="000F7084" w:rsidRPr="006C1D3A">
        <w:rPr>
          <w:rFonts w:ascii="Simplified Arabic" w:hAnsi="Simplified Arabic" w:cs="Simplified Arabic"/>
          <w:sz w:val="26"/>
          <w:szCs w:val="26"/>
          <w:rtl/>
        </w:rPr>
        <w:t>ال</w:t>
      </w:r>
      <w:r w:rsidRPr="006C1D3A">
        <w:rPr>
          <w:rFonts w:ascii="Simplified Arabic" w:hAnsi="Simplified Arabic" w:cs="Simplified Arabic"/>
          <w:sz w:val="26"/>
          <w:szCs w:val="26"/>
          <w:rtl/>
        </w:rPr>
        <w:t>آتية</w:t>
      </w:r>
      <w:r w:rsidR="005C211C" w:rsidRPr="006C1D3A">
        <w:rPr>
          <w:rFonts w:ascii="Simplified Arabic" w:hAnsi="Simplified Arabic" w:cs="Simplified Arabic"/>
          <w:sz w:val="26"/>
          <w:szCs w:val="26"/>
          <w:rtl/>
        </w:rPr>
        <w:t xml:space="preserve"> رغم </w:t>
      </w:r>
      <w:r w:rsidR="00A27150" w:rsidRPr="006C1D3A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5C211C" w:rsidRPr="006C1D3A">
        <w:rPr>
          <w:rFonts w:ascii="Simplified Arabic" w:hAnsi="Simplified Arabic" w:cs="Simplified Arabic"/>
          <w:sz w:val="26"/>
          <w:szCs w:val="26"/>
          <w:rtl/>
        </w:rPr>
        <w:t xml:space="preserve"> مجموعات فرعية أخرى</w:t>
      </w:r>
      <w:r w:rsidR="00252F85" w:rsidRPr="006C1D3A">
        <w:rPr>
          <w:rFonts w:ascii="Simplified Arabic" w:hAnsi="Simplified Arabic" w:cs="Simplified Arabic"/>
          <w:sz w:val="26"/>
          <w:szCs w:val="26"/>
          <w:rtl/>
        </w:rPr>
        <w:t>:</w:t>
      </w:r>
    </w:p>
    <w:p w:rsidR="007A37CF" w:rsidRDefault="007A37CF" w:rsidP="00A2715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7A37CF" w:rsidRDefault="007A37CF" w:rsidP="00A2715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7A37CF" w:rsidRDefault="007A37CF" w:rsidP="00A2715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7A37CF" w:rsidRDefault="007A37CF" w:rsidP="00A2715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7A37CF" w:rsidRDefault="007A37CF" w:rsidP="00A2715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7A37CF" w:rsidRDefault="007A37CF" w:rsidP="00A2715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7A37CF" w:rsidRDefault="007A37CF" w:rsidP="00A2715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tbl>
      <w:tblPr>
        <w:tblW w:w="757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2726"/>
      </w:tblGrid>
      <w:tr w:rsidR="00B53978" w:rsidRPr="006C1D3A" w:rsidTr="006C1D3A">
        <w:trPr>
          <w:trHeight w:hRule="exact" w:val="772"/>
          <w:tblHeader/>
          <w:jc w:val="right"/>
        </w:trPr>
        <w:tc>
          <w:tcPr>
            <w:tcW w:w="4845" w:type="dxa"/>
            <w:vAlign w:val="center"/>
          </w:tcPr>
          <w:p w:rsidR="006176B6" w:rsidRDefault="000F7084" w:rsidP="006C1D3A">
            <w:pPr>
              <w:pStyle w:val="BodyText3"/>
              <w:spacing w:after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552EB">
              <w:rPr>
                <w:rFonts w:hint="cs"/>
                <w:b/>
                <w:bCs/>
                <w:sz w:val="26"/>
                <w:szCs w:val="26"/>
                <w:rtl/>
              </w:rPr>
              <w:lastRenderedPageBreak/>
              <w:t>نسبة التغير</w:t>
            </w:r>
            <w:r w:rsidR="004E167E" w:rsidRPr="007552EB">
              <w:rPr>
                <w:rFonts w:hint="cs"/>
                <w:b/>
                <w:bCs/>
                <w:sz w:val="26"/>
                <w:szCs w:val="26"/>
                <w:rtl/>
              </w:rPr>
              <w:t xml:space="preserve"> الشهرية لشهر </w:t>
            </w:r>
            <w:r w:rsidR="005D767C" w:rsidRPr="007552EB">
              <w:rPr>
                <w:rFonts w:hint="cs"/>
                <w:b/>
                <w:bCs/>
                <w:sz w:val="26"/>
                <w:szCs w:val="26"/>
                <w:rtl/>
              </w:rPr>
              <w:t>تشرين أول</w:t>
            </w:r>
            <w:r w:rsidR="004E167E" w:rsidRPr="007552EB">
              <w:rPr>
                <w:rFonts w:hint="cs"/>
                <w:b/>
                <w:bCs/>
                <w:sz w:val="26"/>
                <w:szCs w:val="26"/>
                <w:rtl/>
              </w:rPr>
              <w:t xml:space="preserve"> 2024</w:t>
            </w:r>
          </w:p>
          <w:p w:rsidR="000F7084" w:rsidRPr="007552EB" w:rsidRDefault="000F7084" w:rsidP="006C1D3A">
            <w:pPr>
              <w:pStyle w:val="BodyText3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7552EB">
              <w:rPr>
                <w:rFonts w:hint="cs"/>
                <w:b/>
                <w:bCs/>
                <w:sz w:val="26"/>
                <w:szCs w:val="26"/>
                <w:rtl/>
              </w:rPr>
              <w:t xml:space="preserve"> %</w:t>
            </w:r>
          </w:p>
        </w:tc>
        <w:tc>
          <w:tcPr>
            <w:tcW w:w="2726" w:type="dxa"/>
            <w:vAlign w:val="center"/>
          </w:tcPr>
          <w:p w:rsidR="000F7084" w:rsidRPr="007552EB" w:rsidRDefault="004E167E" w:rsidP="006C1D3A">
            <w:pPr>
              <w:pStyle w:val="BodyText3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7552EB">
              <w:rPr>
                <w:rFonts w:hint="cs"/>
                <w:b/>
                <w:bCs/>
                <w:sz w:val="26"/>
                <w:szCs w:val="26"/>
                <w:rtl/>
              </w:rPr>
              <w:t>المجموعات الفرعية</w:t>
            </w:r>
          </w:p>
        </w:tc>
      </w:tr>
      <w:tr w:rsidR="00531ED3" w:rsidRPr="006C1D3A" w:rsidTr="006C1D3A">
        <w:trPr>
          <w:trHeight w:hRule="exact" w:val="537"/>
          <w:jc w:val="right"/>
        </w:trPr>
        <w:tc>
          <w:tcPr>
            <w:tcW w:w="4845" w:type="dxa"/>
          </w:tcPr>
          <w:p w:rsidR="00531ED3" w:rsidRPr="006C1D3A" w:rsidRDefault="00531ED3" w:rsidP="00531ED3">
            <w:pPr>
              <w:rPr>
                <w:b/>
                <w:bCs/>
              </w:rPr>
            </w:pPr>
            <w:r w:rsidRPr="006C1D3A">
              <w:rPr>
                <w:b/>
                <w:bCs/>
              </w:rPr>
              <w:t>237.50%</w:t>
            </w:r>
            <w:r w:rsidRPr="006C1D3A">
              <w:rPr>
                <w:rFonts w:hint="cs"/>
                <w:b/>
                <w:bCs/>
                <w:rtl/>
              </w:rPr>
              <w:t>+</w:t>
            </w:r>
          </w:p>
        </w:tc>
        <w:tc>
          <w:tcPr>
            <w:tcW w:w="2726" w:type="dxa"/>
          </w:tcPr>
          <w:p w:rsidR="00531ED3" w:rsidRPr="006C1D3A" w:rsidRDefault="00531ED3" w:rsidP="00531ED3">
            <w:pPr>
              <w:rPr>
                <w:b/>
                <w:bCs/>
                <w:rtl/>
              </w:rPr>
            </w:pPr>
            <w:r w:rsidRPr="006C1D3A">
              <w:rPr>
                <w:rFonts w:hint="cs"/>
                <w:b/>
                <w:bCs/>
                <w:rtl/>
              </w:rPr>
              <w:t>السميد</w:t>
            </w:r>
          </w:p>
        </w:tc>
      </w:tr>
      <w:tr w:rsidR="003B5F6C" w:rsidRPr="006C1D3A" w:rsidTr="006C1D3A">
        <w:trPr>
          <w:trHeight w:hRule="exact" w:val="537"/>
          <w:jc w:val="right"/>
        </w:trPr>
        <w:tc>
          <w:tcPr>
            <w:tcW w:w="4845" w:type="dxa"/>
          </w:tcPr>
          <w:p w:rsidR="003B5F6C" w:rsidRPr="006C1D3A" w:rsidRDefault="003B5F6C" w:rsidP="003B5F6C">
            <w:pPr>
              <w:rPr>
                <w:b/>
                <w:bCs/>
                <w:rtl/>
              </w:rPr>
            </w:pPr>
            <w:r w:rsidRPr="006C1D3A">
              <w:rPr>
                <w:b/>
                <w:bCs/>
              </w:rPr>
              <w:t>+197.07%</w:t>
            </w:r>
          </w:p>
        </w:tc>
        <w:tc>
          <w:tcPr>
            <w:tcW w:w="2726" w:type="dxa"/>
          </w:tcPr>
          <w:p w:rsidR="003B5F6C" w:rsidRPr="006C1D3A" w:rsidRDefault="003B5F6C" w:rsidP="003B5F6C">
            <w:pPr>
              <w:rPr>
                <w:b/>
                <w:bCs/>
                <w:rtl/>
              </w:rPr>
            </w:pPr>
            <w:r w:rsidRPr="006C1D3A">
              <w:rPr>
                <w:b/>
                <w:bCs/>
                <w:rtl/>
              </w:rPr>
              <w:t>الغاز</w:t>
            </w:r>
          </w:p>
        </w:tc>
      </w:tr>
      <w:tr w:rsidR="003B5F6C" w:rsidRPr="006C1D3A" w:rsidTr="006C1D3A">
        <w:trPr>
          <w:trHeight w:hRule="exact" w:val="537"/>
          <w:jc w:val="right"/>
        </w:trPr>
        <w:tc>
          <w:tcPr>
            <w:tcW w:w="4845" w:type="dxa"/>
          </w:tcPr>
          <w:p w:rsidR="003B5F6C" w:rsidRPr="006C1D3A" w:rsidRDefault="003B5F6C" w:rsidP="003B5F6C">
            <w:pPr>
              <w:rPr>
                <w:b/>
                <w:bCs/>
              </w:rPr>
            </w:pPr>
            <w:r w:rsidRPr="006C1D3A">
              <w:rPr>
                <w:b/>
                <w:bCs/>
              </w:rPr>
              <w:t>165.22%</w:t>
            </w:r>
            <w:r w:rsidRPr="006C1D3A">
              <w:rPr>
                <w:rFonts w:hint="cs"/>
                <w:b/>
                <w:bCs/>
                <w:rtl/>
              </w:rPr>
              <w:t>+</w:t>
            </w:r>
          </w:p>
        </w:tc>
        <w:tc>
          <w:tcPr>
            <w:tcW w:w="2726" w:type="dxa"/>
          </w:tcPr>
          <w:p w:rsidR="003B5F6C" w:rsidRPr="006C1D3A" w:rsidRDefault="003B5F6C" w:rsidP="003B5F6C">
            <w:pPr>
              <w:rPr>
                <w:b/>
                <w:bCs/>
                <w:rtl/>
              </w:rPr>
            </w:pPr>
            <w:r w:rsidRPr="006C1D3A">
              <w:rPr>
                <w:rFonts w:hint="cs"/>
                <w:b/>
                <w:bCs/>
                <w:rtl/>
              </w:rPr>
              <w:t>البقوليات</w:t>
            </w:r>
          </w:p>
        </w:tc>
      </w:tr>
      <w:tr w:rsidR="009F1D86" w:rsidRPr="006C1D3A" w:rsidTr="006C1D3A">
        <w:trPr>
          <w:trHeight w:hRule="exact" w:val="537"/>
          <w:jc w:val="right"/>
        </w:trPr>
        <w:tc>
          <w:tcPr>
            <w:tcW w:w="4845" w:type="dxa"/>
          </w:tcPr>
          <w:p w:rsidR="009F1D86" w:rsidRPr="006C1D3A" w:rsidRDefault="009F1D86" w:rsidP="009F1D86">
            <w:pPr>
              <w:rPr>
                <w:b/>
                <w:bCs/>
              </w:rPr>
            </w:pPr>
            <w:r w:rsidRPr="006C1D3A">
              <w:rPr>
                <w:b/>
                <w:bCs/>
              </w:rPr>
              <w:t>161.48%</w:t>
            </w:r>
            <w:r w:rsidRPr="006C1D3A">
              <w:rPr>
                <w:rFonts w:hint="cs"/>
                <w:b/>
                <w:bCs/>
                <w:rtl/>
              </w:rPr>
              <w:t>+</w:t>
            </w:r>
          </w:p>
        </w:tc>
        <w:tc>
          <w:tcPr>
            <w:tcW w:w="2726" w:type="dxa"/>
          </w:tcPr>
          <w:p w:rsidR="009F1D86" w:rsidRPr="006C1D3A" w:rsidRDefault="009F1D86" w:rsidP="009F1D86">
            <w:pPr>
              <w:rPr>
                <w:b/>
                <w:bCs/>
                <w:rtl/>
              </w:rPr>
            </w:pPr>
            <w:r w:rsidRPr="006C1D3A">
              <w:rPr>
                <w:rFonts w:hint="cs"/>
                <w:b/>
                <w:bCs/>
                <w:rtl/>
              </w:rPr>
              <w:t>الخضروات المجففة</w:t>
            </w:r>
          </w:p>
        </w:tc>
      </w:tr>
      <w:tr w:rsidR="00531ED3" w:rsidRPr="006C1D3A" w:rsidTr="006C1D3A">
        <w:trPr>
          <w:trHeight w:hRule="exact" w:val="537"/>
          <w:jc w:val="right"/>
        </w:trPr>
        <w:tc>
          <w:tcPr>
            <w:tcW w:w="4845" w:type="dxa"/>
          </w:tcPr>
          <w:p w:rsidR="00531ED3" w:rsidRPr="006C1D3A" w:rsidRDefault="00531ED3" w:rsidP="00531ED3">
            <w:pPr>
              <w:rPr>
                <w:b/>
                <w:bCs/>
              </w:rPr>
            </w:pPr>
            <w:r w:rsidRPr="006C1D3A">
              <w:rPr>
                <w:b/>
                <w:bCs/>
              </w:rPr>
              <w:t>136.92%</w:t>
            </w:r>
            <w:r w:rsidRPr="006C1D3A">
              <w:rPr>
                <w:rFonts w:hint="cs"/>
                <w:b/>
                <w:bCs/>
                <w:rtl/>
              </w:rPr>
              <w:t>+</w:t>
            </w:r>
          </w:p>
        </w:tc>
        <w:tc>
          <w:tcPr>
            <w:tcW w:w="2726" w:type="dxa"/>
          </w:tcPr>
          <w:p w:rsidR="00531ED3" w:rsidRPr="006C1D3A" w:rsidRDefault="00531ED3" w:rsidP="00531ED3">
            <w:pPr>
              <w:rPr>
                <w:b/>
                <w:bCs/>
                <w:rtl/>
              </w:rPr>
            </w:pPr>
            <w:r w:rsidRPr="006C1D3A">
              <w:rPr>
                <w:rFonts w:hint="cs"/>
                <w:b/>
                <w:bCs/>
                <w:rtl/>
              </w:rPr>
              <w:t>الزيوت النباتية</w:t>
            </w:r>
          </w:p>
        </w:tc>
      </w:tr>
      <w:tr w:rsidR="00FB24A4" w:rsidRPr="006C1D3A" w:rsidTr="006C1D3A">
        <w:trPr>
          <w:trHeight w:hRule="exact" w:val="537"/>
          <w:jc w:val="right"/>
        </w:trPr>
        <w:tc>
          <w:tcPr>
            <w:tcW w:w="4845" w:type="dxa"/>
          </w:tcPr>
          <w:p w:rsidR="00FB24A4" w:rsidRPr="006C1D3A" w:rsidRDefault="00FB24A4" w:rsidP="00FB24A4">
            <w:pPr>
              <w:rPr>
                <w:b/>
                <w:bCs/>
              </w:rPr>
            </w:pPr>
            <w:r w:rsidRPr="006C1D3A">
              <w:rPr>
                <w:b/>
                <w:bCs/>
              </w:rPr>
              <w:t>116.61%</w:t>
            </w:r>
            <w:r w:rsidRPr="006C1D3A">
              <w:rPr>
                <w:rFonts w:hint="cs"/>
                <w:b/>
                <w:bCs/>
                <w:rtl/>
              </w:rPr>
              <w:t>+</w:t>
            </w:r>
          </w:p>
        </w:tc>
        <w:tc>
          <w:tcPr>
            <w:tcW w:w="2726" w:type="dxa"/>
          </w:tcPr>
          <w:p w:rsidR="00FB24A4" w:rsidRPr="006C1D3A" w:rsidRDefault="00FB24A4" w:rsidP="00FB24A4">
            <w:pPr>
              <w:rPr>
                <w:b/>
                <w:bCs/>
                <w:rtl/>
              </w:rPr>
            </w:pPr>
            <w:r w:rsidRPr="006C1D3A">
              <w:rPr>
                <w:rFonts w:hint="cs"/>
                <w:b/>
                <w:bCs/>
                <w:rtl/>
              </w:rPr>
              <w:t>بدائل السكر وسكريات أخرى</w:t>
            </w:r>
          </w:p>
        </w:tc>
      </w:tr>
      <w:tr w:rsidR="00531ED3" w:rsidRPr="006C1D3A" w:rsidTr="006C1D3A">
        <w:trPr>
          <w:trHeight w:hRule="exact" w:val="537"/>
          <w:jc w:val="right"/>
        </w:trPr>
        <w:tc>
          <w:tcPr>
            <w:tcW w:w="4845" w:type="dxa"/>
          </w:tcPr>
          <w:p w:rsidR="00531ED3" w:rsidRPr="006C1D3A" w:rsidRDefault="00531ED3" w:rsidP="00531ED3">
            <w:pPr>
              <w:rPr>
                <w:b/>
                <w:bCs/>
                <w:rtl/>
              </w:rPr>
            </w:pPr>
            <w:r w:rsidRPr="006C1D3A">
              <w:rPr>
                <w:b/>
                <w:bCs/>
              </w:rPr>
              <w:t>113.30%</w:t>
            </w:r>
            <w:r w:rsidRPr="006C1D3A">
              <w:rPr>
                <w:rFonts w:hint="cs"/>
                <w:b/>
                <w:bCs/>
                <w:rtl/>
              </w:rPr>
              <w:t>+</w:t>
            </w:r>
          </w:p>
        </w:tc>
        <w:tc>
          <w:tcPr>
            <w:tcW w:w="2726" w:type="dxa"/>
          </w:tcPr>
          <w:p w:rsidR="00531ED3" w:rsidRPr="006C1D3A" w:rsidRDefault="00531ED3" w:rsidP="00531ED3">
            <w:pPr>
              <w:rPr>
                <w:b/>
                <w:bCs/>
                <w:rtl/>
              </w:rPr>
            </w:pPr>
            <w:r w:rsidRPr="006C1D3A">
              <w:rPr>
                <w:rFonts w:hint="cs"/>
                <w:b/>
                <w:bCs/>
                <w:rtl/>
              </w:rPr>
              <w:t>الدجاج</w:t>
            </w:r>
          </w:p>
        </w:tc>
      </w:tr>
      <w:tr w:rsidR="009F1D86" w:rsidRPr="006C1D3A" w:rsidTr="006C1D3A">
        <w:trPr>
          <w:trHeight w:hRule="exact" w:val="537"/>
          <w:jc w:val="right"/>
        </w:trPr>
        <w:tc>
          <w:tcPr>
            <w:tcW w:w="4845" w:type="dxa"/>
          </w:tcPr>
          <w:p w:rsidR="009F1D86" w:rsidRPr="006C1D3A" w:rsidRDefault="009F1D86" w:rsidP="009F1D86">
            <w:pPr>
              <w:rPr>
                <w:b/>
                <w:bCs/>
              </w:rPr>
            </w:pPr>
            <w:r w:rsidRPr="006C1D3A">
              <w:rPr>
                <w:b/>
                <w:bCs/>
              </w:rPr>
              <w:t>90.78%</w:t>
            </w:r>
            <w:r w:rsidRPr="006C1D3A">
              <w:rPr>
                <w:rFonts w:hint="cs"/>
                <w:b/>
                <w:bCs/>
                <w:rtl/>
              </w:rPr>
              <w:t>+</w:t>
            </w:r>
          </w:p>
        </w:tc>
        <w:tc>
          <w:tcPr>
            <w:tcW w:w="2726" w:type="dxa"/>
          </w:tcPr>
          <w:p w:rsidR="009F1D86" w:rsidRPr="006C1D3A" w:rsidRDefault="009F1D86" w:rsidP="009F1D86">
            <w:pPr>
              <w:rPr>
                <w:b/>
                <w:bCs/>
                <w:rtl/>
              </w:rPr>
            </w:pPr>
            <w:r w:rsidRPr="006C1D3A">
              <w:rPr>
                <w:rFonts w:hint="cs"/>
                <w:b/>
                <w:bCs/>
                <w:rtl/>
              </w:rPr>
              <w:t>البطاطا</w:t>
            </w:r>
          </w:p>
        </w:tc>
      </w:tr>
      <w:tr w:rsidR="00531ED3" w:rsidRPr="006C1D3A" w:rsidTr="006C1D3A">
        <w:trPr>
          <w:trHeight w:hRule="exact" w:val="537"/>
          <w:jc w:val="right"/>
        </w:trPr>
        <w:tc>
          <w:tcPr>
            <w:tcW w:w="4845" w:type="dxa"/>
          </w:tcPr>
          <w:p w:rsidR="00531ED3" w:rsidRPr="006C1D3A" w:rsidRDefault="00531ED3" w:rsidP="00531ED3">
            <w:pPr>
              <w:rPr>
                <w:b/>
                <w:bCs/>
              </w:rPr>
            </w:pPr>
            <w:r w:rsidRPr="006C1D3A">
              <w:rPr>
                <w:b/>
                <w:bCs/>
              </w:rPr>
              <w:t>+87.11%</w:t>
            </w:r>
          </w:p>
        </w:tc>
        <w:tc>
          <w:tcPr>
            <w:tcW w:w="2726" w:type="dxa"/>
          </w:tcPr>
          <w:p w:rsidR="00531ED3" w:rsidRPr="006C1D3A" w:rsidRDefault="00531ED3" w:rsidP="00531ED3">
            <w:pPr>
              <w:rPr>
                <w:b/>
                <w:bCs/>
                <w:rtl/>
              </w:rPr>
            </w:pPr>
            <w:r w:rsidRPr="006C1D3A">
              <w:rPr>
                <w:rFonts w:hint="cs"/>
                <w:b/>
                <w:bCs/>
                <w:rtl/>
              </w:rPr>
              <w:t xml:space="preserve">البيض </w:t>
            </w:r>
          </w:p>
        </w:tc>
      </w:tr>
      <w:tr w:rsidR="003B5F6C" w:rsidRPr="006C1D3A" w:rsidTr="006C1D3A">
        <w:trPr>
          <w:trHeight w:hRule="exact" w:val="537"/>
          <w:jc w:val="right"/>
        </w:trPr>
        <w:tc>
          <w:tcPr>
            <w:tcW w:w="4845" w:type="dxa"/>
          </w:tcPr>
          <w:p w:rsidR="003B5F6C" w:rsidRPr="006C1D3A" w:rsidRDefault="003B5F6C" w:rsidP="003B5F6C">
            <w:pPr>
              <w:rPr>
                <w:b/>
                <w:bCs/>
              </w:rPr>
            </w:pPr>
            <w:r w:rsidRPr="006C1D3A">
              <w:rPr>
                <w:b/>
                <w:bCs/>
              </w:rPr>
              <w:t>+62.34%</w:t>
            </w:r>
          </w:p>
        </w:tc>
        <w:tc>
          <w:tcPr>
            <w:tcW w:w="2726" w:type="dxa"/>
          </w:tcPr>
          <w:p w:rsidR="003B5F6C" w:rsidRPr="006C1D3A" w:rsidRDefault="003B5F6C" w:rsidP="003B5F6C">
            <w:pPr>
              <w:rPr>
                <w:b/>
                <w:bCs/>
                <w:rtl/>
              </w:rPr>
            </w:pPr>
            <w:r w:rsidRPr="006C1D3A">
              <w:rPr>
                <w:rFonts w:hint="cs"/>
                <w:b/>
                <w:bCs/>
                <w:rtl/>
              </w:rPr>
              <w:t>الملح</w:t>
            </w:r>
          </w:p>
        </w:tc>
      </w:tr>
      <w:tr w:rsidR="003B5F6C" w:rsidRPr="006C1D3A" w:rsidTr="006C1D3A">
        <w:trPr>
          <w:trHeight w:hRule="exact" w:val="537"/>
          <w:jc w:val="right"/>
        </w:trPr>
        <w:tc>
          <w:tcPr>
            <w:tcW w:w="4845" w:type="dxa"/>
          </w:tcPr>
          <w:p w:rsidR="003B5F6C" w:rsidRPr="006C1D3A" w:rsidRDefault="003B5F6C" w:rsidP="003B5F6C">
            <w:pPr>
              <w:rPr>
                <w:b/>
                <w:bCs/>
              </w:rPr>
            </w:pPr>
            <w:r w:rsidRPr="006C1D3A">
              <w:rPr>
                <w:b/>
                <w:bCs/>
              </w:rPr>
              <w:t>45.45%</w:t>
            </w:r>
            <w:r w:rsidRPr="006C1D3A">
              <w:rPr>
                <w:rFonts w:hint="cs"/>
                <w:b/>
                <w:bCs/>
                <w:rtl/>
              </w:rPr>
              <w:t>+</w:t>
            </w:r>
          </w:p>
        </w:tc>
        <w:tc>
          <w:tcPr>
            <w:tcW w:w="2726" w:type="dxa"/>
          </w:tcPr>
          <w:p w:rsidR="003B5F6C" w:rsidRPr="006C1D3A" w:rsidRDefault="003B5F6C" w:rsidP="003B5F6C">
            <w:pPr>
              <w:rPr>
                <w:b/>
                <w:bCs/>
                <w:rtl/>
              </w:rPr>
            </w:pPr>
            <w:r w:rsidRPr="006C1D3A">
              <w:rPr>
                <w:rFonts w:hint="cs"/>
                <w:b/>
                <w:bCs/>
                <w:rtl/>
              </w:rPr>
              <w:t>البرغل</w:t>
            </w:r>
          </w:p>
        </w:tc>
      </w:tr>
      <w:tr w:rsidR="003B5F6C" w:rsidRPr="006C1D3A" w:rsidTr="006C1D3A">
        <w:trPr>
          <w:trHeight w:hRule="exact" w:val="537"/>
          <w:jc w:val="right"/>
        </w:trPr>
        <w:tc>
          <w:tcPr>
            <w:tcW w:w="4845" w:type="dxa"/>
          </w:tcPr>
          <w:p w:rsidR="003B5F6C" w:rsidRPr="006C1D3A" w:rsidRDefault="003B5F6C" w:rsidP="003B5F6C">
            <w:pPr>
              <w:rPr>
                <w:b/>
                <w:bCs/>
              </w:rPr>
            </w:pPr>
            <w:r w:rsidRPr="006C1D3A">
              <w:rPr>
                <w:b/>
                <w:bCs/>
              </w:rPr>
              <w:t>41.67%</w:t>
            </w:r>
            <w:r w:rsidRPr="006C1D3A">
              <w:rPr>
                <w:rFonts w:hint="cs"/>
                <w:b/>
                <w:bCs/>
                <w:rtl/>
              </w:rPr>
              <w:t>+</w:t>
            </w:r>
          </w:p>
        </w:tc>
        <w:tc>
          <w:tcPr>
            <w:tcW w:w="2726" w:type="dxa"/>
          </w:tcPr>
          <w:p w:rsidR="003B5F6C" w:rsidRPr="006C1D3A" w:rsidRDefault="003B5F6C" w:rsidP="003B5F6C">
            <w:pPr>
              <w:rPr>
                <w:b/>
                <w:bCs/>
                <w:rtl/>
              </w:rPr>
            </w:pPr>
            <w:r w:rsidRPr="006C1D3A">
              <w:rPr>
                <w:b/>
                <w:bCs/>
                <w:rtl/>
              </w:rPr>
              <w:t>المياه المعدنية</w:t>
            </w:r>
          </w:p>
        </w:tc>
      </w:tr>
      <w:tr w:rsidR="003B5F6C" w:rsidRPr="006C1D3A" w:rsidTr="006C1D3A">
        <w:trPr>
          <w:trHeight w:hRule="exact" w:val="537"/>
          <w:jc w:val="right"/>
        </w:trPr>
        <w:tc>
          <w:tcPr>
            <w:tcW w:w="4845" w:type="dxa"/>
          </w:tcPr>
          <w:p w:rsidR="003B5F6C" w:rsidRPr="006C1D3A" w:rsidRDefault="003B5F6C" w:rsidP="003B5F6C">
            <w:pPr>
              <w:rPr>
                <w:b/>
                <w:bCs/>
              </w:rPr>
            </w:pPr>
            <w:r w:rsidRPr="006C1D3A">
              <w:rPr>
                <w:b/>
                <w:bCs/>
              </w:rPr>
              <w:t>38.38%</w:t>
            </w:r>
            <w:r w:rsidRPr="006C1D3A">
              <w:rPr>
                <w:rFonts w:hint="cs"/>
                <w:b/>
                <w:bCs/>
                <w:rtl/>
              </w:rPr>
              <w:t>+</w:t>
            </w:r>
          </w:p>
        </w:tc>
        <w:tc>
          <w:tcPr>
            <w:tcW w:w="2726" w:type="dxa"/>
          </w:tcPr>
          <w:p w:rsidR="003B5F6C" w:rsidRPr="006C1D3A" w:rsidRDefault="003B5F6C" w:rsidP="003B5F6C">
            <w:pPr>
              <w:rPr>
                <w:b/>
                <w:bCs/>
                <w:rtl/>
              </w:rPr>
            </w:pPr>
            <w:r w:rsidRPr="006C1D3A">
              <w:rPr>
                <w:rFonts w:hint="cs"/>
                <w:b/>
                <w:bCs/>
                <w:rtl/>
              </w:rPr>
              <w:t>القهوة</w:t>
            </w:r>
          </w:p>
        </w:tc>
      </w:tr>
      <w:tr w:rsidR="003B5F6C" w:rsidRPr="006C1D3A" w:rsidTr="006C1D3A">
        <w:trPr>
          <w:trHeight w:hRule="exact" w:val="635"/>
          <w:jc w:val="right"/>
        </w:trPr>
        <w:tc>
          <w:tcPr>
            <w:tcW w:w="4845" w:type="dxa"/>
          </w:tcPr>
          <w:p w:rsidR="003B5F6C" w:rsidRPr="006C1D3A" w:rsidRDefault="009772A8" w:rsidP="003B5F6C">
            <w:pPr>
              <w:rPr>
                <w:b/>
                <w:bCs/>
              </w:rPr>
            </w:pPr>
            <w:r w:rsidRPr="006C1D3A">
              <w:rPr>
                <w:rFonts w:hint="cs"/>
                <w:b/>
                <w:bCs/>
                <w:rtl/>
              </w:rPr>
              <w:t>33.80</w:t>
            </w:r>
            <w:r w:rsidR="003B5F6C" w:rsidRPr="006C1D3A">
              <w:rPr>
                <w:b/>
                <w:bCs/>
              </w:rPr>
              <w:t>%</w:t>
            </w:r>
            <w:r w:rsidR="003B5F6C" w:rsidRPr="006C1D3A">
              <w:rPr>
                <w:rFonts w:hint="cs"/>
                <w:b/>
                <w:bCs/>
                <w:rtl/>
              </w:rPr>
              <w:t>+</w:t>
            </w:r>
          </w:p>
        </w:tc>
        <w:tc>
          <w:tcPr>
            <w:tcW w:w="2726" w:type="dxa"/>
          </w:tcPr>
          <w:p w:rsidR="003B5F6C" w:rsidRPr="006C1D3A" w:rsidRDefault="009772A8" w:rsidP="003B5F6C">
            <w:pPr>
              <w:rPr>
                <w:b/>
                <w:bCs/>
                <w:rtl/>
              </w:rPr>
            </w:pPr>
            <w:r w:rsidRPr="006C1D3A">
              <w:rPr>
                <w:rFonts w:hint="cs"/>
                <w:b/>
                <w:bCs/>
                <w:rtl/>
              </w:rPr>
              <w:t>السمك والمأكولات البحرية الأخرى</w:t>
            </w:r>
          </w:p>
        </w:tc>
      </w:tr>
      <w:tr w:rsidR="003B5F6C" w:rsidRPr="006C1D3A" w:rsidTr="006C1D3A">
        <w:trPr>
          <w:trHeight w:hRule="exact" w:val="537"/>
          <w:jc w:val="right"/>
        </w:trPr>
        <w:tc>
          <w:tcPr>
            <w:tcW w:w="4845" w:type="dxa"/>
          </w:tcPr>
          <w:p w:rsidR="003B5F6C" w:rsidRPr="006C1D3A" w:rsidRDefault="003B5F6C" w:rsidP="003B5F6C">
            <w:pPr>
              <w:rPr>
                <w:b/>
                <w:bCs/>
              </w:rPr>
            </w:pPr>
            <w:r w:rsidRPr="006C1D3A">
              <w:rPr>
                <w:b/>
                <w:bCs/>
              </w:rPr>
              <w:t>28.87%</w:t>
            </w:r>
            <w:r w:rsidRPr="006C1D3A">
              <w:rPr>
                <w:rFonts w:hint="cs"/>
                <w:b/>
                <w:bCs/>
                <w:rtl/>
              </w:rPr>
              <w:t>+</w:t>
            </w:r>
          </w:p>
        </w:tc>
        <w:tc>
          <w:tcPr>
            <w:tcW w:w="2726" w:type="dxa"/>
          </w:tcPr>
          <w:p w:rsidR="003B5F6C" w:rsidRPr="006C1D3A" w:rsidRDefault="003B5F6C" w:rsidP="003B5F6C">
            <w:pPr>
              <w:rPr>
                <w:b/>
                <w:bCs/>
                <w:rtl/>
              </w:rPr>
            </w:pPr>
            <w:r w:rsidRPr="006C1D3A">
              <w:rPr>
                <w:rFonts w:hint="cs"/>
                <w:b/>
                <w:bCs/>
                <w:rtl/>
              </w:rPr>
              <w:t>المعكرونة</w:t>
            </w:r>
          </w:p>
        </w:tc>
      </w:tr>
      <w:tr w:rsidR="003B5F6C" w:rsidRPr="006C1D3A" w:rsidTr="007552EB">
        <w:trPr>
          <w:trHeight w:hRule="exact" w:val="723"/>
          <w:jc w:val="right"/>
        </w:trPr>
        <w:tc>
          <w:tcPr>
            <w:tcW w:w="4845" w:type="dxa"/>
          </w:tcPr>
          <w:p w:rsidR="003B5F6C" w:rsidRPr="006C1D3A" w:rsidRDefault="003B5F6C" w:rsidP="003B5F6C">
            <w:pPr>
              <w:rPr>
                <w:b/>
                <w:bCs/>
              </w:rPr>
            </w:pPr>
            <w:r w:rsidRPr="006C1D3A">
              <w:rPr>
                <w:b/>
                <w:bCs/>
              </w:rPr>
              <w:t>24.11%</w:t>
            </w:r>
            <w:r w:rsidRPr="006C1D3A">
              <w:rPr>
                <w:rFonts w:hint="cs"/>
                <w:b/>
                <w:bCs/>
                <w:rtl/>
              </w:rPr>
              <w:t>+</w:t>
            </w:r>
          </w:p>
        </w:tc>
        <w:tc>
          <w:tcPr>
            <w:tcW w:w="2726" w:type="dxa"/>
          </w:tcPr>
          <w:p w:rsidR="003B5F6C" w:rsidRPr="006C1D3A" w:rsidRDefault="003B5F6C" w:rsidP="003B5F6C">
            <w:pPr>
              <w:rPr>
                <w:rFonts w:cs="Simplified Arabic"/>
                <w:b/>
                <w:bCs/>
                <w:rtl/>
              </w:rPr>
            </w:pPr>
            <w:r w:rsidRPr="006C1D3A">
              <w:rPr>
                <w:rFonts w:hint="cs"/>
                <w:b/>
                <w:bCs/>
                <w:rtl/>
                <w:lang w:bidi="ar-JO"/>
              </w:rPr>
              <w:t>المحروقات السائلة المستخدمة كوقود للسيارات "</w:t>
            </w:r>
            <w:r w:rsidRPr="006C1D3A">
              <w:rPr>
                <w:rFonts w:hint="cs"/>
                <w:b/>
                <w:bCs/>
                <w:rtl/>
              </w:rPr>
              <w:t>الديزل"</w:t>
            </w:r>
          </w:p>
        </w:tc>
      </w:tr>
      <w:tr w:rsidR="003B5F6C" w:rsidRPr="006C1D3A" w:rsidTr="006C1D3A">
        <w:trPr>
          <w:trHeight w:hRule="exact" w:val="537"/>
          <w:jc w:val="right"/>
        </w:trPr>
        <w:tc>
          <w:tcPr>
            <w:tcW w:w="4845" w:type="dxa"/>
          </w:tcPr>
          <w:p w:rsidR="003B5F6C" w:rsidRPr="006C1D3A" w:rsidRDefault="003B5F6C" w:rsidP="003B5F6C">
            <w:pPr>
              <w:rPr>
                <w:b/>
                <w:bCs/>
              </w:rPr>
            </w:pPr>
            <w:r w:rsidRPr="006C1D3A">
              <w:rPr>
                <w:b/>
                <w:bCs/>
              </w:rPr>
              <w:t>21.85%</w:t>
            </w:r>
            <w:r w:rsidRPr="006C1D3A">
              <w:rPr>
                <w:rFonts w:hint="cs"/>
                <w:b/>
                <w:bCs/>
                <w:rtl/>
              </w:rPr>
              <w:t>+</w:t>
            </w:r>
          </w:p>
        </w:tc>
        <w:tc>
          <w:tcPr>
            <w:tcW w:w="2726" w:type="dxa"/>
          </w:tcPr>
          <w:p w:rsidR="003B5F6C" w:rsidRPr="006C1D3A" w:rsidRDefault="003B5F6C" w:rsidP="003B5F6C">
            <w:pPr>
              <w:rPr>
                <w:b/>
                <w:bCs/>
                <w:rtl/>
              </w:rPr>
            </w:pPr>
            <w:r w:rsidRPr="006C1D3A">
              <w:rPr>
                <w:rFonts w:hint="cs"/>
                <w:b/>
                <w:bCs/>
                <w:rtl/>
              </w:rPr>
              <w:t>الخضروات الطازجة</w:t>
            </w:r>
          </w:p>
        </w:tc>
      </w:tr>
      <w:tr w:rsidR="003B5F6C" w:rsidRPr="006C1D3A" w:rsidTr="006C1D3A">
        <w:trPr>
          <w:trHeight w:hRule="exact" w:val="537"/>
          <w:jc w:val="right"/>
        </w:trPr>
        <w:tc>
          <w:tcPr>
            <w:tcW w:w="4845" w:type="dxa"/>
          </w:tcPr>
          <w:p w:rsidR="003B5F6C" w:rsidRPr="006C1D3A" w:rsidRDefault="003B5F6C" w:rsidP="003B5F6C">
            <w:pPr>
              <w:rPr>
                <w:b/>
                <w:bCs/>
              </w:rPr>
            </w:pPr>
            <w:r w:rsidRPr="006C1D3A">
              <w:rPr>
                <w:b/>
                <w:bCs/>
              </w:rPr>
              <w:t>9.35%</w:t>
            </w:r>
            <w:r w:rsidRPr="006C1D3A">
              <w:rPr>
                <w:rFonts w:hint="cs"/>
                <w:b/>
                <w:bCs/>
                <w:rtl/>
              </w:rPr>
              <w:t>+</w:t>
            </w:r>
          </w:p>
        </w:tc>
        <w:tc>
          <w:tcPr>
            <w:tcW w:w="2726" w:type="dxa"/>
          </w:tcPr>
          <w:p w:rsidR="003B5F6C" w:rsidRPr="006C1D3A" w:rsidRDefault="003B5F6C" w:rsidP="003B5F6C">
            <w:pPr>
              <w:rPr>
                <w:b/>
                <w:bCs/>
                <w:rtl/>
              </w:rPr>
            </w:pPr>
            <w:r w:rsidRPr="006C1D3A">
              <w:rPr>
                <w:rFonts w:hint="cs"/>
                <w:b/>
                <w:bCs/>
                <w:rtl/>
              </w:rPr>
              <w:t>أغذية الأطفال</w:t>
            </w:r>
          </w:p>
        </w:tc>
      </w:tr>
    </w:tbl>
    <w:p w:rsidR="009772A8" w:rsidRDefault="009772A8" w:rsidP="005B2ABC">
      <w:pPr>
        <w:jc w:val="both"/>
        <w:rPr>
          <w:rFonts w:cs="Simplified Arabic"/>
          <w:rtl/>
          <w:lang w:bidi="ar-JO"/>
        </w:rPr>
      </w:pPr>
    </w:p>
    <w:p w:rsidR="00DC24D7" w:rsidRPr="006C1D3A" w:rsidRDefault="00CF20AE" w:rsidP="009772A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C1D3A">
        <w:rPr>
          <w:rFonts w:ascii="Simplified Arabic" w:hAnsi="Simplified Arabic" w:cs="Simplified Arabic"/>
          <w:sz w:val="26"/>
          <w:szCs w:val="26"/>
          <w:rtl/>
          <w:lang w:bidi="ar-JO"/>
        </w:rPr>
        <w:t>ارتفعت</w:t>
      </w:r>
      <w:r w:rsidR="005A2547" w:rsidRPr="006C1D3A">
        <w:rPr>
          <w:rFonts w:ascii="Simplified Arabic" w:hAnsi="Simplified Arabic" w:cs="Simplified Arabic"/>
          <w:sz w:val="26"/>
          <w:szCs w:val="26"/>
        </w:rPr>
        <w:t xml:space="preserve"> </w:t>
      </w:r>
      <w:r w:rsidR="007C474C" w:rsidRPr="006C1D3A">
        <w:rPr>
          <w:rFonts w:ascii="Simplified Arabic" w:hAnsi="Simplified Arabic" w:cs="Simplified Arabic"/>
          <w:sz w:val="26"/>
          <w:szCs w:val="26"/>
          <w:rtl/>
        </w:rPr>
        <w:t xml:space="preserve">أسعار السلع الآتية في قطاع غزة لتبلغ بالمتوسط؛ </w:t>
      </w:r>
      <w:r w:rsidR="002423AD" w:rsidRPr="006C1D3A">
        <w:rPr>
          <w:rFonts w:ascii="Simplified Arabic" w:hAnsi="Simplified Arabic" w:cs="Simplified Arabic"/>
          <w:sz w:val="26"/>
          <w:szCs w:val="26"/>
          <w:rtl/>
        </w:rPr>
        <w:t xml:space="preserve">السميد </w:t>
      </w:r>
      <w:r w:rsidR="009772A8" w:rsidRPr="006C1D3A">
        <w:rPr>
          <w:rFonts w:ascii="Simplified Arabic" w:hAnsi="Simplified Arabic" w:cs="Simplified Arabic"/>
          <w:sz w:val="26"/>
          <w:szCs w:val="26"/>
          <w:rtl/>
        </w:rPr>
        <w:t>24</w:t>
      </w:r>
      <w:r w:rsidR="002423AD" w:rsidRPr="006C1D3A">
        <w:rPr>
          <w:rFonts w:ascii="Simplified Arabic" w:hAnsi="Simplified Arabic" w:cs="Simplified Arabic"/>
          <w:sz w:val="26"/>
          <w:szCs w:val="26"/>
          <w:rtl/>
        </w:rPr>
        <w:t xml:space="preserve"> شيقل/كغم، واسطوانة الغاز 680 شيقل/اسطوانة 12كغم، وعدس حب جاف 14 شيقل/كغم، وحمص حب جاف 22 شيقل/كغم، وفو</w:t>
      </w:r>
      <w:r w:rsidR="009772A8" w:rsidRPr="006C1D3A">
        <w:rPr>
          <w:rFonts w:ascii="Simplified Arabic" w:hAnsi="Simplified Arabic" w:cs="Simplified Arabic"/>
          <w:sz w:val="26"/>
          <w:szCs w:val="26"/>
          <w:rtl/>
        </w:rPr>
        <w:t>ل حب 14 شيقل/كغم، وفاصولياء ناشف</w:t>
      </w:r>
      <w:r w:rsidR="002423AD" w:rsidRPr="006C1D3A">
        <w:rPr>
          <w:rFonts w:ascii="Simplified Arabic" w:hAnsi="Simplified Arabic" w:cs="Simplified Arabic"/>
          <w:sz w:val="26"/>
          <w:szCs w:val="26"/>
          <w:rtl/>
        </w:rPr>
        <w:t xml:space="preserve">ة حب 10 شيقل/كغم، والبصل الناشف 96 شيقل/كغم، والثوم الناشف 223 شيقل/كغم، وزيت الزيتون 71 شيقل/كغم، وزيت </w:t>
      </w:r>
      <w:r w:rsidR="009772A8" w:rsidRPr="006C1D3A">
        <w:rPr>
          <w:rFonts w:ascii="Simplified Arabic" w:hAnsi="Simplified Arabic" w:cs="Simplified Arabic"/>
          <w:sz w:val="26"/>
          <w:szCs w:val="26"/>
          <w:rtl/>
        </w:rPr>
        <w:t>عباد الشمس</w:t>
      </w:r>
      <w:r w:rsidR="002423AD" w:rsidRPr="006C1D3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772A8" w:rsidRPr="006C1D3A">
        <w:rPr>
          <w:rFonts w:ascii="Simplified Arabic" w:hAnsi="Simplified Arabic" w:cs="Simplified Arabic"/>
          <w:sz w:val="26"/>
          <w:szCs w:val="26"/>
          <w:rtl/>
        </w:rPr>
        <w:t>106</w:t>
      </w:r>
      <w:r w:rsidR="002423AD" w:rsidRPr="006C1D3A">
        <w:rPr>
          <w:rFonts w:ascii="Simplified Arabic" w:hAnsi="Simplified Arabic" w:cs="Simplified Arabic"/>
          <w:sz w:val="26"/>
          <w:szCs w:val="26"/>
          <w:rtl/>
        </w:rPr>
        <w:t xml:space="preserve"> شيقل/3لتر، والسكر 38 شيقل/كغم، </w:t>
      </w:r>
      <w:r w:rsidR="005B2ABC" w:rsidRPr="006C1D3A">
        <w:rPr>
          <w:rFonts w:ascii="Simplified Arabic" w:hAnsi="Simplified Arabic" w:cs="Simplified Arabic"/>
          <w:sz w:val="26"/>
          <w:szCs w:val="26"/>
          <w:rtl/>
        </w:rPr>
        <w:t xml:space="preserve">والدجاج 86 شيقل/كغم، والبطاطا 66 شيقل/كغم، والبيض 189 شيقل/2كغم، والملح 6 شيقل/كغم، والبرغل 10 شيقل/كغم، ومياه معدنية 4 شيقل/1.5لتر، والقهوة 108 شيقل/كغم، وسمك </w:t>
      </w:r>
      <w:r w:rsidR="009772A8" w:rsidRPr="006C1D3A">
        <w:rPr>
          <w:rFonts w:ascii="Simplified Arabic" w:hAnsi="Simplified Arabic" w:cs="Simplified Arabic"/>
          <w:sz w:val="26"/>
          <w:szCs w:val="26"/>
          <w:rtl/>
        </w:rPr>
        <w:t>البوري</w:t>
      </w:r>
      <w:r w:rsidR="005B2ABC" w:rsidRPr="006C1D3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772A8" w:rsidRPr="006C1D3A">
        <w:rPr>
          <w:rFonts w:ascii="Simplified Arabic" w:hAnsi="Simplified Arabic" w:cs="Simplified Arabic"/>
          <w:sz w:val="26"/>
          <w:szCs w:val="26"/>
          <w:rtl/>
        </w:rPr>
        <w:t>200</w:t>
      </w:r>
      <w:r w:rsidR="005B2ABC" w:rsidRPr="006C1D3A">
        <w:rPr>
          <w:rFonts w:ascii="Simplified Arabic" w:hAnsi="Simplified Arabic" w:cs="Simplified Arabic"/>
          <w:sz w:val="26"/>
          <w:szCs w:val="26"/>
          <w:rtl/>
        </w:rPr>
        <w:t xml:space="preserve"> شيقل/كغم، </w:t>
      </w:r>
      <w:r w:rsidR="006A2348" w:rsidRPr="006C1D3A">
        <w:rPr>
          <w:rFonts w:ascii="Simplified Arabic" w:hAnsi="Simplified Arabic" w:cs="Simplified Arabic"/>
          <w:sz w:val="26"/>
          <w:szCs w:val="26"/>
          <w:rtl/>
        </w:rPr>
        <w:t xml:space="preserve">والمعكرونة 4 شيقل/350غم، </w:t>
      </w:r>
      <w:r w:rsidR="005B2ABC" w:rsidRPr="006C1D3A">
        <w:rPr>
          <w:rFonts w:ascii="Simplified Arabic" w:hAnsi="Simplified Arabic" w:cs="Simplified Arabic"/>
          <w:sz w:val="26"/>
          <w:szCs w:val="26"/>
          <w:rtl/>
        </w:rPr>
        <w:t xml:space="preserve">والديزل 57 شيقل/لتر، </w:t>
      </w:r>
      <w:r w:rsidR="006A2348" w:rsidRPr="006C1D3A">
        <w:rPr>
          <w:rFonts w:ascii="Simplified Arabic" w:hAnsi="Simplified Arabic" w:cs="Simplified Arabic"/>
          <w:sz w:val="26"/>
          <w:szCs w:val="26"/>
          <w:rtl/>
        </w:rPr>
        <w:t xml:space="preserve">والبندورة بيوت بلاستيكية 99 شيقل/كغم، والكوسا 25 شيقل/كغم، والباذنجان </w:t>
      </w:r>
      <w:r w:rsidR="006A2348" w:rsidRPr="006C1D3A">
        <w:rPr>
          <w:rFonts w:ascii="Simplified Arabic" w:hAnsi="Simplified Arabic" w:cs="Simplified Arabic"/>
          <w:sz w:val="26"/>
          <w:szCs w:val="26"/>
          <w:rtl/>
        </w:rPr>
        <w:lastRenderedPageBreak/>
        <w:t xml:space="preserve">27 شيقل/كغم، وملوخية خضراء مفرطة 53 شيقل/كغم، والفليفلة الملونة 65 شيقل/كغم، </w:t>
      </w:r>
      <w:r w:rsidR="005B2ABC" w:rsidRPr="006C1D3A">
        <w:rPr>
          <w:rFonts w:ascii="Simplified Arabic" w:hAnsi="Simplified Arabic" w:cs="Simplified Arabic"/>
          <w:sz w:val="26"/>
          <w:szCs w:val="26"/>
          <w:rtl/>
        </w:rPr>
        <w:t>وحبوب الا</w:t>
      </w:r>
      <w:r w:rsidR="009772A8" w:rsidRPr="006C1D3A">
        <w:rPr>
          <w:rFonts w:ascii="Simplified Arabic" w:hAnsi="Simplified Arabic" w:cs="Simplified Arabic"/>
          <w:sz w:val="26"/>
          <w:szCs w:val="26"/>
          <w:rtl/>
        </w:rPr>
        <w:t>طفال سيرلاك 33 شيقل/علبة 400غم.</w:t>
      </w:r>
    </w:p>
    <w:p w:rsidR="00766181" w:rsidRPr="006C1D3A" w:rsidRDefault="00766181" w:rsidP="00C97F3C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B06977" w:rsidRPr="007A37CF" w:rsidRDefault="005D767C" w:rsidP="00B0697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A37CF">
        <w:rPr>
          <w:rFonts w:ascii="Simplified Arabic" w:hAnsi="Simplified Arabic" w:cs="Simplified Arabic"/>
          <w:b/>
          <w:bCs/>
          <w:sz w:val="28"/>
          <w:szCs w:val="28"/>
          <w:rtl/>
        </w:rPr>
        <w:t>انخفاض</w:t>
      </w:r>
      <w:r w:rsidR="00B06977" w:rsidRPr="007A37C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مؤشر غلاء المعيشة في الضفة الغربية**:</w:t>
      </w:r>
    </w:p>
    <w:p w:rsidR="00B06977" w:rsidRPr="006C1D3A" w:rsidRDefault="00B06977" w:rsidP="00D85B9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C1D3A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</w:t>
      </w:r>
      <w:r w:rsidR="005D767C"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</w:t>
      </w:r>
      <w:r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5D767C"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>مقداره</w:t>
      </w:r>
      <w:r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5B6767"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>1.</w:t>
      </w:r>
      <w:r w:rsidR="005D767C"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>01</w:t>
      </w:r>
      <w:r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6C1D3A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5D767C" w:rsidRPr="006C1D3A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="005B6767" w:rsidRPr="006C1D3A">
        <w:rPr>
          <w:rFonts w:ascii="Simplified Arabic" w:hAnsi="Simplified Arabic" w:cs="Simplified Arabic"/>
          <w:sz w:val="26"/>
          <w:szCs w:val="26"/>
          <w:rtl/>
        </w:rPr>
        <w:t xml:space="preserve"> 2024</w:t>
      </w:r>
      <w:r w:rsidRPr="006C1D3A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5D767C" w:rsidRPr="006C1D3A">
        <w:rPr>
          <w:rFonts w:ascii="Simplified Arabic" w:hAnsi="Simplified Arabic" w:cs="Simplified Arabic"/>
          <w:sz w:val="26"/>
          <w:szCs w:val="26"/>
          <w:rtl/>
        </w:rPr>
        <w:t>أيلول</w:t>
      </w:r>
      <w:r w:rsidRPr="006C1D3A">
        <w:rPr>
          <w:rFonts w:ascii="Simplified Arabic" w:hAnsi="Simplified Arabic" w:cs="Simplified Arabic"/>
          <w:sz w:val="26"/>
          <w:szCs w:val="26"/>
          <w:rtl/>
        </w:rPr>
        <w:t xml:space="preserve"> 2024، ويعزى ذلك إلى </w:t>
      </w:r>
      <w:r w:rsidR="005D767C" w:rsidRPr="006C1D3A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Pr="006C1D3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85B97" w:rsidRPr="006C1D3A">
        <w:rPr>
          <w:rFonts w:ascii="Simplified Arabic" w:hAnsi="Simplified Arabic" w:cs="Simplified Arabic"/>
          <w:sz w:val="26"/>
          <w:szCs w:val="26"/>
          <w:rtl/>
        </w:rPr>
        <w:t>أسعار البيض بمقدار 22.30%، وأسعار الخضروات الطازجة بمقدار 11.46%، وأسعار الدجاج الطازج بمقدار 7.68%، وأسعار الفواكه الطازجة بمقدار 3.18%، و</w:t>
      </w:r>
      <w:r w:rsidR="00E67C24" w:rsidRPr="006C1D3A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المجففة </w:t>
      </w:r>
      <w:r w:rsidR="00D85B97" w:rsidRPr="006C1D3A">
        <w:rPr>
          <w:rFonts w:ascii="Simplified Arabic" w:hAnsi="Simplified Arabic" w:cs="Simplified Arabic"/>
          <w:sz w:val="26"/>
          <w:szCs w:val="26"/>
          <w:rtl/>
        </w:rPr>
        <w:t>بمقدار</w:t>
      </w:r>
      <w:r w:rsidR="00E67C24" w:rsidRPr="006C1D3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85B97" w:rsidRPr="006C1D3A">
        <w:rPr>
          <w:rFonts w:ascii="Simplified Arabic" w:hAnsi="Simplified Arabic" w:cs="Simplified Arabic"/>
          <w:sz w:val="26"/>
          <w:szCs w:val="26"/>
          <w:rtl/>
        </w:rPr>
        <w:t>2.45</w:t>
      </w:r>
      <w:r w:rsidR="00E67C24" w:rsidRPr="006C1D3A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D85B97" w:rsidRPr="006C1D3A">
        <w:rPr>
          <w:rFonts w:ascii="Simplified Arabic" w:hAnsi="Simplified Arabic" w:cs="Simplified Arabic"/>
          <w:sz w:val="26"/>
          <w:szCs w:val="26"/>
          <w:rtl/>
        </w:rPr>
        <w:t>وأسعار المحروقات السائلة المستخدمة كوقود للسيارات "البنزين" بمقدار 1.76%، و"الديزل" بمقدار 1.48%.</w:t>
      </w:r>
    </w:p>
    <w:p w:rsidR="00B06977" w:rsidRPr="007A37CF" w:rsidRDefault="00B06977" w:rsidP="00B06977">
      <w:pPr>
        <w:jc w:val="both"/>
        <w:rPr>
          <w:rFonts w:ascii="Simplified Arabic" w:hAnsi="Simplified Arabic" w:cs="Simplified Arabic"/>
          <w:sz w:val="10"/>
          <w:szCs w:val="10"/>
        </w:rPr>
      </w:pPr>
    </w:p>
    <w:p w:rsidR="00B06977" w:rsidRPr="006C1D3A" w:rsidRDefault="005D767C" w:rsidP="009772A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C1D3A">
        <w:rPr>
          <w:rFonts w:ascii="Simplified Arabic" w:hAnsi="Simplified Arabic" w:cs="Simplified Arabic"/>
          <w:sz w:val="26"/>
          <w:szCs w:val="26"/>
          <w:rtl/>
        </w:rPr>
        <w:t>انخفضت</w:t>
      </w:r>
      <w:r w:rsidR="00B06977" w:rsidRPr="006C1D3A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الضفة الغربية** لتبلغ بالمتوسط؛ </w:t>
      </w:r>
      <w:r w:rsidR="00CA2102" w:rsidRPr="006C1D3A">
        <w:rPr>
          <w:rFonts w:ascii="Simplified Arabic" w:hAnsi="Simplified Arabic" w:cs="Simplified Arabic"/>
          <w:sz w:val="26"/>
          <w:szCs w:val="26"/>
          <w:rtl/>
        </w:rPr>
        <w:t>البيض 17 شيقل/2كغم، والبندورة العناقيد 11 شيقل/كغم، والسبانخ 8 شيقل/كغم، والزهرة والملفوف</w:t>
      </w:r>
      <w:r w:rsidR="009772A8" w:rsidRPr="006C1D3A">
        <w:rPr>
          <w:rFonts w:ascii="Simplified Arabic" w:hAnsi="Simplified Arabic" w:cs="Simplified Arabic"/>
          <w:sz w:val="26"/>
          <w:szCs w:val="26"/>
          <w:rtl/>
        </w:rPr>
        <w:t xml:space="preserve"> والرمان والبصل الناشف 5 شيقل/كغم لكل منها</w:t>
      </w:r>
      <w:r w:rsidR="00CA2102" w:rsidRPr="006C1D3A">
        <w:rPr>
          <w:rFonts w:ascii="Simplified Arabic" w:hAnsi="Simplified Arabic" w:cs="Simplified Arabic"/>
          <w:sz w:val="26"/>
          <w:szCs w:val="26"/>
          <w:rtl/>
        </w:rPr>
        <w:t xml:space="preserve">، والدجاج 17 شيقل/كغم، </w:t>
      </w:r>
      <w:r w:rsidR="000339F1" w:rsidRPr="006C1D3A">
        <w:rPr>
          <w:rFonts w:ascii="Simplified Arabic" w:hAnsi="Simplified Arabic" w:cs="Simplified Arabic"/>
          <w:sz w:val="26"/>
          <w:szCs w:val="26"/>
          <w:rtl/>
        </w:rPr>
        <w:t xml:space="preserve">والبرتقال والليمون 4 شيقل/كغم </w:t>
      </w:r>
      <w:r w:rsidR="009772A8" w:rsidRPr="006C1D3A">
        <w:rPr>
          <w:rFonts w:ascii="Simplified Arabic" w:hAnsi="Simplified Arabic" w:cs="Simplified Arabic"/>
          <w:sz w:val="26"/>
          <w:szCs w:val="26"/>
          <w:rtl/>
        </w:rPr>
        <w:t>لكل منهما، والجوافة 8 شيقل/كغم</w:t>
      </w:r>
      <w:r w:rsidR="000339F1" w:rsidRPr="006C1D3A">
        <w:rPr>
          <w:rFonts w:ascii="Simplified Arabic" w:hAnsi="Simplified Arabic" w:cs="Simplified Arabic"/>
          <w:sz w:val="26"/>
          <w:szCs w:val="26"/>
          <w:rtl/>
        </w:rPr>
        <w:t xml:space="preserve">، والافوكادو 13 شيقل/كغم، </w:t>
      </w:r>
      <w:r w:rsidR="00B66D4E" w:rsidRPr="006C1D3A">
        <w:rPr>
          <w:rFonts w:ascii="Simplified Arabic" w:hAnsi="Simplified Arabic" w:cs="Simplified Arabic"/>
          <w:sz w:val="26"/>
          <w:szCs w:val="26"/>
          <w:rtl/>
        </w:rPr>
        <w:t>والبنزين "95" 6.98 شيقل/لتر، والسولار 5.98 شيقل/لتر</w:t>
      </w:r>
      <w:r w:rsidR="00081077" w:rsidRPr="006C1D3A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9772A8" w:rsidRPr="006C1D3A" w:rsidRDefault="009772A8" w:rsidP="009772A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C97F3C" w:rsidRPr="007A37CF" w:rsidRDefault="005D767C" w:rsidP="00A25E49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A37CF">
        <w:rPr>
          <w:rFonts w:ascii="Simplified Arabic" w:hAnsi="Simplified Arabic" w:cs="Simplified Arabic"/>
          <w:b/>
          <w:bCs/>
          <w:sz w:val="28"/>
          <w:szCs w:val="28"/>
          <w:rtl/>
        </w:rPr>
        <w:t>انخفاض</w:t>
      </w:r>
      <w:r w:rsidR="00EE6486" w:rsidRPr="007A37C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97F3C" w:rsidRPr="007A37C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مؤشر غلاء المعيشة في القدس </w:t>
      </w:r>
      <w:r w:rsidR="00C97F3C" w:rsidRPr="007A37CF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="00C97F3C" w:rsidRPr="007A37CF">
        <w:rPr>
          <w:rFonts w:ascii="Simplified Arabic" w:hAnsi="Simplified Arabic" w:cs="Simplified Arabic"/>
          <w:b/>
          <w:bCs/>
          <w:sz w:val="28"/>
          <w:szCs w:val="28"/>
          <w:rtl/>
        </w:rPr>
        <w:t>*:</w:t>
      </w:r>
    </w:p>
    <w:p w:rsidR="00C97F3C" w:rsidRPr="006C1D3A" w:rsidRDefault="00C97F3C" w:rsidP="00A4287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C1D3A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6C1D3A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</w:t>
      </w:r>
      <w:r w:rsidR="005D767C"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</w:t>
      </w:r>
      <w:r w:rsidR="00EE6486"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5D767C"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>مقداره</w:t>
      </w:r>
      <w:r w:rsidR="00EE6486"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CB1563" w:rsidRPr="006C1D3A">
        <w:rPr>
          <w:rFonts w:ascii="Simplified Arabic" w:hAnsi="Simplified Arabic" w:cs="Simplified Arabic"/>
          <w:b/>
          <w:bCs/>
          <w:sz w:val="26"/>
          <w:szCs w:val="26"/>
        </w:rPr>
        <w:t>0.</w:t>
      </w:r>
      <w:r w:rsidR="005D767C" w:rsidRPr="006C1D3A">
        <w:rPr>
          <w:rFonts w:ascii="Simplified Arabic" w:hAnsi="Simplified Arabic" w:cs="Simplified Arabic"/>
          <w:b/>
          <w:bCs/>
          <w:sz w:val="26"/>
          <w:szCs w:val="26"/>
        </w:rPr>
        <w:t>41</w:t>
      </w:r>
      <w:r w:rsidRPr="006C1D3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6C1D3A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5D767C" w:rsidRPr="006C1D3A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="00EE6486" w:rsidRPr="006C1D3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C1D3A">
        <w:rPr>
          <w:rFonts w:ascii="Simplified Arabic" w:hAnsi="Simplified Arabic" w:cs="Simplified Arabic"/>
          <w:sz w:val="26"/>
          <w:szCs w:val="26"/>
          <w:rtl/>
        </w:rPr>
        <w:t xml:space="preserve">2024 مقارنة مع شهر </w:t>
      </w:r>
      <w:r w:rsidR="005D767C" w:rsidRPr="006C1D3A">
        <w:rPr>
          <w:rFonts w:ascii="Simplified Arabic" w:hAnsi="Simplified Arabic" w:cs="Simplified Arabic"/>
          <w:sz w:val="26"/>
          <w:szCs w:val="26"/>
          <w:rtl/>
        </w:rPr>
        <w:t>أيلول</w:t>
      </w:r>
      <w:r w:rsidRPr="006C1D3A">
        <w:rPr>
          <w:rFonts w:ascii="Simplified Arabic" w:hAnsi="Simplified Arabic" w:cs="Simplified Arabic"/>
          <w:sz w:val="26"/>
          <w:szCs w:val="26"/>
          <w:rtl/>
        </w:rPr>
        <w:t xml:space="preserve"> 2024، نتيجة </w:t>
      </w:r>
      <w:r w:rsidR="005D767C" w:rsidRPr="006C1D3A">
        <w:rPr>
          <w:rFonts w:ascii="Simplified Arabic" w:hAnsi="Simplified Arabic" w:cs="Simplified Arabic"/>
          <w:sz w:val="26"/>
          <w:szCs w:val="26"/>
          <w:rtl/>
        </w:rPr>
        <w:t>لانخفاض</w:t>
      </w:r>
      <w:r w:rsidR="00EE6486" w:rsidRPr="006C1D3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10744" w:rsidRPr="006C1D3A">
        <w:rPr>
          <w:rFonts w:ascii="Simplified Arabic" w:hAnsi="Simplified Arabic" w:cs="Simplified Arabic"/>
          <w:sz w:val="26"/>
          <w:szCs w:val="26"/>
          <w:rtl/>
        </w:rPr>
        <w:t xml:space="preserve">أسعار الفواكه الطازجة بمقدار 9.60%، وأسعار الخضروات الطازجة بمقدار 6.42%، وأسعار الخضروات المجففة بمقدار 3.04%، وأسعار الزيوت النباتية بمقدار 1.76%، </w:t>
      </w:r>
      <w:r w:rsidR="00A4287D" w:rsidRPr="006C1D3A">
        <w:rPr>
          <w:rFonts w:ascii="Simplified Arabic" w:hAnsi="Simplified Arabic" w:cs="Simplified Arabic"/>
          <w:sz w:val="26"/>
          <w:szCs w:val="26"/>
          <w:rtl/>
        </w:rPr>
        <w:t xml:space="preserve">وأسعار المحروقات السائلة المستخدمة كوقود للسيارات "الديزل" بمقدار 1.68%، و"البنزين" بمقدار 1.59%، </w:t>
      </w:r>
      <w:r w:rsidR="00510744" w:rsidRPr="006C1D3A">
        <w:rPr>
          <w:rFonts w:ascii="Simplified Arabic" w:hAnsi="Simplified Arabic" w:cs="Simplified Arabic"/>
          <w:sz w:val="26"/>
          <w:szCs w:val="26"/>
          <w:rtl/>
        </w:rPr>
        <w:t xml:space="preserve">وأسعار اللحوم الطازجة بمقدار 1.26%، </w:t>
      </w:r>
      <w:r w:rsidR="00AD4937" w:rsidRPr="006C1D3A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5D767C" w:rsidRPr="006C1D3A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AD4937" w:rsidRPr="006C1D3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10744" w:rsidRPr="006C1D3A">
        <w:rPr>
          <w:rFonts w:ascii="Simplified Arabic" w:hAnsi="Simplified Arabic" w:cs="Simplified Arabic"/>
          <w:sz w:val="26"/>
          <w:szCs w:val="26"/>
          <w:rtl/>
        </w:rPr>
        <w:t>أسعار الدجاج الطازج بنسبة 1.29</w:t>
      </w:r>
      <w:r w:rsidR="00A4287D" w:rsidRPr="006C1D3A">
        <w:rPr>
          <w:rFonts w:ascii="Simplified Arabic" w:hAnsi="Simplified Arabic" w:cs="Simplified Arabic"/>
          <w:sz w:val="26"/>
          <w:szCs w:val="26"/>
          <w:rtl/>
        </w:rPr>
        <w:t>%.</w:t>
      </w:r>
    </w:p>
    <w:p w:rsidR="00C97F3C" w:rsidRPr="007A37CF" w:rsidRDefault="00C97F3C" w:rsidP="00C97F3C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081077" w:rsidRPr="006C1D3A" w:rsidRDefault="00C97F3C" w:rsidP="009772A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C1D3A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</w:t>
      </w:r>
      <w:r w:rsidR="005D767C" w:rsidRPr="006C1D3A">
        <w:rPr>
          <w:rFonts w:ascii="Simplified Arabic" w:hAnsi="Simplified Arabic" w:cs="Simplified Arabic"/>
          <w:sz w:val="26"/>
          <w:szCs w:val="26"/>
          <w:rtl/>
          <w:lang w:bidi="ar-JO"/>
        </w:rPr>
        <w:t>انخفاضاً</w:t>
      </w:r>
      <w:r w:rsidRPr="006C1D3A">
        <w:rPr>
          <w:rFonts w:ascii="Simplified Arabic" w:hAnsi="Simplified Arabic" w:cs="Simplified Arabic"/>
          <w:sz w:val="26"/>
          <w:szCs w:val="26"/>
          <w:rtl/>
        </w:rPr>
        <w:t xml:space="preserve"> في القدس </w:t>
      </w:r>
      <w:r w:rsidRPr="006C1D3A">
        <w:rPr>
          <w:rFonts w:ascii="Simplified Arabic" w:hAnsi="Simplified Arabic" w:cs="Simplified Arabic"/>
          <w:sz w:val="26"/>
          <w:szCs w:val="26"/>
        </w:rPr>
        <w:t>J1</w:t>
      </w:r>
      <w:r w:rsidRPr="006C1D3A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907976" w:rsidRPr="006C1D3A">
        <w:rPr>
          <w:rFonts w:ascii="Simplified Arabic" w:hAnsi="Simplified Arabic" w:cs="Simplified Arabic"/>
          <w:sz w:val="26"/>
          <w:szCs w:val="26"/>
          <w:rtl/>
        </w:rPr>
        <w:t>البرتقال والليمون والموز</w:t>
      </w:r>
      <w:r w:rsidR="009772A8" w:rsidRPr="006C1D3A">
        <w:rPr>
          <w:rFonts w:ascii="Simplified Arabic" w:hAnsi="Simplified Arabic" w:cs="Simplified Arabic"/>
          <w:sz w:val="26"/>
          <w:szCs w:val="26"/>
          <w:rtl/>
        </w:rPr>
        <w:t xml:space="preserve"> والزهرة</w:t>
      </w:r>
      <w:r w:rsidR="00907976" w:rsidRPr="006C1D3A">
        <w:rPr>
          <w:rFonts w:ascii="Simplified Arabic" w:hAnsi="Simplified Arabic" w:cs="Simplified Arabic"/>
          <w:sz w:val="26"/>
          <w:szCs w:val="26"/>
          <w:rtl/>
        </w:rPr>
        <w:t xml:space="preserve"> 6 شيقل/كغم لكل منها، والافوكادو 8 شيقل/كغم، والبندورة العناقيد 16 شيقل/كغم، والكوسا 14 شيقل/كغم، والبامية 34 شيقل/كغ</w:t>
      </w:r>
      <w:r w:rsidR="009772A8" w:rsidRPr="006C1D3A">
        <w:rPr>
          <w:rFonts w:ascii="Simplified Arabic" w:hAnsi="Simplified Arabic" w:cs="Simplified Arabic"/>
          <w:sz w:val="26"/>
          <w:szCs w:val="26"/>
          <w:rtl/>
        </w:rPr>
        <w:t>م، والفليفلة الحلوة 9 شيقل/كغم</w:t>
      </w:r>
      <w:r w:rsidR="00907976" w:rsidRPr="006C1D3A">
        <w:rPr>
          <w:rFonts w:ascii="Simplified Arabic" w:hAnsi="Simplified Arabic" w:cs="Simplified Arabic"/>
          <w:sz w:val="26"/>
          <w:szCs w:val="26"/>
          <w:rtl/>
        </w:rPr>
        <w:t xml:space="preserve">، والبصل الناشف 5 شيقل/كغم، والثوم الناشف 21 شيقل/كغم، وزيت دوار الشمس 37 شيقل/3لتر، والديزل 7.03 شيقل/لتر، </w:t>
      </w:r>
      <w:r w:rsidR="000306C3" w:rsidRPr="006C1D3A">
        <w:rPr>
          <w:rFonts w:ascii="Simplified Arabic" w:hAnsi="Simplified Arabic" w:cs="Simplified Arabic"/>
          <w:sz w:val="26"/>
          <w:szCs w:val="26"/>
          <w:rtl/>
        </w:rPr>
        <w:t>ولحم الغنم مع العظم طازج 102 شيقل/كغم</w:t>
      </w:r>
      <w:r w:rsidR="00932312" w:rsidRPr="006C1D3A">
        <w:rPr>
          <w:rFonts w:ascii="Simplified Arabic" w:hAnsi="Simplified Arabic" w:cs="Simplified Arabic"/>
          <w:sz w:val="26"/>
          <w:szCs w:val="26"/>
          <w:rtl/>
        </w:rPr>
        <w:t>.</w:t>
      </w:r>
      <w:r w:rsidR="006961BF" w:rsidRPr="006C1D3A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:rsidR="00FA2AB5" w:rsidRDefault="00FA2AB5" w:rsidP="00270E0C">
      <w:pPr>
        <w:jc w:val="both"/>
        <w:rPr>
          <w:rFonts w:cs="Simplified Arabic"/>
          <w:rtl/>
        </w:rPr>
      </w:pPr>
    </w:p>
    <w:p w:rsidR="003421C1" w:rsidRPr="00994127" w:rsidRDefault="003421C1" w:rsidP="003421C1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r w:rsidRPr="00994127">
        <w:rPr>
          <w:rFonts w:cs="Simplified Arabic" w:hint="cs"/>
          <w:b/>
          <w:bCs/>
          <w:rtl/>
        </w:rPr>
        <w:t>ملاحظات:</w:t>
      </w:r>
    </w:p>
    <w:p w:rsidR="003421C1" w:rsidRPr="00435E12" w:rsidRDefault="003421C1" w:rsidP="003421C1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435E12">
        <w:rPr>
          <w:rFonts w:cs="Simplified Arabic" w:hint="cs"/>
          <w:rtl/>
        </w:rPr>
        <w:t>*</w:t>
      </w:r>
      <w:r w:rsidRPr="00435E12">
        <w:rPr>
          <w:rFonts w:cs="Simplified Arabic" w:hint="cs"/>
          <w:sz w:val="20"/>
          <w:szCs w:val="20"/>
          <w:rtl/>
        </w:rPr>
        <w:t xml:space="preserve">البيانات تمثل </w:t>
      </w:r>
      <w:r w:rsidRPr="00435E12">
        <w:rPr>
          <w:rFonts w:cs="Simplified Arabic"/>
          <w:sz w:val="20"/>
          <w:szCs w:val="20"/>
          <w:rtl/>
        </w:rPr>
        <w:t xml:space="preserve">ذلك الجزء من محافظة القدس </w:t>
      </w:r>
      <w:r w:rsidRPr="00435E12">
        <w:rPr>
          <w:rFonts w:cs="Simplified Arabic" w:hint="cs"/>
          <w:sz w:val="20"/>
          <w:szCs w:val="20"/>
          <w:rtl/>
        </w:rPr>
        <w:t>و</w:t>
      </w:r>
      <w:r w:rsidRPr="00435E12">
        <w:rPr>
          <w:rFonts w:cs="Simplified Arabic"/>
          <w:sz w:val="20"/>
          <w:szCs w:val="20"/>
          <w:rtl/>
        </w:rPr>
        <w:t>الذي ضم</w:t>
      </w:r>
      <w:r w:rsidRPr="00435E12">
        <w:rPr>
          <w:rFonts w:cs="Simplified Arabic" w:hint="cs"/>
          <w:sz w:val="20"/>
          <w:szCs w:val="20"/>
          <w:rtl/>
        </w:rPr>
        <w:t>ه الاحتلال</w:t>
      </w:r>
      <w:r w:rsidR="00524E54">
        <w:rPr>
          <w:rFonts w:cs="Simplified Arabic" w:hint="cs"/>
          <w:sz w:val="20"/>
          <w:szCs w:val="20"/>
          <w:rtl/>
        </w:rPr>
        <w:t xml:space="preserve"> </w:t>
      </w:r>
      <w:r w:rsidRPr="00435E12">
        <w:rPr>
          <w:rFonts w:cs="Simplified Arabic" w:hint="cs"/>
          <w:sz w:val="20"/>
          <w:szCs w:val="20"/>
          <w:rtl/>
        </w:rPr>
        <w:t>الإسرائيل</w:t>
      </w:r>
      <w:r w:rsidRPr="00435E12">
        <w:rPr>
          <w:rFonts w:cs="Simplified Arabic" w:hint="eastAsia"/>
          <w:sz w:val="20"/>
          <w:szCs w:val="20"/>
          <w:rtl/>
        </w:rPr>
        <w:t>ي</w:t>
      </w:r>
      <w:r w:rsidR="00524E54">
        <w:rPr>
          <w:rFonts w:cs="Simplified Arabic" w:hint="cs"/>
          <w:sz w:val="20"/>
          <w:szCs w:val="20"/>
          <w:rtl/>
        </w:rPr>
        <w:t xml:space="preserve"> </w:t>
      </w:r>
      <w:r w:rsidRPr="00435E12">
        <w:rPr>
          <w:rFonts w:cs="Simplified Arabic" w:hint="cs"/>
          <w:sz w:val="20"/>
          <w:szCs w:val="20"/>
          <w:rtl/>
        </w:rPr>
        <w:t xml:space="preserve">إليه </w:t>
      </w:r>
      <w:r w:rsidRPr="00435E12">
        <w:rPr>
          <w:rFonts w:cs="Simplified Arabic"/>
          <w:sz w:val="20"/>
          <w:szCs w:val="20"/>
          <w:rtl/>
        </w:rPr>
        <w:t>عنوة بعيد احتلاله للضفة الغربية عام1967.</w:t>
      </w:r>
    </w:p>
    <w:p w:rsidR="00C8670E" w:rsidRPr="00435E12" w:rsidRDefault="003421C1" w:rsidP="00582300">
      <w:pPr>
        <w:pStyle w:val="BodyText2"/>
        <w:spacing w:after="0" w:line="240" w:lineRule="auto"/>
        <w:ind w:left="-1"/>
        <w:jc w:val="both"/>
        <w:rPr>
          <w:rFonts w:cs="Simplified Arabic"/>
          <w:sz w:val="20"/>
          <w:szCs w:val="20"/>
          <w:rtl/>
        </w:rPr>
      </w:pPr>
      <w:r w:rsidRPr="00435E12">
        <w:rPr>
          <w:rFonts w:cs="Simplified Arabic" w:hint="cs"/>
          <w:rtl/>
        </w:rPr>
        <w:t>**</w:t>
      </w:r>
      <w:r w:rsidRPr="00435E12">
        <w:rPr>
          <w:rFonts w:cs="Simplified Arabic" w:hint="cs"/>
          <w:sz w:val="20"/>
          <w:szCs w:val="20"/>
          <w:rtl/>
        </w:rPr>
        <w:t xml:space="preserve">البيانات </w:t>
      </w:r>
      <w:r w:rsidRPr="00435E12">
        <w:rPr>
          <w:rFonts w:cs="Simplified Arabic"/>
          <w:sz w:val="20"/>
          <w:szCs w:val="20"/>
          <w:rtl/>
        </w:rPr>
        <w:t>لا</w:t>
      </w:r>
      <w:r w:rsidRPr="00435E12">
        <w:rPr>
          <w:rFonts w:cs="Simplified Arabic" w:hint="cs"/>
          <w:sz w:val="20"/>
          <w:szCs w:val="20"/>
          <w:rtl/>
        </w:rPr>
        <w:t xml:space="preserve"> تشمل </w:t>
      </w:r>
      <w:r w:rsidRPr="00435E12">
        <w:rPr>
          <w:rFonts w:cs="Simplified Arabic"/>
          <w:sz w:val="20"/>
          <w:szCs w:val="20"/>
          <w:rtl/>
        </w:rPr>
        <w:t xml:space="preserve">ذلك الجزء من محافظة القدس </w:t>
      </w:r>
      <w:r w:rsidRPr="00435E12">
        <w:rPr>
          <w:rFonts w:cs="Simplified Arabic" w:hint="cs"/>
          <w:sz w:val="20"/>
          <w:szCs w:val="20"/>
          <w:rtl/>
        </w:rPr>
        <w:t>و</w:t>
      </w:r>
      <w:r w:rsidRPr="00435E12">
        <w:rPr>
          <w:rFonts w:cs="Simplified Arabic"/>
          <w:sz w:val="20"/>
          <w:szCs w:val="20"/>
          <w:rtl/>
        </w:rPr>
        <w:t>الذي ضم</w:t>
      </w:r>
      <w:r w:rsidRPr="00435E12">
        <w:rPr>
          <w:rFonts w:cs="Simplified Arabic" w:hint="cs"/>
          <w:sz w:val="20"/>
          <w:szCs w:val="20"/>
          <w:rtl/>
        </w:rPr>
        <w:t>ه الاحتلال</w:t>
      </w:r>
      <w:r w:rsidR="00524E54">
        <w:rPr>
          <w:rFonts w:cs="Simplified Arabic" w:hint="cs"/>
          <w:sz w:val="20"/>
          <w:szCs w:val="20"/>
          <w:rtl/>
        </w:rPr>
        <w:t xml:space="preserve"> </w:t>
      </w:r>
      <w:r w:rsidRPr="00435E12">
        <w:rPr>
          <w:rFonts w:cs="Simplified Arabic" w:hint="cs"/>
          <w:sz w:val="20"/>
          <w:szCs w:val="20"/>
          <w:rtl/>
        </w:rPr>
        <w:t>الإسرائيلي</w:t>
      </w:r>
      <w:r w:rsidR="00524E54">
        <w:rPr>
          <w:rFonts w:cs="Simplified Arabic" w:hint="cs"/>
          <w:sz w:val="20"/>
          <w:szCs w:val="20"/>
          <w:rtl/>
        </w:rPr>
        <w:t xml:space="preserve"> </w:t>
      </w:r>
      <w:r w:rsidRPr="00435E12">
        <w:rPr>
          <w:rFonts w:cs="Simplified Arabic" w:hint="cs"/>
          <w:sz w:val="20"/>
          <w:szCs w:val="20"/>
          <w:rtl/>
        </w:rPr>
        <w:t xml:space="preserve">إليه </w:t>
      </w:r>
      <w:r w:rsidRPr="00435E12">
        <w:rPr>
          <w:rFonts w:cs="Simplified Arabic"/>
          <w:sz w:val="20"/>
          <w:szCs w:val="20"/>
          <w:rtl/>
        </w:rPr>
        <w:t>عنوة بعيد احتلاله للضفة الغربية عام1967.</w:t>
      </w:r>
    </w:p>
    <w:p w:rsidR="00437525" w:rsidRPr="003B2B48" w:rsidRDefault="00FB4339" w:rsidP="005D767C">
      <w:pPr>
        <w:pStyle w:val="BodyText2"/>
        <w:spacing w:after="0" w:line="240" w:lineRule="auto"/>
        <w:ind w:left="-1"/>
        <w:jc w:val="both"/>
        <w:rPr>
          <w:rFonts w:cs="Simplified Arabic"/>
          <w:sz w:val="20"/>
          <w:szCs w:val="20"/>
          <w:rtl/>
        </w:rPr>
      </w:pPr>
      <w:r>
        <w:rPr>
          <w:rFonts w:cs="Simplified Arabic" w:hint="cs"/>
          <w:sz w:val="20"/>
          <w:szCs w:val="20"/>
          <w:rtl/>
        </w:rPr>
        <w:t xml:space="preserve">تم </w:t>
      </w:r>
      <w:r w:rsidR="001238B3">
        <w:rPr>
          <w:rFonts w:cs="Simplified Arabic" w:hint="cs"/>
          <w:sz w:val="20"/>
          <w:szCs w:val="20"/>
          <w:rtl/>
        </w:rPr>
        <w:t>جمع</w:t>
      </w:r>
      <w:r w:rsidR="003B2B48">
        <w:rPr>
          <w:rFonts w:cs="Simplified Arabic" w:hint="cs"/>
          <w:sz w:val="20"/>
          <w:szCs w:val="20"/>
          <w:rtl/>
        </w:rPr>
        <w:t xml:space="preserve"> بيانات شهر </w:t>
      </w:r>
      <w:r w:rsidR="005D767C">
        <w:rPr>
          <w:rFonts w:cs="Simplified Arabic" w:hint="cs"/>
          <w:sz w:val="20"/>
          <w:szCs w:val="20"/>
          <w:rtl/>
        </w:rPr>
        <w:t>تشرين أول</w:t>
      </w:r>
      <w:r w:rsidR="00F152E2">
        <w:rPr>
          <w:rFonts w:cs="Simplified Arabic" w:hint="cs"/>
          <w:sz w:val="20"/>
          <w:szCs w:val="20"/>
          <w:rtl/>
        </w:rPr>
        <w:t xml:space="preserve"> 2024</w:t>
      </w:r>
      <w:r w:rsidR="00524E54">
        <w:rPr>
          <w:rFonts w:cs="Simplified Arabic" w:hint="cs"/>
          <w:sz w:val="20"/>
          <w:szCs w:val="20"/>
          <w:rtl/>
        </w:rPr>
        <w:t xml:space="preserve"> </w:t>
      </w:r>
      <w:r w:rsidR="00CE3821">
        <w:rPr>
          <w:rFonts w:cs="Simplified Arabic" w:hint="cs"/>
          <w:sz w:val="20"/>
          <w:szCs w:val="20"/>
          <w:rtl/>
        </w:rPr>
        <w:t xml:space="preserve">لقطاع غزة </w:t>
      </w:r>
      <w:r w:rsidR="003B2B48">
        <w:rPr>
          <w:rFonts w:cs="Simplified Arabic" w:hint="cs"/>
          <w:sz w:val="20"/>
          <w:szCs w:val="20"/>
          <w:rtl/>
        </w:rPr>
        <w:t xml:space="preserve">من خلال التواصل الهاتفي المباشر </w:t>
      </w:r>
      <w:r w:rsidR="00DE67EB">
        <w:rPr>
          <w:rFonts w:cs="Simplified Arabic" w:hint="cs"/>
          <w:sz w:val="20"/>
          <w:szCs w:val="20"/>
          <w:rtl/>
        </w:rPr>
        <w:t xml:space="preserve">من قبل </w:t>
      </w:r>
      <w:r w:rsidR="00CE3821">
        <w:rPr>
          <w:rFonts w:cs="Simplified Arabic" w:hint="cs"/>
          <w:sz w:val="20"/>
          <w:szCs w:val="20"/>
          <w:rtl/>
        </w:rPr>
        <w:t>إدارة</w:t>
      </w:r>
      <w:r w:rsidR="00DE67EB">
        <w:rPr>
          <w:rFonts w:cs="Simplified Arabic" w:hint="cs"/>
          <w:sz w:val="20"/>
          <w:szCs w:val="20"/>
          <w:rtl/>
        </w:rPr>
        <w:t xml:space="preserve"> المشروع </w:t>
      </w:r>
      <w:r w:rsidR="003B2B48">
        <w:rPr>
          <w:rFonts w:cs="Simplified Arabic" w:hint="cs"/>
          <w:sz w:val="20"/>
          <w:szCs w:val="20"/>
          <w:rtl/>
        </w:rPr>
        <w:t xml:space="preserve">مع </w:t>
      </w:r>
      <w:r w:rsidR="00DE67EB">
        <w:rPr>
          <w:rFonts w:cs="Simplified Arabic" w:hint="cs"/>
          <w:sz w:val="20"/>
          <w:szCs w:val="20"/>
          <w:rtl/>
        </w:rPr>
        <w:t>الباحثين الميداني</w:t>
      </w:r>
      <w:r w:rsidR="00131E1C">
        <w:rPr>
          <w:rFonts w:cs="Simplified Arabic" w:hint="cs"/>
          <w:sz w:val="20"/>
          <w:szCs w:val="20"/>
          <w:rtl/>
        </w:rPr>
        <w:t>ين</w:t>
      </w:r>
      <w:r w:rsidR="003B2B48">
        <w:rPr>
          <w:rFonts w:cs="Simplified Arabic" w:hint="cs"/>
          <w:sz w:val="20"/>
          <w:szCs w:val="20"/>
          <w:rtl/>
        </w:rPr>
        <w:t xml:space="preserve"> في القطاع وتسجيل الأسعار </w:t>
      </w:r>
      <w:r w:rsidR="00437525" w:rsidRPr="003B2B48">
        <w:rPr>
          <w:rFonts w:cs="Simplified Arabic" w:hint="cs"/>
          <w:sz w:val="20"/>
          <w:szCs w:val="20"/>
          <w:rtl/>
        </w:rPr>
        <w:t xml:space="preserve">للسلع الأساسية </w:t>
      </w:r>
      <w:r w:rsidR="00C247E3">
        <w:rPr>
          <w:rFonts w:cs="Simplified Arabic" w:hint="cs"/>
          <w:sz w:val="20"/>
          <w:szCs w:val="20"/>
          <w:rtl/>
        </w:rPr>
        <w:t>المشتراة</w:t>
      </w:r>
      <w:r w:rsidR="003B2B48">
        <w:rPr>
          <w:rFonts w:cs="Simplified Arabic" w:hint="cs"/>
          <w:sz w:val="20"/>
          <w:szCs w:val="20"/>
          <w:rtl/>
        </w:rPr>
        <w:t xml:space="preserve"> من قبلهم و</w:t>
      </w:r>
      <w:r w:rsidR="00437525" w:rsidRPr="003B2B48">
        <w:rPr>
          <w:rFonts w:cs="Simplified Arabic" w:hint="cs"/>
          <w:sz w:val="20"/>
          <w:szCs w:val="20"/>
          <w:rtl/>
        </w:rPr>
        <w:t xml:space="preserve">ذات الأهمية النسبية المرتفعة ضمن مجموعات </w:t>
      </w:r>
      <w:r w:rsidR="001F4755" w:rsidRPr="003B2B48">
        <w:rPr>
          <w:rFonts w:cs="Simplified Arabic" w:hint="cs"/>
          <w:sz w:val="20"/>
          <w:szCs w:val="20"/>
          <w:rtl/>
        </w:rPr>
        <w:t>الإنفاق</w:t>
      </w:r>
      <w:r w:rsidR="00437525" w:rsidRPr="003B2B48">
        <w:rPr>
          <w:rFonts w:cs="Simplified Arabic" w:hint="cs"/>
          <w:sz w:val="20"/>
          <w:szCs w:val="20"/>
          <w:rtl/>
        </w:rPr>
        <w:t xml:space="preserve"> الرئيسية في الرقم القياسي لأسعار المستهلك </w:t>
      </w:r>
      <w:r w:rsidR="003B2B48">
        <w:rPr>
          <w:rFonts w:cs="Simplified Arabic" w:hint="cs"/>
          <w:sz w:val="20"/>
          <w:szCs w:val="20"/>
          <w:rtl/>
        </w:rPr>
        <w:t xml:space="preserve">وذلك بسبب </w:t>
      </w:r>
      <w:r w:rsidR="00437525" w:rsidRPr="003B2B48">
        <w:rPr>
          <w:rFonts w:cs="Simplified Arabic" w:hint="cs"/>
          <w:sz w:val="20"/>
          <w:szCs w:val="20"/>
          <w:rtl/>
        </w:rPr>
        <w:t xml:space="preserve">عدوان </w:t>
      </w:r>
      <w:r w:rsidR="003B2B48">
        <w:rPr>
          <w:rFonts w:cs="Simplified Arabic" w:hint="cs"/>
          <w:sz w:val="20"/>
          <w:szCs w:val="20"/>
          <w:rtl/>
        </w:rPr>
        <w:t xml:space="preserve">الاحتلال </w:t>
      </w:r>
      <w:r w:rsidR="00D1618C" w:rsidRPr="003B2B48">
        <w:rPr>
          <w:rFonts w:cs="Simplified Arabic" w:hint="cs"/>
          <w:sz w:val="20"/>
          <w:szCs w:val="20"/>
          <w:rtl/>
        </w:rPr>
        <w:t>الإسرائيلي</w:t>
      </w:r>
      <w:r w:rsidR="00437525" w:rsidRPr="003B2B48">
        <w:rPr>
          <w:rFonts w:cs="Simplified Arabic" w:hint="cs"/>
          <w:sz w:val="20"/>
          <w:szCs w:val="20"/>
          <w:rtl/>
        </w:rPr>
        <w:t xml:space="preserve"> على قطاع غزة </w:t>
      </w:r>
      <w:r w:rsidR="003B2B48">
        <w:rPr>
          <w:rFonts w:cs="Simplified Arabic" w:hint="cs"/>
          <w:sz w:val="20"/>
          <w:szCs w:val="20"/>
          <w:rtl/>
        </w:rPr>
        <w:t>م</w:t>
      </w:r>
      <w:r w:rsidR="005303D1">
        <w:rPr>
          <w:rFonts w:cs="Simplified Arabic" w:hint="cs"/>
          <w:sz w:val="20"/>
          <w:szCs w:val="20"/>
          <w:rtl/>
        </w:rPr>
        <w:t>ن</w:t>
      </w:r>
      <w:r w:rsidR="003B2B48">
        <w:rPr>
          <w:rFonts w:cs="Simplified Arabic" w:hint="cs"/>
          <w:sz w:val="20"/>
          <w:szCs w:val="20"/>
          <w:rtl/>
        </w:rPr>
        <w:t>ذ السابع من</w:t>
      </w:r>
      <w:r w:rsidR="00524E54">
        <w:rPr>
          <w:rFonts w:cs="Simplified Arabic" w:hint="cs"/>
          <w:sz w:val="20"/>
          <w:szCs w:val="20"/>
          <w:rtl/>
        </w:rPr>
        <w:t xml:space="preserve"> </w:t>
      </w:r>
      <w:r w:rsidR="003B2B48">
        <w:rPr>
          <w:rFonts w:cs="Simplified Arabic" w:hint="cs"/>
          <w:sz w:val="20"/>
          <w:szCs w:val="20"/>
          <w:rtl/>
        </w:rPr>
        <w:t>أكتوبر</w:t>
      </w:r>
      <w:r w:rsidR="00437525" w:rsidRPr="003B2B48">
        <w:rPr>
          <w:rFonts w:cs="Simplified Arabic" w:hint="cs"/>
          <w:sz w:val="20"/>
          <w:szCs w:val="20"/>
          <w:rtl/>
        </w:rPr>
        <w:t xml:space="preserve"> 2023.</w:t>
      </w:r>
    </w:p>
    <w:p w:rsidR="00184555" w:rsidRDefault="000C3B32" w:rsidP="005D767C">
      <w:pPr>
        <w:pStyle w:val="BodyText2"/>
        <w:spacing w:after="0" w:line="240" w:lineRule="auto"/>
        <w:ind w:left="-1"/>
        <w:jc w:val="both"/>
        <w:rPr>
          <w:rFonts w:cs="Simplified Arabic"/>
          <w:sz w:val="20"/>
          <w:szCs w:val="20"/>
          <w:rtl/>
        </w:rPr>
      </w:pPr>
      <w:r w:rsidRPr="00B61D7C">
        <w:rPr>
          <w:rFonts w:cs="Simplified Arabic"/>
          <w:sz w:val="20"/>
          <w:szCs w:val="20"/>
          <w:rtl/>
        </w:rPr>
        <w:t>تم استخدام الشي</w:t>
      </w:r>
      <w:r w:rsidRPr="00B61D7C">
        <w:rPr>
          <w:rFonts w:cs="Simplified Arabic" w:hint="cs"/>
          <w:sz w:val="20"/>
          <w:szCs w:val="20"/>
          <w:rtl/>
        </w:rPr>
        <w:t>ق</w:t>
      </w:r>
      <w:r w:rsidRPr="00B61D7C">
        <w:rPr>
          <w:rFonts w:cs="Simplified Arabic"/>
          <w:sz w:val="20"/>
          <w:szCs w:val="20"/>
          <w:rtl/>
        </w:rPr>
        <w:t xml:space="preserve">ل الإسرائيلي في تسعير السلع والخدمات. وقد بلغ </w:t>
      </w:r>
      <w:r w:rsidRPr="00B61D7C">
        <w:rPr>
          <w:rFonts w:cs="Simplified Arabic" w:hint="cs"/>
          <w:sz w:val="20"/>
          <w:szCs w:val="20"/>
          <w:rtl/>
        </w:rPr>
        <w:t>المعدل الشهري</w:t>
      </w:r>
      <w:r w:rsidR="00524E54">
        <w:rPr>
          <w:rFonts w:cs="Simplified Arabic" w:hint="cs"/>
          <w:sz w:val="20"/>
          <w:szCs w:val="20"/>
          <w:rtl/>
        </w:rPr>
        <w:t xml:space="preserve"> </w:t>
      </w:r>
      <w:r w:rsidRPr="00B61D7C">
        <w:rPr>
          <w:rFonts w:cs="Simplified Arabic" w:hint="cs"/>
          <w:sz w:val="20"/>
          <w:szCs w:val="20"/>
          <w:rtl/>
        </w:rPr>
        <w:t>ل</w:t>
      </w:r>
      <w:r w:rsidRPr="00B61D7C">
        <w:rPr>
          <w:rFonts w:cs="Simplified Arabic"/>
          <w:sz w:val="20"/>
          <w:szCs w:val="20"/>
          <w:rtl/>
        </w:rPr>
        <w:t>سعر صرف الدولار</w:t>
      </w:r>
      <w:r w:rsidRPr="00B61D7C">
        <w:rPr>
          <w:rFonts w:cs="Simplified Arabic" w:hint="cs"/>
          <w:sz w:val="20"/>
          <w:szCs w:val="20"/>
          <w:rtl/>
        </w:rPr>
        <w:t xml:space="preserve"> الأمريكي </w:t>
      </w:r>
      <w:r w:rsidRPr="00B61D7C">
        <w:rPr>
          <w:rFonts w:cs="Simplified Arabic"/>
          <w:sz w:val="20"/>
          <w:szCs w:val="20"/>
          <w:rtl/>
        </w:rPr>
        <w:t>مقابل الشي</w:t>
      </w:r>
      <w:r w:rsidRPr="00B61D7C">
        <w:rPr>
          <w:rFonts w:cs="Simplified Arabic" w:hint="cs"/>
          <w:sz w:val="20"/>
          <w:szCs w:val="20"/>
          <w:rtl/>
        </w:rPr>
        <w:t>ق</w:t>
      </w:r>
      <w:r w:rsidRPr="00B61D7C">
        <w:rPr>
          <w:rFonts w:cs="Simplified Arabic"/>
          <w:sz w:val="20"/>
          <w:szCs w:val="20"/>
          <w:rtl/>
        </w:rPr>
        <w:t>ل</w:t>
      </w:r>
      <w:r w:rsidRPr="00B61D7C">
        <w:rPr>
          <w:rFonts w:cs="Simplified Arabic" w:hint="cs"/>
          <w:sz w:val="20"/>
          <w:szCs w:val="20"/>
          <w:rtl/>
        </w:rPr>
        <w:t xml:space="preserve"> لشهر </w:t>
      </w:r>
      <w:r w:rsidR="005D767C">
        <w:rPr>
          <w:rFonts w:cs="Simplified Arabic" w:hint="cs"/>
          <w:sz w:val="20"/>
          <w:szCs w:val="20"/>
          <w:rtl/>
        </w:rPr>
        <w:t>تشرين أول</w:t>
      </w:r>
      <w:r w:rsidR="00524E54">
        <w:rPr>
          <w:rFonts w:cs="Simplified Arabic" w:hint="cs"/>
          <w:sz w:val="20"/>
          <w:szCs w:val="20"/>
          <w:rtl/>
        </w:rPr>
        <w:t xml:space="preserve"> </w:t>
      </w:r>
      <w:r w:rsidR="00522694" w:rsidRPr="00B61D7C">
        <w:rPr>
          <w:rFonts w:cs="Simplified Arabic" w:hint="cs"/>
          <w:sz w:val="20"/>
          <w:szCs w:val="20"/>
          <w:rtl/>
        </w:rPr>
        <w:t>2024</w:t>
      </w:r>
      <w:r w:rsidRPr="00B61D7C">
        <w:rPr>
          <w:rFonts w:cs="Simplified Arabic" w:hint="cs"/>
          <w:sz w:val="20"/>
          <w:szCs w:val="20"/>
          <w:rtl/>
        </w:rPr>
        <w:t xml:space="preserve"> (</w:t>
      </w:r>
      <w:r w:rsidR="00324042">
        <w:rPr>
          <w:rFonts w:cs="Simplified Arabic"/>
          <w:sz w:val="20"/>
          <w:szCs w:val="20"/>
        </w:rPr>
        <w:t>3.</w:t>
      </w:r>
      <w:r w:rsidR="005D767C">
        <w:rPr>
          <w:rFonts w:cs="Simplified Arabic"/>
          <w:sz w:val="20"/>
          <w:szCs w:val="20"/>
        </w:rPr>
        <w:t>76</w:t>
      </w:r>
      <w:r w:rsidR="00524E54">
        <w:rPr>
          <w:rFonts w:cs="Simplified Arabic" w:hint="cs"/>
          <w:sz w:val="20"/>
          <w:szCs w:val="20"/>
          <w:rtl/>
        </w:rPr>
        <w:t xml:space="preserve"> </w:t>
      </w:r>
      <w:r w:rsidRPr="00B61D7C">
        <w:rPr>
          <w:rFonts w:cs="Simplified Arabic" w:hint="cs"/>
          <w:sz w:val="20"/>
          <w:szCs w:val="20"/>
          <w:rtl/>
        </w:rPr>
        <w:t>شيقل/دولار).</w:t>
      </w:r>
    </w:p>
    <w:p w:rsidR="003421C1" w:rsidRPr="007A37CF" w:rsidRDefault="00026644" w:rsidP="007A37CF">
      <w:pPr>
        <w:pStyle w:val="BodyText2"/>
        <w:spacing w:after="0" w:line="240" w:lineRule="auto"/>
        <w:ind w:left="-1"/>
        <w:jc w:val="both"/>
        <w:rPr>
          <w:rFonts w:cs="Simplified Arabic"/>
          <w:sz w:val="20"/>
          <w:szCs w:val="20"/>
          <w:rtl/>
        </w:rPr>
      </w:pPr>
      <w:r>
        <w:rPr>
          <w:rFonts w:cs="Simplified Arabic" w:hint="cs"/>
          <w:sz w:val="20"/>
          <w:szCs w:val="20"/>
          <w:rtl/>
        </w:rPr>
        <w:t>المستوى السعري في قطاع غزة موزون</w:t>
      </w:r>
      <w:r w:rsidR="00A477C9">
        <w:rPr>
          <w:rFonts w:cs="Simplified Arabic" w:hint="cs"/>
          <w:sz w:val="20"/>
          <w:szCs w:val="20"/>
          <w:rtl/>
        </w:rPr>
        <w:t xml:space="preserve"> بحيث </w:t>
      </w:r>
      <w:r>
        <w:rPr>
          <w:rFonts w:cs="Simplified Arabic" w:hint="cs"/>
          <w:sz w:val="20"/>
          <w:szCs w:val="20"/>
          <w:rtl/>
        </w:rPr>
        <w:t>يشكل</w:t>
      </w:r>
      <w:r w:rsidR="00A477C9">
        <w:rPr>
          <w:rFonts w:cs="Simplified Arabic" w:hint="cs"/>
          <w:sz w:val="20"/>
          <w:szCs w:val="20"/>
          <w:rtl/>
        </w:rPr>
        <w:t xml:space="preserve"> السعر في شمال غزة ووسطها </w:t>
      </w:r>
      <w:r>
        <w:rPr>
          <w:rFonts w:cs="Simplified Arabic" w:hint="cs"/>
          <w:sz w:val="20"/>
          <w:szCs w:val="20"/>
          <w:rtl/>
        </w:rPr>
        <w:t>ما نسبته</w:t>
      </w:r>
      <w:r w:rsidR="00A477C9">
        <w:rPr>
          <w:rFonts w:cs="Simplified Arabic" w:hint="cs"/>
          <w:sz w:val="20"/>
          <w:szCs w:val="20"/>
          <w:rtl/>
        </w:rPr>
        <w:t xml:space="preserve"> 0.25% </w:t>
      </w:r>
      <w:r>
        <w:rPr>
          <w:rFonts w:cs="Simplified Arabic" w:hint="cs"/>
          <w:sz w:val="20"/>
          <w:szCs w:val="20"/>
          <w:rtl/>
        </w:rPr>
        <w:t xml:space="preserve">من المتوسط السعري الكلي </w:t>
      </w:r>
      <w:r w:rsidR="00A477C9">
        <w:rPr>
          <w:rFonts w:cs="Simplified Arabic" w:hint="cs"/>
          <w:sz w:val="20"/>
          <w:szCs w:val="20"/>
          <w:rtl/>
        </w:rPr>
        <w:t xml:space="preserve">بينما في رفح وخانيونس ودير البلح </w:t>
      </w:r>
      <w:r>
        <w:rPr>
          <w:rFonts w:cs="Simplified Arabic" w:hint="cs"/>
          <w:sz w:val="20"/>
          <w:szCs w:val="20"/>
          <w:rtl/>
        </w:rPr>
        <w:t>يشكل</w:t>
      </w:r>
      <w:r w:rsidR="00A477C9">
        <w:rPr>
          <w:rFonts w:cs="Simplified Arabic" w:hint="cs"/>
          <w:sz w:val="20"/>
          <w:szCs w:val="20"/>
          <w:rtl/>
        </w:rPr>
        <w:t xml:space="preserve"> 0.75%</w:t>
      </w:r>
      <w:r>
        <w:rPr>
          <w:rFonts w:cs="Simplified Arabic" w:hint="cs"/>
          <w:sz w:val="20"/>
          <w:szCs w:val="20"/>
          <w:rtl/>
        </w:rPr>
        <w:t>، حيث أن معظم عمليات الشراء تتم في المنطقة الوسطى والجنوبية من القطاع.</w:t>
      </w:r>
      <w:r w:rsidR="00A477C9">
        <w:rPr>
          <w:rFonts w:cs="Simplified Arabic" w:hint="cs"/>
          <w:sz w:val="20"/>
          <w:szCs w:val="20"/>
          <w:rtl/>
        </w:rPr>
        <w:t xml:space="preserve"> </w:t>
      </w:r>
    </w:p>
    <w:sectPr w:rsidR="003421C1" w:rsidRPr="007A37CF" w:rsidSect="006C2DE2">
      <w:footerReference w:type="even" r:id="rId8"/>
      <w:footerReference w:type="default" r:id="rId9"/>
      <w:pgSz w:w="11907" w:h="16840" w:code="9"/>
      <w:pgMar w:top="1134" w:right="851" w:bottom="567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ABF" w:rsidRDefault="00C53ABF">
      <w:r>
        <w:separator/>
      </w:r>
    </w:p>
  </w:endnote>
  <w:endnote w:type="continuationSeparator" w:id="0">
    <w:p w:rsidR="00C53ABF" w:rsidRDefault="00C5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0003B2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0003B2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CE5849">
      <w:rPr>
        <w:noProof/>
        <w:rtl/>
      </w:rPr>
      <w:t>1</w:t>
    </w:r>
    <w:r>
      <w:rPr>
        <w:noProof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ABF" w:rsidRDefault="00C53ABF">
      <w:r>
        <w:separator/>
      </w:r>
    </w:p>
  </w:footnote>
  <w:footnote w:type="continuationSeparator" w:id="0">
    <w:p w:rsidR="00C53ABF" w:rsidRDefault="00C53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6B87"/>
    <w:multiLevelType w:val="hybridMultilevel"/>
    <w:tmpl w:val="A7143AA6"/>
    <w:lvl w:ilvl="0" w:tplc="56A219F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7" w15:restartNumberingAfterBreak="0">
    <w:nsid w:val="5C1D18B5"/>
    <w:multiLevelType w:val="hybridMultilevel"/>
    <w:tmpl w:val="1844318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JO" w:vendorID="64" w:dllVersion="131078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03B2"/>
    <w:rsid w:val="00000764"/>
    <w:rsid w:val="0000077E"/>
    <w:rsid w:val="00001215"/>
    <w:rsid w:val="00001620"/>
    <w:rsid w:val="000017CB"/>
    <w:rsid w:val="0000484C"/>
    <w:rsid w:val="00005C40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32B"/>
    <w:rsid w:val="0001352C"/>
    <w:rsid w:val="0001358B"/>
    <w:rsid w:val="00013896"/>
    <w:rsid w:val="00013F45"/>
    <w:rsid w:val="0001407E"/>
    <w:rsid w:val="0001557B"/>
    <w:rsid w:val="0001574B"/>
    <w:rsid w:val="000203D8"/>
    <w:rsid w:val="00020C50"/>
    <w:rsid w:val="000216CA"/>
    <w:rsid w:val="0002170B"/>
    <w:rsid w:val="00021B49"/>
    <w:rsid w:val="00023F7F"/>
    <w:rsid w:val="000241E1"/>
    <w:rsid w:val="000252F7"/>
    <w:rsid w:val="00025944"/>
    <w:rsid w:val="00026644"/>
    <w:rsid w:val="0002687A"/>
    <w:rsid w:val="0002696E"/>
    <w:rsid w:val="00026E22"/>
    <w:rsid w:val="00026F0C"/>
    <w:rsid w:val="0002776B"/>
    <w:rsid w:val="000279AA"/>
    <w:rsid w:val="00027CA6"/>
    <w:rsid w:val="00027EE9"/>
    <w:rsid w:val="000306C3"/>
    <w:rsid w:val="00030E4F"/>
    <w:rsid w:val="00031BFA"/>
    <w:rsid w:val="000323BB"/>
    <w:rsid w:val="000339F1"/>
    <w:rsid w:val="00035419"/>
    <w:rsid w:val="0003558C"/>
    <w:rsid w:val="000375D1"/>
    <w:rsid w:val="00037600"/>
    <w:rsid w:val="00037C48"/>
    <w:rsid w:val="00037EF5"/>
    <w:rsid w:val="00040080"/>
    <w:rsid w:val="000400A6"/>
    <w:rsid w:val="000401EF"/>
    <w:rsid w:val="00040348"/>
    <w:rsid w:val="00040F3B"/>
    <w:rsid w:val="0004115C"/>
    <w:rsid w:val="00042B6E"/>
    <w:rsid w:val="00042D93"/>
    <w:rsid w:val="00044AE4"/>
    <w:rsid w:val="00045789"/>
    <w:rsid w:val="000458C4"/>
    <w:rsid w:val="00045A37"/>
    <w:rsid w:val="000462AD"/>
    <w:rsid w:val="00046A25"/>
    <w:rsid w:val="0004703C"/>
    <w:rsid w:val="00047FED"/>
    <w:rsid w:val="0005027E"/>
    <w:rsid w:val="00050809"/>
    <w:rsid w:val="00050D11"/>
    <w:rsid w:val="00051412"/>
    <w:rsid w:val="000517B6"/>
    <w:rsid w:val="00052776"/>
    <w:rsid w:val="000529B5"/>
    <w:rsid w:val="00052DB8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3A3"/>
    <w:rsid w:val="00062BC0"/>
    <w:rsid w:val="00062F37"/>
    <w:rsid w:val="00062F69"/>
    <w:rsid w:val="00063109"/>
    <w:rsid w:val="000637F4"/>
    <w:rsid w:val="000642E7"/>
    <w:rsid w:val="000643EC"/>
    <w:rsid w:val="000646EE"/>
    <w:rsid w:val="0006539C"/>
    <w:rsid w:val="00066015"/>
    <w:rsid w:val="00066231"/>
    <w:rsid w:val="00066C67"/>
    <w:rsid w:val="00070970"/>
    <w:rsid w:val="00070AD1"/>
    <w:rsid w:val="00070CB1"/>
    <w:rsid w:val="0007161C"/>
    <w:rsid w:val="000719DB"/>
    <w:rsid w:val="00071DBF"/>
    <w:rsid w:val="000722A3"/>
    <w:rsid w:val="000722CD"/>
    <w:rsid w:val="000723DB"/>
    <w:rsid w:val="00073C9C"/>
    <w:rsid w:val="000747CF"/>
    <w:rsid w:val="00074B10"/>
    <w:rsid w:val="00075E12"/>
    <w:rsid w:val="000766B6"/>
    <w:rsid w:val="00077188"/>
    <w:rsid w:val="00077269"/>
    <w:rsid w:val="0008020D"/>
    <w:rsid w:val="00080277"/>
    <w:rsid w:val="00080B3E"/>
    <w:rsid w:val="00081035"/>
    <w:rsid w:val="00081077"/>
    <w:rsid w:val="00081615"/>
    <w:rsid w:val="00082130"/>
    <w:rsid w:val="000826DA"/>
    <w:rsid w:val="00083C8C"/>
    <w:rsid w:val="00083E3B"/>
    <w:rsid w:val="00083F56"/>
    <w:rsid w:val="00084179"/>
    <w:rsid w:val="000844B1"/>
    <w:rsid w:val="0008488A"/>
    <w:rsid w:val="000852FB"/>
    <w:rsid w:val="000866FA"/>
    <w:rsid w:val="00086787"/>
    <w:rsid w:val="00086933"/>
    <w:rsid w:val="00086C77"/>
    <w:rsid w:val="00086CCE"/>
    <w:rsid w:val="00087739"/>
    <w:rsid w:val="00087952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61B"/>
    <w:rsid w:val="00096A10"/>
    <w:rsid w:val="00096B23"/>
    <w:rsid w:val="00096B35"/>
    <w:rsid w:val="00096BD5"/>
    <w:rsid w:val="000A0564"/>
    <w:rsid w:val="000A0EAC"/>
    <w:rsid w:val="000A2FA2"/>
    <w:rsid w:val="000A3A98"/>
    <w:rsid w:val="000A3E1F"/>
    <w:rsid w:val="000A4D7D"/>
    <w:rsid w:val="000A525E"/>
    <w:rsid w:val="000A67CD"/>
    <w:rsid w:val="000A67F5"/>
    <w:rsid w:val="000A6AF3"/>
    <w:rsid w:val="000A6B65"/>
    <w:rsid w:val="000A6EE4"/>
    <w:rsid w:val="000A7079"/>
    <w:rsid w:val="000A7C05"/>
    <w:rsid w:val="000B43D2"/>
    <w:rsid w:val="000B43FD"/>
    <w:rsid w:val="000B6038"/>
    <w:rsid w:val="000B6865"/>
    <w:rsid w:val="000B7122"/>
    <w:rsid w:val="000C0E22"/>
    <w:rsid w:val="000C1039"/>
    <w:rsid w:val="000C1494"/>
    <w:rsid w:val="000C1C82"/>
    <w:rsid w:val="000C1EE0"/>
    <w:rsid w:val="000C1F3D"/>
    <w:rsid w:val="000C23B6"/>
    <w:rsid w:val="000C25DE"/>
    <w:rsid w:val="000C2DC0"/>
    <w:rsid w:val="000C2FCA"/>
    <w:rsid w:val="000C3846"/>
    <w:rsid w:val="000C3B32"/>
    <w:rsid w:val="000C3E34"/>
    <w:rsid w:val="000C525D"/>
    <w:rsid w:val="000C5527"/>
    <w:rsid w:val="000C6793"/>
    <w:rsid w:val="000C759E"/>
    <w:rsid w:val="000C7E9E"/>
    <w:rsid w:val="000D2548"/>
    <w:rsid w:val="000D2FA6"/>
    <w:rsid w:val="000D3465"/>
    <w:rsid w:val="000D35D3"/>
    <w:rsid w:val="000D3AF6"/>
    <w:rsid w:val="000D3E7A"/>
    <w:rsid w:val="000D520E"/>
    <w:rsid w:val="000D52A0"/>
    <w:rsid w:val="000D52B3"/>
    <w:rsid w:val="000D612C"/>
    <w:rsid w:val="000D731D"/>
    <w:rsid w:val="000D7ED4"/>
    <w:rsid w:val="000E0499"/>
    <w:rsid w:val="000E05ED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1FA5"/>
    <w:rsid w:val="000F22A6"/>
    <w:rsid w:val="000F22FE"/>
    <w:rsid w:val="000F2FB5"/>
    <w:rsid w:val="000F3DFD"/>
    <w:rsid w:val="000F40FE"/>
    <w:rsid w:val="000F4F63"/>
    <w:rsid w:val="000F58A2"/>
    <w:rsid w:val="000F6B9A"/>
    <w:rsid w:val="000F6C0C"/>
    <w:rsid w:val="000F6F36"/>
    <w:rsid w:val="000F7081"/>
    <w:rsid w:val="000F7084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57C"/>
    <w:rsid w:val="00105A85"/>
    <w:rsid w:val="00105E29"/>
    <w:rsid w:val="0010621D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455E"/>
    <w:rsid w:val="00114A19"/>
    <w:rsid w:val="00115879"/>
    <w:rsid w:val="00115951"/>
    <w:rsid w:val="00115BDD"/>
    <w:rsid w:val="0011606F"/>
    <w:rsid w:val="00116447"/>
    <w:rsid w:val="00116A24"/>
    <w:rsid w:val="00116C7D"/>
    <w:rsid w:val="00116E5A"/>
    <w:rsid w:val="001174D3"/>
    <w:rsid w:val="0011773C"/>
    <w:rsid w:val="00117A8C"/>
    <w:rsid w:val="00120119"/>
    <w:rsid w:val="00120A02"/>
    <w:rsid w:val="0012173A"/>
    <w:rsid w:val="00121A2F"/>
    <w:rsid w:val="00121AEE"/>
    <w:rsid w:val="00121BCD"/>
    <w:rsid w:val="001222E3"/>
    <w:rsid w:val="00122ADD"/>
    <w:rsid w:val="00122D8F"/>
    <w:rsid w:val="00122EDB"/>
    <w:rsid w:val="00122FC7"/>
    <w:rsid w:val="001236E6"/>
    <w:rsid w:val="001238B3"/>
    <w:rsid w:val="00123D8D"/>
    <w:rsid w:val="00125187"/>
    <w:rsid w:val="00125A87"/>
    <w:rsid w:val="001261BF"/>
    <w:rsid w:val="0012672E"/>
    <w:rsid w:val="00126ACE"/>
    <w:rsid w:val="00126CD1"/>
    <w:rsid w:val="0012726A"/>
    <w:rsid w:val="0013166E"/>
    <w:rsid w:val="00131E1C"/>
    <w:rsid w:val="00132C19"/>
    <w:rsid w:val="001335CB"/>
    <w:rsid w:val="001347B3"/>
    <w:rsid w:val="00134DAD"/>
    <w:rsid w:val="001355A5"/>
    <w:rsid w:val="00135694"/>
    <w:rsid w:val="00135C91"/>
    <w:rsid w:val="001371B2"/>
    <w:rsid w:val="001377F1"/>
    <w:rsid w:val="001403EB"/>
    <w:rsid w:val="001407AF"/>
    <w:rsid w:val="00140D98"/>
    <w:rsid w:val="00140DAD"/>
    <w:rsid w:val="001410D7"/>
    <w:rsid w:val="00141F31"/>
    <w:rsid w:val="00142056"/>
    <w:rsid w:val="00142DF1"/>
    <w:rsid w:val="0014310C"/>
    <w:rsid w:val="00144E3C"/>
    <w:rsid w:val="00147041"/>
    <w:rsid w:val="0015074F"/>
    <w:rsid w:val="0015097F"/>
    <w:rsid w:val="00150C49"/>
    <w:rsid w:val="00151251"/>
    <w:rsid w:val="001515E6"/>
    <w:rsid w:val="00152D9F"/>
    <w:rsid w:val="001530F6"/>
    <w:rsid w:val="00153434"/>
    <w:rsid w:val="00153F02"/>
    <w:rsid w:val="00154670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20B"/>
    <w:rsid w:val="0016048E"/>
    <w:rsid w:val="001609C1"/>
    <w:rsid w:val="00161B7C"/>
    <w:rsid w:val="00161BD5"/>
    <w:rsid w:val="00161E17"/>
    <w:rsid w:val="001648E5"/>
    <w:rsid w:val="00164C88"/>
    <w:rsid w:val="00164E99"/>
    <w:rsid w:val="00166453"/>
    <w:rsid w:val="001667A4"/>
    <w:rsid w:val="00166B4E"/>
    <w:rsid w:val="00166DB5"/>
    <w:rsid w:val="001704FC"/>
    <w:rsid w:val="00170EA3"/>
    <w:rsid w:val="00172027"/>
    <w:rsid w:val="00172073"/>
    <w:rsid w:val="001726EB"/>
    <w:rsid w:val="001729B5"/>
    <w:rsid w:val="00172A1D"/>
    <w:rsid w:val="00172F1E"/>
    <w:rsid w:val="001731D2"/>
    <w:rsid w:val="0017339D"/>
    <w:rsid w:val="0017405E"/>
    <w:rsid w:val="00174435"/>
    <w:rsid w:val="00174E5B"/>
    <w:rsid w:val="001752C1"/>
    <w:rsid w:val="00175796"/>
    <w:rsid w:val="00175E5C"/>
    <w:rsid w:val="001762D5"/>
    <w:rsid w:val="001764D1"/>
    <w:rsid w:val="001766FD"/>
    <w:rsid w:val="00176898"/>
    <w:rsid w:val="00177EA0"/>
    <w:rsid w:val="0018035A"/>
    <w:rsid w:val="00180EAE"/>
    <w:rsid w:val="00181B11"/>
    <w:rsid w:val="00181E5D"/>
    <w:rsid w:val="0018303E"/>
    <w:rsid w:val="001830C6"/>
    <w:rsid w:val="001830FD"/>
    <w:rsid w:val="00184002"/>
    <w:rsid w:val="00184555"/>
    <w:rsid w:val="00184C65"/>
    <w:rsid w:val="00185B15"/>
    <w:rsid w:val="00187FD4"/>
    <w:rsid w:val="001901E2"/>
    <w:rsid w:val="001914BC"/>
    <w:rsid w:val="001926AA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5EBF"/>
    <w:rsid w:val="00196528"/>
    <w:rsid w:val="001965EE"/>
    <w:rsid w:val="00196A5C"/>
    <w:rsid w:val="0019731C"/>
    <w:rsid w:val="00197513"/>
    <w:rsid w:val="001A0854"/>
    <w:rsid w:val="001A0A69"/>
    <w:rsid w:val="001A1AA8"/>
    <w:rsid w:val="001A22F2"/>
    <w:rsid w:val="001A2A08"/>
    <w:rsid w:val="001A454C"/>
    <w:rsid w:val="001A47D7"/>
    <w:rsid w:val="001A5006"/>
    <w:rsid w:val="001A5A9D"/>
    <w:rsid w:val="001A5BD7"/>
    <w:rsid w:val="001A628B"/>
    <w:rsid w:val="001A717E"/>
    <w:rsid w:val="001B100A"/>
    <w:rsid w:val="001B10AF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2DC"/>
    <w:rsid w:val="001B5E6B"/>
    <w:rsid w:val="001B62AE"/>
    <w:rsid w:val="001B6808"/>
    <w:rsid w:val="001B7096"/>
    <w:rsid w:val="001B7473"/>
    <w:rsid w:val="001B7CA1"/>
    <w:rsid w:val="001C01BB"/>
    <w:rsid w:val="001C0242"/>
    <w:rsid w:val="001C0E94"/>
    <w:rsid w:val="001C0F1F"/>
    <w:rsid w:val="001C1176"/>
    <w:rsid w:val="001C11FA"/>
    <w:rsid w:val="001C1E28"/>
    <w:rsid w:val="001C37CA"/>
    <w:rsid w:val="001C5B63"/>
    <w:rsid w:val="001C645C"/>
    <w:rsid w:val="001C6AF5"/>
    <w:rsid w:val="001C75B8"/>
    <w:rsid w:val="001C7A11"/>
    <w:rsid w:val="001D0009"/>
    <w:rsid w:val="001D00EB"/>
    <w:rsid w:val="001D0268"/>
    <w:rsid w:val="001D04D4"/>
    <w:rsid w:val="001D0736"/>
    <w:rsid w:val="001D2CDF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6E42"/>
    <w:rsid w:val="001D7491"/>
    <w:rsid w:val="001D7E65"/>
    <w:rsid w:val="001D7F0C"/>
    <w:rsid w:val="001D7F3F"/>
    <w:rsid w:val="001E0959"/>
    <w:rsid w:val="001E0AF6"/>
    <w:rsid w:val="001E0BB1"/>
    <w:rsid w:val="001E1281"/>
    <w:rsid w:val="001E19E5"/>
    <w:rsid w:val="001E1A67"/>
    <w:rsid w:val="001E1A6E"/>
    <w:rsid w:val="001E1F1D"/>
    <w:rsid w:val="001E2076"/>
    <w:rsid w:val="001E3C58"/>
    <w:rsid w:val="001E3E28"/>
    <w:rsid w:val="001E3E81"/>
    <w:rsid w:val="001E4474"/>
    <w:rsid w:val="001E4500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2EB8"/>
    <w:rsid w:val="001F334B"/>
    <w:rsid w:val="001F3D7D"/>
    <w:rsid w:val="001F3D91"/>
    <w:rsid w:val="001F4755"/>
    <w:rsid w:val="001F47CE"/>
    <w:rsid w:val="001F4912"/>
    <w:rsid w:val="001F4DF2"/>
    <w:rsid w:val="001F5AC3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D44"/>
    <w:rsid w:val="00202D9F"/>
    <w:rsid w:val="00203BEF"/>
    <w:rsid w:val="00203F70"/>
    <w:rsid w:val="002059DE"/>
    <w:rsid w:val="00205F7E"/>
    <w:rsid w:val="002060D5"/>
    <w:rsid w:val="00206827"/>
    <w:rsid w:val="00206C0E"/>
    <w:rsid w:val="00206E39"/>
    <w:rsid w:val="00207054"/>
    <w:rsid w:val="002078F7"/>
    <w:rsid w:val="00210B41"/>
    <w:rsid w:val="00211375"/>
    <w:rsid w:val="00211712"/>
    <w:rsid w:val="00211E14"/>
    <w:rsid w:val="0021232F"/>
    <w:rsid w:val="00212670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65DF"/>
    <w:rsid w:val="00216990"/>
    <w:rsid w:val="0022161E"/>
    <w:rsid w:val="00221930"/>
    <w:rsid w:val="00221984"/>
    <w:rsid w:val="002220E9"/>
    <w:rsid w:val="00222E0F"/>
    <w:rsid w:val="00222E33"/>
    <w:rsid w:val="00223A86"/>
    <w:rsid w:val="00224DD6"/>
    <w:rsid w:val="0022671A"/>
    <w:rsid w:val="002271ED"/>
    <w:rsid w:val="002303C0"/>
    <w:rsid w:val="00230831"/>
    <w:rsid w:val="00230B12"/>
    <w:rsid w:val="002310CA"/>
    <w:rsid w:val="00231936"/>
    <w:rsid w:val="002333AF"/>
    <w:rsid w:val="0023359B"/>
    <w:rsid w:val="00233A0A"/>
    <w:rsid w:val="00234275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3AD"/>
    <w:rsid w:val="002426D6"/>
    <w:rsid w:val="0024292F"/>
    <w:rsid w:val="002429F9"/>
    <w:rsid w:val="00242B4E"/>
    <w:rsid w:val="00243196"/>
    <w:rsid w:val="00243614"/>
    <w:rsid w:val="00244547"/>
    <w:rsid w:val="0024511B"/>
    <w:rsid w:val="00245D90"/>
    <w:rsid w:val="00245FB9"/>
    <w:rsid w:val="00246405"/>
    <w:rsid w:val="0024675B"/>
    <w:rsid w:val="00246E6E"/>
    <w:rsid w:val="002470E0"/>
    <w:rsid w:val="002479A0"/>
    <w:rsid w:val="002510C0"/>
    <w:rsid w:val="0025131B"/>
    <w:rsid w:val="00251FAB"/>
    <w:rsid w:val="0025224D"/>
    <w:rsid w:val="002524A3"/>
    <w:rsid w:val="0025250D"/>
    <w:rsid w:val="00252A65"/>
    <w:rsid w:val="00252F8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1E61"/>
    <w:rsid w:val="00262077"/>
    <w:rsid w:val="002624B7"/>
    <w:rsid w:val="0026268D"/>
    <w:rsid w:val="00262952"/>
    <w:rsid w:val="002629DD"/>
    <w:rsid w:val="00263744"/>
    <w:rsid w:val="002639AA"/>
    <w:rsid w:val="002653B6"/>
    <w:rsid w:val="00265EDE"/>
    <w:rsid w:val="00267D6C"/>
    <w:rsid w:val="00270E0C"/>
    <w:rsid w:val="00270F3F"/>
    <w:rsid w:val="002715B8"/>
    <w:rsid w:val="00272099"/>
    <w:rsid w:val="0027263D"/>
    <w:rsid w:val="00272BB5"/>
    <w:rsid w:val="00273880"/>
    <w:rsid w:val="00274734"/>
    <w:rsid w:val="002759B8"/>
    <w:rsid w:val="00276560"/>
    <w:rsid w:val="00276A44"/>
    <w:rsid w:val="00277364"/>
    <w:rsid w:val="002779B2"/>
    <w:rsid w:val="002813D3"/>
    <w:rsid w:val="00283418"/>
    <w:rsid w:val="002841BB"/>
    <w:rsid w:val="002843C3"/>
    <w:rsid w:val="00284480"/>
    <w:rsid w:val="0028517D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4C46"/>
    <w:rsid w:val="00295A5B"/>
    <w:rsid w:val="00295D95"/>
    <w:rsid w:val="002962AE"/>
    <w:rsid w:val="002973CE"/>
    <w:rsid w:val="00297FDE"/>
    <w:rsid w:val="002A0C0F"/>
    <w:rsid w:val="002A1898"/>
    <w:rsid w:val="002A1B84"/>
    <w:rsid w:val="002A1F9A"/>
    <w:rsid w:val="002A2007"/>
    <w:rsid w:val="002A22BB"/>
    <w:rsid w:val="002A24C5"/>
    <w:rsid w:val="002A26D7"/>
    <w:rsid w:val="002A2C5F"/>
    <w:rsid w:val="002A2FA1"/>
    <w:rsid w:val="002A3F61"/>
    <w:rsid w:val="002A4DA8"/>
    <w:rsid w:val="002A5C3C"/>
    <w:rsid w:val="002A5CB8"/>
    <w:rsid w:val="002A5E3B"/>
    <w:rsid w:val="002A5F0D"/>
    <w:rsid w:val="002A61BC"/>
    <w:rsid w:val="002A7995"/>
    <w:rsid w:val="002B086D"/>
    <w:rsid w:val="002B0CB8"/>
    <w:rsid w:val="002B0D3E"/>
    <w:rsid w:val="002B20D1"/>
    <w:rsid w:val="002B256B"/>
    <w:rsid w:val="002B28D3"/>
    <w:rsid w:val="002B2D63"/>
    <w:rsid w:val="002B3AAE"/>
    <w:rsid w:val="002B3E0F"/>
    <w:rsid w:val="002B3E30"/>
    <w:rsid w:val="002B4014"/>
    <w:rsid w:val="002B6359"/>
    <w:rsid w:val="002B6B6A"/>
    <w:rsid w:val="002C07C0"/>
    <w:rsid w:val="002C0C08"/>
    <w:rsid w:val="002C1394"/>
    <w:rsid w:val="002C1C74"/>
    <w:rsid w:val="002C27E8"/>
    <w:rsid w:val="002C3194"/>
    <w:rsid w:val="002C40F0"/>
    <w:rsid w:val="002C4813"/>
    <w:rsid w:val="002C4E13"/>
    <w:rsid w:val="002C53F6"/>
    <w:rsid w:val="002C5592"/>
    <w:rsid w:val="002C5A58"/>
    <w:rsid w:val="002C6FD0"/>
    <w:rsid w:val="002C73FA"/>
    <w:rsid w:val="002C770B"/>
    <w:rsid w:val="002D00F2"/>
    <w:rsid w:val="002D0283"/>
    <w:rsid w:val="002D09E5"/>
    <w:rsid w:val="002D0D4A"/>
    <w:rsid w:val="002D1850"/>
    <w:rsid w:val="002D1A27"/>
    <w:rsid w:val="002D2DC7"/>
    <w:rsid w:val="002D3CB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181"/>
    <w:rsid w:val="002E0617"/>
    <w:rsid w:val="002E0968"/>
    <w:rsid w:val="002E0BC3"/>
    <w:rsid w:val="002E105C"/>
    <w:rsid w:val="002E1367"/>
    <w:rsid w:val="002E158B"/>
    <w:rsid w:val="002E1987"/>
    <w:rsid w:val="002E1F4C"/>
    <w:rsid w:val="002E23DE"/>
    <w:rsid w:val="002E256E"/>
    <w:rsid w:val="002E29D2"/>
    <w:rsid w:val="002E46ED"/>
    <w:rsid w:val="002E4913"/>
    <w:rsid w:val="002E5279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2FE"/>
    <w:rsid w:val="002F0B58"/>
    <w:rsid w:val="002F1339"/>
    <w:rsid w:val="002F380F"/>
    <w:rsid w:val="002F3813"/>
    <w:rsid w:val="002F3CF6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F89"/>
    <w:rsid w:val="00310B33"/>
    <w:rsid w:val="00310F91"/>
    <w:rsid w:val="00311161"/>
    <w:rsid w:val="00312C98"/>
    <w:rsid w:val="00312F0B"/>
    <w:rsid w:val="00312F52"/>
    <w:rsid w:val="003135B6"/>
    <w:rsid w:val="00313FCA"/>
    <w:rsid w:val="00314055"/>
    <w:rsid w:val="00314949"/>
    <w:rsid w:val="00314C95"/>
    <w:rsid w:val="003151C7"/>
    <w:rsid w:val="003156E8"/>
    <w:rsid w:val="00315F83"/>
    <w:rsid w:val="00316C37"/>
    <w:rsid w:val="00320216"/>
    <w:rsid w:val="00320469"/>
    <w:rsid w:val="0032062C"/>
    <w:rsid w:val="00320A34"/>
    <w:rsid w:val="003210DF"/>
    <w:rsid w:val="00321112"/>
    <w:rsid w:val="0032128D"/>
    <w:rsid w:val="00321552"/>
    <w:rsid w:val="00321730"/>
    <w:rsid w:val="00321CCD"/>
    <w:rsid w:val="003234C4"/>
    <w:rsid w:val="003234E8"/>
    <w:rsid w:val="00323D42"/>
    <w:rsid w:val="00324042"/>
    <w:rsid w:val="003243AB"/>
    <w:rsid w:val="003275C8"/>
    <w:rsid w:val="00327877"/>
    <w:rsid w:val="00327AAF"/>
    <w:rsid w:val="003308D4"/>
    <w:rsid w:val="0033141D"/>
    <w:rsid w:val="00331F64"/>
    <w:rsid w:val="003321E8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A77"/>
    <w:rsid w:val="00340DEE"/>
    <w:rsid w:val="00340E37"/>
    <w:rsid w:val="00340EC4"/>
    <w:rsid w:val="0034119F"/>
    <w:rsid w:val="00341237"/>
    <w:rsid w:val="003412F7"/>
    <w:rsid w:val="0034162D"/>
    <w:rsid w:val="00341772"/>
    <w:rsid w:val="00341CEF"/>
    <w:rsid w:val="003421C1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37F"/>
    <w:rsid w:val="00350683"/>
    <w:rsid w:val="00350778"/>
    <w:rsid w:val="00350E9F"/>
    <w:rsid w:val="00350EE3"/>
    <w:rsid w:val="003510BF"/>
    <w:rsid w:val="0035177B"/>
    <w:rsid w:val="003518D4"/>
    <w:rsid w:val="00352EAF"/>
    <w:rsid w:val="0035327B"/>
    <w:rsid w:val="00353730"/>
    <w:rsid w:val="00353FDB"/>
    <w:rsid w:val="00354995"/>
    <w:rsid w:val="0035509F"/>
    <w:rsid w:val="0035553D"/>
    <w:rsid w:val="0035583C"/>
    <w:rsid w:val="00355911"/>
    <w:rsid w:val="00355BD5"/>
    <w:rsid w:val="00356B86"/>
    <w:rsid w:val="00356F47"/>
    <w:rsid w:val="00357201"/>
    <w:rsid w:val="00360A96"/>
    <w:rsid w:val="00361431"/>
    <w:rsid w:val="00361CF2"/>
    <w:rsid w:val="003634BA"/>
    <w:rsid w:val="00363E46"/>
    <w:rsid w:val="00364F3A"/>
    <w:rsid w:val="00365300"/>
    <w:rsid w:val="0036554C"/>
    <w:rsid w:val="00366435"/>
    <w:rsid w:val="00366CA2"/>
    <w:rsid w:val="003679F7"/>
    <w:rsid w:val="0037008D"/>
    <w:rsid w:val="003705AE"/>
    <w:rsid w:val="00370C40"/>
    <w:rsid w:val="003713DE"/>
    <w:rsid w:val="0037224A"/>
    <w:rsid w:val="00372CDA"/>
    <w:rsid w:val="00372E1B"/>
    <w:rsid w:val="0037388A"/>
    <w:rsid w:val="0037395B"/>
    <w:rsid w:val="003740C3"/>
    <w:rsid w:val="003745AF"/>
    <w:rsid w:val="0037462A"/>
    <w:rsid w:val="00375CB7"/>
    <w:rsid w:val="00375D0D"/>
    <w:rsid w:val="0037671B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3C09"/>
    <w:rsid w:val="00384566"/>
    <w:rsid w:val="0038460D"/>
    <w:rsid w:val="00384C87"/>
    <w:rsid w:val="0038612C"/>
    <w:rsid w:val="00386A32"/>
    <w:rsid w:val="00386EAC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446A"/>
    <w:rsid w:val="00394B99"/>
    <w:rsid w:val="00394FF1"/>
    <w:rsid w:val="003957C3"/>
    <w:rsid w:val="00395AC6"/>
    <w:rsid w:val="00395BFE"/>
    <w:rsid w:val="00395C2B"/>
    <w:rsid w:val="003964D8"/>
    <w:rsid w:val="00396549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2B48"/>
    <w:rsid w:val="003B311C"/>
    <w:rsid w:val="003B3842"/>
    <w:rsid w:val="003B588D"/>
    <w:rsid w:val="003B5F5E"/>
    <w:rsid w:val="003B5F6C"/>
    <w:rsid w:val="003B6E40"/>
    <w:rsid w:val="003B729A"/>
    <w:rsid w:val="003B7682"/>
    <w:rsid w:val="003B799A"/>
    <w:rsid w:val="003B7F92"/>
    <w:rsid w:val="003C0943"/>
    <w:rsid w:val="003C2419"/>
    <w:rsid w:val="003C242C"/>
    <w:rsid w:val="003C25AB"/>
    <w:rsid w:val="003C2D5D"/>
    <w:rsid w:val="003C4615"/>
    <w:rsid w:val="003C4E7B"/>
    <w:rsid w:val="003C6BDC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6A12"/>
    <w:rsid w:val="003D6F32"/>
    <w:rsid w:val="003D7D4B"/>
    <w:rsid w:val="003E0331"/>
    <w:rsid w:val="003E09EF"/>
    <w:rsid w:val="003E0DC8"/>
    <w:rsid w:val="003E151F"/>
    <w:rsid w:val="003E1D96"/>
    <w:rsid w:val="003E21AB"/>
    <w:rsid w:val="003E3301"/>
    <w:rsid w:val="003E460F"/>
    <w:rsid w:val="003E4B82"/>
    <w:rsid w:val="003E5650"/>
    <w:rsid w:val="003E5F53"/>
    <w:rsid w:val="003E6425"/>
    <w:rsid w:val="003E66B3"/>
    <w:rsid w:val="003E6996"/>
    <w:rsid w:val="003E69F5"/>
    <w:rsid w:val="003E70D9"/>
    <w:rsid w:val="003E7681"/>
    <w:rsid w:val="003F0615"/>
    <w:rsid w:val="003F10D7"/>
    <w:rsid w:val="003F147A"/>
    <w:rsid w:val="003F16D0"/>
    <w:rsid w:val="003F217C"/>
    <w:rsid w:val="003F36E1"/>
    <w:rsid w:val="003F397E"/>
    <w:rsid w:val="003F3A5B"/>
    <w:rsid w:val="003F531A"/>
    <w:rsid w:val="003F5E7F"/>
    <w:rsid w:val="003F62E5"/>
    <w:rsid w:val="003F660F"/>
    <w:rsid w:val="003F7187"/>
    <w:rsid w:val="003F799E"/>
    <w:rsid w:val="003F7C82"/>
    <w:rsid w:val="00400474"/>
    <w:rsid w:val="004016D3"/>
    <w:rsid w:val="00401898"/>
    <w:rsid w:val="00401AF5"/>
    <w:rsid w:val="00401ED7"/>
    <w:rsid w:val="00402F83"/>
    <w:rsid w:val="004030DA"/>
    <w:rsid w:val="004031DD"/>
    <w:rsid w:val="00403431"/>
    <w:rsid w:val="00404BF7"/>
    <w:rsid w:val="004060F4"/>
    <w:rsid w:val="0040622C"/>
    <w:rsid w:val="004065E3"/>
    <w:rsid w:val="004069DA"/>
    <w:rsid w:val="00406E11"/>
    <w:rsid w:val="004077AA"/>
    <w:rsid w:val="0041041E"/>
    <w:rsid w:val="00410653"/>
    <w:rsid w:val="004126A0"/>
    <w:rsid w:val="00413327"/>
    <w:rsid w:val="004138C5"/>
    <w:rsid w:val="00413B40"/>
    <w:rsid w:val="0041421A"/>
    <w:rsid w:val="0041426B"/>
    <w:rsid w:val="00414767"/>
    <w:rsid w:val="00414A1D"/>
    <w:rsid w:val="004156E0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2B42"/>
    <w:rsid w:val="0042312C"/>
    <w:rsid w:val="004233F7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E35"/>
    <w:rsid w:val="00425F2A"/>
    <w:rsid w:val="004261AB"/>
    <w:rsid w:val="00426368"/>
    <w:rsid w:val="00427053"/>
    <w:rsid w:val="00427145"/>
    <w:rsid w:val="004275E8"/>
    <w:rsid w:val="004277B2"/>
    <w:rsid w:val="004277D4"/>
    <w:rsid w:val="0043053E"/>
    <w:rsid w:val="00431F9E"/>
    <w:rsid w:val="00432744"/>
    <w:rsid w:val="00432A79"/>
    <w:rsid w:val="00432D38"/>
    <w:rsid w:val="00432EAF"/>
    <w:rsid w:val="004338AA"/>
    <w:rsid w:val="00433972"/>
    <w:rsid w:val="00433D5E"/>
    <w:rsid w:val="00434396"/>
    <w:rsid w:val="00434CB3"/>
    <w:rsid w:val="00435335"/>
    <w:rsid w:val="00435408"/>
    <w:rsid w:val="004355E4"/>
    <w:rsid w:val="004358AD"/>
    <w:rsid w:val="00435E12"/>
    <w:rsid w:val="004366AC"/>
    <w:rsid w:val="004368E9"/>
    <w:rsid w:val="00436DB3"/>
    <w:rsid w:val="00437525"/>
    <w:rsid w:val="00437529"/>
    <w:rsid w:val="0043753D"/>
    <w:rsid w:val="004378B4"/>
    <w:rsid w:val="00437D74"/>
    <w:rsid w:val="00440F77"/>
    <w:rsid w:val="0044139F"/>
    <w:rsid w:val="004417E5"/>
    <w:rsid w:val="00441941"/>
    <w:rsid w:val="004420AC"/>
    <w:rsid w:val="004420D4"/>
    <w:rsid w:val="00443A80"/>
    <w:rsid w:val="00443C25"/>
    <w:rsid w:val="004445A7"/>
    <w:rsid w:val="00444B97"/>
    <w:rsid w:val="00444E20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0A35"/>
    <w:rsid w:val="00450B7F"/>
    <w:rsid w:val="004513EF"/>
    <w:rsid w:val="004518B9"/>
    <w:rsid w:val="00451B7C"/>
    <w:rsid w:val="00451CEF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2BF"/>
    <w:rsid w:val="00465416"/>
    <w:rsid w:val="004660FF"/>
    <w:rsid w:val="00466FF8"/>
    <w:rsid w:val="004670F4"/>
    <w:rsid w:val="00470A13"/>
    <w:rsid w:val="00471875"/>
    <w:rsid w:val="00471AF7"/>
    <w:rsid w:val="004723F2"/>
    <w:rsid w:val="00473564"/>
    <w:rsid w:val="00475275"/>
    <w:rsid w:val="0047570B"/>
    <w:rsid w:val="00475C56"/>
    <w:rsid w:val="00476816"/>
    <w:rsid w:val="004804CF"/>
    <w:rsid w:val="00481191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CA0"/>
    <w:rsid w:val="00497F3D"/>
    <w:rsid w:val="004A0A52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6FF0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1EF"/>
    <w:rsid w:val="004B37E0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076D"/>
    <w:rsid w:val="004C0E71"/>
    <w:rsid w:val="004C1CBA"/>
    <w:rsid w:val="004C2AD3"/>
    <w:rsid w:val="004C3352"/>
    <w:rsid w:val="004C33EE"/>
    <w:rsid w:val="004C4A37"/>
    <w:rsid w:val="004C5F3C"/>
    <w:rsid w:val="004C6029"/>
    <w:rsid w:val="004C6F44"/>
    <w:rsid w:val="004C7492"/>
    <w:rsid w:val="004C7BE2"/>
    <w:rsid w:val="004D0A7B"/>
    <w:rsid w:val="004D0F08"/>
    <w:rsid w:val="004D0F0F"/>
    <w:rsid w:val="004D1568"/>
    <w:rsid w:val="004D16A8"/>
    <w:rsid w:val="004D27C5"/>
    <w:rsid w:val="004D33EF"/>
    <w:rsid w:val="004D378D"/>
    <w:rsid w:val="004D41FB"/>
    <w:rsid w:val="004D5058"/>
    <w:rsid w:val="004D522E"/>
    <w:rsid w:val="004D5648"/>
    <w:rsid w:val="004D6664"/>
    <w:rsid w:val="004D7514"/>
    <w:rsid w:val="004D77AF"/>
    <w:rsid w:val="004D77D0"/>
    <w:rsid w:val="004E0491"/>
    <w:rsid w:val="004E167E"/>
    <w:rsid w:val="004E1A6D"/>
    <w:rsid w:val="004E1C96"/>
    <w:rsid w:val="004E2581"/>
    <w:rsid w:val="004E272E"/>
    <w:rsid w:val="004E2DC5"/>
    <w:rsid w:val="004E3B1A"/>
    <w:rsid w:val="004E4D5A"/>
    <w:rsid w:val="004E57FF"/>
    <w:rsid w:val="004E59F7"/>
    <w:rsid w:val="004E7AC6"/>
    <w:rsid w:val="004E7C54"/>
    <w:rsid w:val="004F1166"/>
    <w:rsid w:val="004F11DD"/>
    <w:rsid w:val="004F15F2"/>
    <w:rsid w:val="004F179C"/>
    <w:rsid w:val="004F1D5B"/>
    <w:rsid w:val="004F3015"/>
    <w:rsid w:val="004F3373"/>
    <w:rsid w:val="004F3527"/>
    <w:rsid w:val="004F3EAB"/>
    <w:rsid w:val="004F43FC"/>
    <w:rsid w:val="004F57D0"/>
    <w:rsid w:val="004F5BBD"/>
    <w:rsid w:val="004F66D2"/>
    <w:rsid w:val="004F6C0C"/>
    <w:rsid w:val="004F6D6E"/>
    <w:rsid w:val="004F7118"/>
    <w:rsid w:val="004F731F"/>
    <w:rsid w:val="004F7741"/>
    <w:rsid w:val="005000B5"/>
    <w:rsid w:val="005000FA"/>
    <w:rsid w:val="005001A5"/>
    <w:rsid w:val="005004C4"/>
    <w:rsid w:val="00501042"/>
    <w:rsid w:val="005012C2"/>
    <w:rsid w:val="005012ED"/>
    <w:rsid w:val="005019CA"/>
    <w:rsid w:val="005019D0"/>
    <w:rsid w:val="005020FD"/>
    <w:rsid w:val="00502830"/>
    <w:rsid w:val="00502B95"/>
    <w:rsid w:val="005033BC"/>
    <w:rsid w:val="005069A2"/>
    <w:rsid w:val="00506AA3"/>
    <w:rsid w:val="00506C9A"/>
    <w:rsid w:val="0050743E"/>
    <w:rsid w:val="005074E9"/>
    <w:rsid w:val="00507567"/>
    <w:rsid w:val="00507B8E"/>
    <w:rsid w:val="00510744"/>
    <w:rsid w:val="0051104D"/>
    <w:rsid w:val="00511EAA"/>
    <w:rsid w:val="00512490"/>
    <w:rsid w:val="005125B6"/>
    <w:rsid w:val="00512723"/>
    <w:rsid w:val="005130A6"/>
    <w:rsid w:val="00513A2B"/>
    <w:rsid w:val="00513D0D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444"/>
    <w:rsid w:val="0052255F"/>
    <w:rsid w:val="00522694"/>
    <w:rsid w:val="005226AC"/>
    <w:rsid w:val="00522A30"/>
    <w:rsid w:val="00522A5E"/>
    <w:rsid w:val="00522FB5"/>
    <w:rsid w:val="00523098"/>
    <w:rsid w:val="005231CF"/>
    <w:rsid w:val="0052334B"/>
    <w:rsid w:val="00523EE1"/>
    <w:rsid w:val="00524E54"/>
    <w:rsid w:val="00524E7D"/>
    <w:rsid w:val="005254B8"/>
    <w:rsid w:val="00525BF5"/>
    <w:rsid w:val="00525EDE"/>
    <w:rsid w:val="00526B9D"/>
    <w:rsid w:val="00526C6A"/>
    <w:rsid w:val="005271BC"/>
    <w:rsid w:val="005303D1"/>
    <w:rsid w:val="0053062F"/>
    <w:rsid w:val="00531ED3"/>
    <w:rsid w:val="00532854"/>
    <w:rsid w:val="00532C9C"/>
    <w:rsid w:val="00532D33"/>
    <w:rsid w:val="00534773"/>
    <w:rsid w:val="005358B1"/>
    <w:rsid w:val="005358FE"/>
    <w:rsid w:val="00535B0B"/>
    <w:rsid w:val="00536EDB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8CA"/>
    <w:rsid w:val="00544A83"/>
    <w:rsid w:val="00544C75"/>
    <w:rsid w:val="00545B98"/>
    <w:rsid w:val="00545C2E"/>
    <w:rsid w:val="00546C91"/>
    <w:rsid w:val="005471E4"/>
    <w:rsid w:val="00547B5E"/>
    <w:rsid w:val="005501E3"/>
    <w:rsid w:val="00550402"/>
    <w:rsid w:val="0055042E"/>
    <w:rsid w:val="00551254"/>
    <w:rsid w:val="005512AC"/>
    <w:rsid w:val="005522FB"/>
    <w:rsid w:val="00552FAA"/>
    <w:rsid w:val="005530A3"/>
    <w:rsid w:val="00553775"/>
    <w:rsid w:val="005539FB"/>
    <w:rsid w:val="00553D60"/>
    <w:rsid w:val="0055469D"/>
    <w:rsid w:val="00555559"/>
    <w:rsid w:val="005555B8"/>
    <w:rsid w:val="0055578C"/>
    <w:rsid w:val="00555E05"/>
    <w:rsid w:val="00555F4A"/>
    <w:rsid w:val="005560E1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2A3F"/>
    <w:rsid w:val="0056309B"/>
    <w:rsid w:val="00563E8C"/>
    <w:rsid w:val="00563F88"/>
    <w:rsid w:val="00565603"/>
    <w:rsid w:val="00565A8C"/>
    <w:rsid w:val="00567A2F"/>
    <w:rsid w:val="00567CF7"/>
    <w:rsid w:val="005701A2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2D7"/>
    <w:rsid w:val="00575468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13D"/>
    <w:rsid w:val="00582300"/>
    <w:rsid w:val="005823E8"/>
    <w:rsid w:val="00582516"/>
    <w:rsid w:val="0058340F"/>
    <w:rsid w:val="00583C4D"/>
    <w:rsid w:val="00583E32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4875"/>
    <w:rsid w:val="00595179"/>
    <w:rsid w:val="00596177"/>
    <w:rsid w:val="0059624D"/>
    <w:rsid w:val="0059655D"/>
    <w:rsid w:val="00596862"/>
    <w:rsid w:val="0059698D"/>
    <w:rsid w:val="00597B7E"/>
    <w:rsid w:val="005A0341"/>
    <w:rsid w:val="005A0500"/>
    <w:rsid w:val="005A085B"/>
    <w:rsid w:val="005A1403"/>
    <w:rsid w:val="005A1BB5"/>
    <w:rsid w:val="005A21DA"/>
    <w:rsid w:val="005A2307"/>
    <w:rsid w:val="005A2547"/>
    <w:rsid w:val="005A2A44"/>
    <w:rsid w:val="005A3532"/>
    <w:rsid w:val="005A3F71"/>
    <w:rsid w:val="005A51E4"/>
    <w:rsid w:val="005A535F"/>
    <w:rsid w:val="005A5892"/>
    <w:rsid w:val="005A6004"/>
    <w:rsid w:val="005A6113"/>
    <w:rsid w:val="005A67A3"/>
    <w:rsid w:val="005A6C23"/>
    <w:rsid w:val="005A7525"/>
    <w:rsid w:val="005A7765"/>
    <w:rsid w:val="005A7B88"/>
    <w:rsid w:val="005A7E7F"/>
    <w:rsid w:val="005B0706"/>
    <w:rsid w:val="005B0DF4"/>
    <w:rsid w:val="005B19F7"/>
    <w:rsid w:val="005B23AD"/>
    <w:rsid w:val="005B2ABC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767"/>
    <w:rsid w:val="005B6A83"/>
    <w:rsid w:val="005B76C3"/>
    <w:rsid w:val="005B7C45"/>
    <w:rsid w:val="005C0E76"/>
    <w:rsid w:val="005C183F"/>
    <w:rsid w:val="005C1A32"/>
    <w:rsid w:val="005C1B1B"/>
    <w:rsid w:val="005C211C"/>
    <w:rsid w:val="005C3674"/>
    <w:rsid w:val="005C3686"/>
    <w:rsid w:val="005C40B2"/>
    <w:rsid w:val="005C4661"/>
    <w:rsid w:val="005C48E4"/>
    <w:rsid w:val="005C5491"/>
    <w:rsid w:val="005C5B8B"/>
    <w:rsid w:val="005C64F2"/>
    <w:rsid w:val="005C6562"/>
    <w:rsid w:val="005C689F"/>
    <w:rsid w:val="005C6EDF"/>
    <w:rsid w:val="005C7DF8"/>
    <w:rsid w:val="005C7EEC"/>
    <w:rsid w:val="005D0295"/>
    <w:rsid w:val="005D0B50"/>
    <w:rsid w:val="005D14A3"/>
    <w:rsid w:val="005D16E7"/>
    <w:rsid w:val="005D1DF1"/>
    <w:rsid w:val="005D22D1"/>
    <w:rsid w:val="005D2B22"/>
    <w:rsid w:val="005D316E"/>
    <w:rsid w:val="005D3963"/>
    <w:rsid w:val="005D3CA0"/>
    <w:rsid w:val="005D3CBA"/>
    <w:rsid w:val="005D50F1"/>
    <w:rsid w:val="005D570C"/>
    <w:rsid w:val="005D5E0B"/>
    <w:rsid w:val="005D6632"/>
    <w:rsid w:val="005D765B"/>
    <w:rsid w:val="005D767C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7F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2F31"/>
    <w:rsid w:val="005F30AD"/>
    <w:rsid w:val="005F3498"/>
    <w:rsid w:val="005F3BC7"/>
    <w:rsid w:val="005F3CBB"/>
    <w:rsid w:val="005F3F87"/>
    <w:rsid w:val="005F50AF"/>
    <w:rsid w:val="005F5928"/>
    <w:rsid w:val="005F66EE"/>
    <w:rsid w:val="005F696F"/>
    <w:rsid w:val="005F70B7"/>
    <w:rsid w:val="0060009E"/>
    <w:rsid w:val="00600E0E"/>
    <w:rsid w:val="006012D5"/>
    <w:rsid w:val="00601318"/>
    <w:rsid w:val="00601727"/>
    <w:rsid w:val="006028CA"/>
    <w:rsid w:val="00602CCC"/>
    <w:rsid w:val="0060394E"/>
    <w:rsid w:val="006039B6"/>
    <w:rsid w:val="00603B06"/>
    <w:rsid w:val="00604669"/>
    <w:rsid w:val="0060536A"/>
    <w:rsid w:val="0060563E"/>
    <w:rsid w:val="006062BE"/>
    <w:rsid w:val="006074D7"/>
    <w:rsid w:val="00607840"/>
    <w:rsid w:val="00607D9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3FC1"/>
    <w:rsid w:val="006141C1"/>
    <w:rsid w:val="00614E35"/>
    <w:rsid w:val="0061518F"/>
    <w:rsid w:val="006152FC"/>
    <w:rsid w:val="00616556"/>
    <w:rsid w:val="00616B35"/>
    <w:rsid w:val="0061703E"/>
    <w:rsid w:val="00617187"/>
    <w:rsid w:val="00617600"/>
    <w:rsid w:val="006176B6"/>
    <w:rsid w:val="006203CD"/>
    <w:rsid w:val="00620409"/>
    <w:rsid w:val="0062090A"/>
    <w:rsid w:val="0062092C"/>
    <w:rsid w:val="00620959"/>
    <w:rsid w:val="0062178D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4F64"/>
    <w:rsid w:val="006251CE"/>
    <w:rsid w:val="00625F4D"/>
    <w:rsid w:val="0062607D"/>
    <w:rsid w:val="00626492"/>
    <w:rsid w:val="00626690"/>
    <w:rsid w:val="00626EE2"/>
    <w:rsid w:val="0062713E"/>
    <w:rsid w:val="0062739B"/>
    <w:rsid w:val="00627589"/>
    <w:rsid w:val="006275B4"/>
    <w:rsid w:val="00627969"/>
    <w:rsid w:val="00627A15"/>
    <w:rsid w:val="00627BA4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3D32"/>
    <w:rsid w:val="006347B7"/>
    <w:rsid w:val="00634B18"/>
    <w:rsid w:val="00635472"/>
    <w:rsid w:val="00635860"/>
    <w:rsid w:val="00636C41"/>
    <w:rsid w:val="006375EE"/>
    <w:rsid w:val="006377FC"/>
    <w:rsid w:val="00642440"/>
    <w:rsid w:val="00642EA9"/>
    <w:rsid w:val="00642EB6"/>
    <w:rsid w:val="0064351D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0D4B"/>
    <w:rsid w:val="006510CA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3EF"/>
    <w:rsid w:val="00657A1D"/>
    <w:rsid w:val="00657BF3"/>
    <w:rsid w:val="0066168B"/>
    <w:rsid w:val="00662F9A"/>
    <w:rsid w:val="0066398B"/>
    <w:rsid w:val="00663AE1"/>
    <w:rsid w:val="00663B41"/>
    <w:rsid w:val="00663D54"/>
    <w:rsid w:val="00664122"/>
    <w:rsid w:val="00664400"/>
    <w:rsid w:val="00664857"/>
    <w:rsid w:val="00664CC6"/>
    <w:rsid w:val="00666685"/>
    <w:rsid w:val="006668A7"/>
    <w:rsid w:val="00666C33"/>
    <w:rsid w:val="006670D1"/>
    <w:rsid w:val="00672A3C"/>
    <w:rsid w:val="00674C56"/>
    <w:rsid w:val="006753CB"/>
    <w:rsid w:val="0067585E"/>
    <w:rsid w:val="006765ED"/>
    <w:rsid w:val="00676A54"/>
    <w:rsid w:val="00676C58"/>
    <w:rsid w:val="00677594"/>
    <w:rsid w:val="00677864"/>
    <w:rsid w:val="00677C21"/>
    <w:rsid w:val="00680743"/>
    <w:rsid w:val="00680AA7"/>
    <w:rsid w:val="006815A5"/>
    <w:rsid w:val="006818D7"/>
    <w:rsid w:val="00681CD2"/>
    <w:rsid w:val="00681D4A"/>
    <w:rsid w:val="00681DFD"/>
    <w:rsid w:val="00681F18"/>
    <w:rsid w:val="0068202C"/>
    <w:rsid w:val="006825FC"/>
    <w:rsid w:val="00682903"/>
    <w:rsid w:val="00682ADC"/>
    <w:rsid w:val="006832A1"/>
    <w:rsid w:val="00684549"/>
    <w:rsid w:val="0068599D"/>
    <w:rsid w:val="00685DA7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1BF"/>
    <w:rsid w:val="00696B6D"/>
    <w:rsid w:val="00696FCC"/>
    <w:rsid w:val="006A07DB"/>
    <w:rsid w:val="006A0BE8"/>
    <w:rsid w:val="006A1D91"/>
    <w:rsid w:val="006A2348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35E"/>
    <w:rsid w:val="006B05D7"/>
    <w:rsid w:val="006B0605"/>
    <w:rsid w:val="006B1E71"/>
    <w:rsid w:val="006B2C63"/>
    <w:rsid w:val="006B2DB1"/>
    <w:rsid w:val="006B34A6"/>
    <w:rsid w:val="006B36AA"/>
    <w:rsid w:val="006B3836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1D3A"/>
    <w:rsid w:val="006C2028"/>
    <w:rsid w:val="006C2385"/>
    <w:rsid w:val="006C268E"/>
    <w:rsid w:val="006C2DE2"/>
    <w:rsid w:val="006C2E5A"/>
    <w:rsid w:val="006C390E"/>
    <w:rsid w:val="006C3A62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298C"/>
    <w:rsid w:val="006D3430"/>
    <w:rsid w:val="006D386E"/>
    <w:rsid w:val="006D424D"/>
    <w:rsid w:val="006D50A8"/>
    <w:rsid w:val="006D50F6"/>
    <w:rsid w:val="006D58CD"/>
    <w:rsid w:val="006D5C6E"/>
    <w:rsid w:val="006D6188"/>
    <w:rsid w:val="006D688F"/>
    <w:rsid w:val="006D6CBB"/>
    <w:rsid w:val="006D7434"/>
    <w:rsid w:val="006D7697"/>
    <w:rsid w:val="006E0271"/>
    <w:rsid w:val="006E0B12"/>
    <w:rsid w:val="006E0E56"/>
    <w:rsid w:val="006E14C1"/>
    <w:rsid w:val="006E1F0F"/>
    <w:rsid w:val="006E1F84"/>
    <w:rsid w:val="006E26D8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1D7"/>
    <w:rsid w:val="006E7751"/>
    <w:rsid w:val="006E7764"/>
    <w:rsid w:val="006E7D28"/>
    <w:rsid w:val="006F024A"/>
    <w:rsid w:val="006F1610"/>
    <w:rsid w:val="006F184B"/>
    <w:rsid w:val="006F24B0"/>
    <w:rsid w:val="006F27E8"/>
    <w:rsid w:val="006F2B00"/>
    <w:rsid w:val="006F2DB0"/>
    <w:rsid w:val="006F31A4"/>
    <w:rsid w:val="006F33CA"/>
    <w:rsid w:val="006F3D8C"/>
    <w:rsid w:val="006F432B"/>
    <w:rsid w:val="006F4FBC"/>
    <w:rsid w:val="006F507A"/>
    <w:rsid w:val="006F5453"/>
    <w:rsid w:val="006F58E7"/>
    <w:rsid w:val="006F5948"/>
    <w:rsid w:val="006F5B9F"/>
    <w:rsid w:val="006F605D"/>
    <w:rsid w:val="006F6174"/>
    <w:rsid w:val="006F64BC"/>
    <w:rsid w:val="006F6542"/>
    <w:rsid w:val="006F6981"/>
    <w:rsid w:val="006F74C3"/>
    <w:rsid w:val="006F769D"/>
    <w:rsid w:val="006F78C2"/>
    <w:rsid w:val="007001C6"/>
    <w:rsid w:val="0070083E"/>
    <w:rsid w:val="0070181A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53B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3CC2"/>
    <w:rsid w:val="00715C67"/>
    <w:rsid w:val="00715F4C"/>
    <w:rsid w:val="007169AF"/>
    <w:rsid w:val="00717177"/>
    <w:rsid w:val="0071784D"/>
    <w:rsid w:val="00717900"/>
    <w:rsid w:val="007201A8"/>
    <w:rsid w:val="007202AB"/>
    <w:rsid w:val="00720AAA"/>
    <w:rsid w:val="00720AE0"/>
    <w:rsid w:val="007217AE"/>
    <w:rsid w:val="007219F3"/>
    <w:rsid w:val="00721CB6"/>
    <w:rsid w:val="00721F84"/>
    <w:rsid w:val="0072275E"/>
    <w:rsid w:val="00722CE2"/>
    <w:rsid w:val="00722EBB"/>
    <w:rsid w:val="007230D8"/>
    <w:rsid w:val="00723E89"/>
    <w:rsid w:val="00723F3F"/>
    <w:rsid w:val="00725B2F"/>
    <w:rsid w:val="007270D1"/>
    <w:rsid w:val="00727121"/>
    <w:rsid w:val="0072772D"/>
    <w:rsid w:val="00727C99"/>
    <w:rsid w:val="00727FF4"/>
    <w:rsid w:val="007306C7"/>
    <w:rsid w:val="007306FD"/>
    <w:rsid w:val="0073187F"/>
    <w:rsid w:val="0073195D"/>
    <w:rsid w:val="00731E75"/>
    <w:rsid w:val="00731EC3"/>
    <w:rsid w:val="007328A0"/>
    <w:rsid w:val="00732F0F"/>
    <w:rsid w:val="007333D0"/>
    <w:rsid w:val="0073473B"/>
    <w:rsid w:val="007358F6"/>
    <w:rsid w:val="00736354"/>
    <w:rsid w:val="007363B2"/>
    <w:rsid w:val="00736EDC"/>
    <w:rsid w:val="0074008F"/>
    <w:rsid w:val="007419C3"/>
    <w:rsid w:val="007419EB"/>
    <w:rsid w:val="00742854"/>
    <w:rsid w:val="00743DCF"/>
    <w:rsid w:val="0074465A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1357"/>
    <w:rsid w:val="007521DE"/>
    <w:rsid w:val="00752520"/>
    <w:rsid w:val="007531A5"/>
    <w:rsid w:val="007531EF"/>
    <w:rsid w:val="00753298"/>
    <w:rsid w:val="00753524"/>
    <w:rsid w:val="00753598"/>
    <w:rsid w:val="007538AF"/>
    <w:rsid w:val="007548A0"/>
    <w:rsid w:val="007552EB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9A"/>
    <w:rsid w:val="007644C6"/>
    <w:rsid w:val="007646DC"/>
    <w:rsid w:val="00765207"/>
    <w:rsid w:val="00765FFA"/>
    <w:rsid w:val="007660B0"/>
    <w:rsid w:val="00766181"/>
    <w:rsid w:val="00766AE6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7DD"/>
    <w:rsid w:val="0077199C"/>
    <w:rsid w:val="00776011"/>
    <w:rsid w:val="00780A64"/>
    <w:rsid w:val="00781CF5"/>
    <w:rsid w:val="00782498"/>
    <w:rsid w:val="0078337D"/>
    <w:rsid w:val="007838CE"/>
    <w:rsid w:val="00784113"/>
    <w:rsid w:val="00784621"/>
    <w:rsid w:val="00784782"/>
    <w:rsid w:val="00784A0D"/>
    <w:rsid w:val="00784EBA"/>
    <w:rsid w:val="007856A7"/>
    <w:rsid w:val="00785BB2"/>
    <w:rsid w:val="00787601"/>
    <w:rsid w:val="00787688"/>
    <w:rsid w:val="00787A82"/>
    <w:rsid w:val="00787F93"/>
    <w:rsid w:val="00790181"/>
    <w:rsid w:val="00791133"/>
    <w:rsid w:val="00791CAF"/>
    <w:rsid w:val="00792364"/>
    <w:rsid w:val="00792373"/>
    <w:rsid w:val="00793511"/>
    <w:rsid w:val="007940BA"/>
    <w:rsid w:val="007943F9"/>
    <w:rsid w:val="007947B7"/>
    <w:rsid w:val="00795727"/>
    <w:rsid w:val="007960A1"/>
    <w:rsid w:val="00796347"/>
    <w:rsid w:val="00796768"/>
    <w:rsid w:val="00796CEF"/>
    <w:rsid w:val="0079720B"/>
    <w:rsid w:val="007A0ED2"/>
    <w:rsid w:val="007A11CD"/>
    <w:rsid w:val="007A1461"/>
    <w:rsid w:val="007A1A0C"/>
    <w:rsid w:val="007A1B46"/>
    <w:rsid w:val="007A2CB1"/>
    <w:rsid w:val="007A30D6"/>
    <w:rsid w:val="007A3114"/>
    <w:rsid w:val="007A37CF"/>
    <w:rsid w:val="007A5128"/>
    <w:rsid w:val="007A535B"/>
    <w:rsid w:val="007A599C"/>
    <w:rsid w:val="007A6F6C"/>
    <w:rsid w:val="007A7894"/>
    <w:rsid w:val="007A7A5B"/>
    <w:rsid w:val="007B0015"/>
    <w:rsid w:val="007B0350"/>
    <w:rsid w:val="007B0732"/>
    <w:rsid w:val="007B1038"/>
    <w:rsid w:val="007B107B"/>
    <w:rsid w:val="007B10D9"/>
    <w:rsid w:val="007B1329"/>
    <w:rsid w:val="007B1F21"/>
    <w:rsid w:val="007B20E9"/>
    <w:rsid w:val="007B2661"/>
    <w:rsid w:val="007B31A5"/>
    <w:rsid w:val="007B32BD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9E5"/>
    <w:rsid w:val="007B6CBB"/>
    <w:rsid w:val="007B6DBE"/>
    <w:rsid w:val="007B719E"/>
    <w:rsid w:val="007B7CE4"/>
    <w:rsid w:val="007C0C0B"/>
    <w:rsid w:val="007C2378"/>
    <w:rsid w:val="007C271C"/>
    <w:rsid w:val="007C335F"/>
    <w:rsid w:val="007C349B"/>
    <w:rsid w:val="007C411D"/>
    <w:rsid w:val="007C474C"/>
    <w:rsid w:val="007C4F69"/>
    <w:rsid w:val="007C5169"/>
    <w:rsid w:val="007C5699"/>
    <w:rsid w:val="007C679B"/>
    <w:rsid w:val="007C6BA8"/>
    <w:rsid w:val="007C77DB"/>
    <w:rsid w:val="007C7A80"/>
    <w:rsid w:val="007D0C2F"/>
    <w:rsid w:val="007D0E56"/>
    <w:rsid w:val="007D1C69"/>
    <w:rsid w:val="007D239F"/>
    <w:rsid w:val="007D296E"/>
    <w:rsid w:val="007D3DF8"/>
    <w:rsid w:val="007D47AB"/>
    <w:rsid w:val="007D560B"/>
    <w:rsid w:val="007D7094"/>
    <w:rsid w:val="007D7351"/>
    <w:rsid w:val="007E044B"/>
    <w:rsid w:val="007E0A62"/>
    <w:rsid w:val="007E2439"/>
    <w:rsid w:val="007E3870"/>
    <w:rsid w:val="007E3D3A"/>
    <w:rsid w:val="007E3F37"/>
    <w:rsid w:val="007E4488"/>
    <w:rsid w:val="007E4B2C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0FA4"/>
    <w:rsid w:val="007F14B1"/>
    <w:rsid w:val="007F24AF"/>
    <w:rsid w:val="007F263E"/>
    <w:rsid w:val="007F35E1"/>
    <w:rsid w:val="007F3651"/>
    <w:rsid w:val="007F4439"/>
    <w:rsid w:val="007F4528"/>
    <w:rsid w:val="007F4D3C"/>
    <w:rsid w:val="007F4DD2"/>
    <w:rsid w:val="007F5709"/>
    <w:rsid w:val="007F5A08"/>
    <w:rsid w:val="007F5D78"/>
    <w:rsid w:val="007F5F92"/>
    <w:rsid w:val="007F6520"/>
    <w:rsid w:val="007F732A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523"/>
    <w:rsid w:val="00805690"/>
    <w:rsid w:val="008058C6"/>
    <w:rsid w:val="008065A9"/>
    <w:rsid w:val="00806C04"/>
    <w:rsid w:val="00810BB1"/>
    <w:rsid w:val="00812090"/>
    <w:rsid w:val="008125B9"/>
    <w:rsid w:val="00812925"/>
    <w:rsid w:val="00812D77"/>
    <w:rsid w:val="0081468C"/>
    <w:rsid w:val="00814F2E"/>
    <w:rsid w:val="00814F6A"/>
    <w:rsid w:val="008150D9"/>
    <w:rsid w:val="00816207"/>
    <w:rsid w:val="00816499"/>
    <w:rsid w:val="008165E6"/>
    <w:rsid w:val="00816B46"/>
    <w:rsid w:val="00817507"/>
    <w:rsid w:val="008178F8"/>
    <w:rsid w:val="00817AD0"/>
    <w:rsid w:val="00820225"/>
    <w:rsid w:val="00820B37"/>
    <w:rsid w:val="00821797"/>
    <w:rsid w:val="0082303B"/>
    <w:rsid w:val="008243A2"/>
    <w:rsid w:val="0082581A"/>
    <w:rsid w:val="008258A4"/>
    <w:rsid w:val="00826513"/>
    <w:rsid w:val="00826C6A"/>
    <w:rsid w:val="00827642"/>
    <w:rsid w:val="00830278"/>
    <w:rsid w:val="0083059A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4A80"/>
    <w:rsid w:val="00835087"/>
    <w:rsid w:val="008360FF"/>
    <w:rsid w:val="00837CB2"/>
    <w:rsid w:val="00840FBF"/>
    <w:rsid w:val="00841134"/>
    <w:rsid w:val="00841315"/>
    <w:rsid w:val="00841900"/>
    <w:rsid w:val="0084226D"/>
    <w:rsid w:val="00842A61"/>
    <w:rsid w:val="00842DF1"/>
    <w:rsid w:val="0084312C"/>
    <w:rsid w:val="00843420"/>
    <w:rsid w:val="00843E6D"/>
    <w:rsid w:val="0084401E"/>
    <w:rsid w:val="00844084"/>
    <w:rsid w:val="008445DE"/>
    <w:rsid w:val="00844AF0"/>
    <w:rsid w:val="008457B2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6DD"/>
    <w:rsid w:val="00853D20"/>
    <w:rsid w:val="00854025"/>
    <w:rsid w:val="008540B5"/>
    <w:rsid w:val="0085488D"/>
    <w:rsid w:val="00854996"/>
    <w:rsid w:val="00856282"/>
    <w:rsid w:val="00856A4F"/>
    <w:rsid w:val="00856BB9"/>
    <w:rsid w:val="008570E3"/>
    <w:rsid w:val="0085772B"/>
    <w:rsid w:val="00857869"/>
    <w:rsid w:val="008601FD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32F"/>
    <w:rsid w:val="008656E9"/>
    <w:rsid w:val="008658D6"/>
    <w:rsid w:val="00865DC2"/>
    <w:rsid w:val="008662A1"/>
    <w:rsid w:val="00866674"/>
    <w:rsid w:val="00867029"/>
    <w:rsid w:val="008670FC"/>
    <w:rsid w:val="0086775A"/>
    <w:rsid w:val="00867913"/>
    <w:rsid w:val="00867DE7"/>
    <w:rsid w:val="0087002A"/>
    <w:rsid w:val="0087175A"/>
    <w:rsid w:val="0087197B"/>
    <w:rsid w:val="008721E1"/>
    <w:rsid w:val="008725EF"/>
    <w:rsid w:val="0087262D"/>
    <w:rsid w:val="008729A1"/>
    <w:rsid w:val="00872D26"/>
    <w:rsid w:val="00872DA9"/>
    <w:rsid w:val="00872E4A"/>
    <w:rsid w:val="00872FDF"/>
    <w:rsid w:val="00873F05"/>
    <w:rsid w:val="008746B6"/>
    <w:rsid w:val="00875973"/>
    <w:rsid w:val="00875FBB"/>
    <w:rsid w:val="00876262"/>
    <w:rsid w:val="00877185"/>
    <w:rsid w:val="008774AA"/>
    <w:rsid w:val="00880CA4"/>
    <w:rsid w:val="0088192A"/>
    <w:rsid w:val="008832A6"/>
    <w:rsid w:val="0088380F"/>
    <w:rsid w:val="00883D54"/>
    <w:rsid w:val="00883D8F"/>
    <w:rsid w:val="00884129"/>
    <w:rsid w:val="00884317"/>
    <w:rsid w:val="00884541"/>
    <w:rsid w:val="00884628"/>
    <w:rsid w:val="0088512C"/>
    <w:rsid w:val="00885464"/>
    <w:rsid w:val="00885634"/>
    <w:rsid w:val="008856AB"/>
    <w:rsid w:val="00885E4D"/>
    <w:rsid w:val="008860F2"/>
    <w:rsid w:val="008861A1"/>
    <w:rsid w:val="00886221"/>
    <w:rsid w:val="0088671C"/>
    <w:rsid w:val="0088685F"/>
    <w:rsid w:val="00887201"/>
    <w:rsid w:val="00887CB5"/>
    <w:rsid w:val="00890955"/>
    <w:rsid w:val="00891D75"/>
    <w:rsid w:val="00893016"/>
    <w:rsid w:val="008931C1"/>
    <w:rsid w:val="008935B9"/>
    <w:rsid w:val="00893971"/>
    <w:rsid w:val="00893E4E"/>
    <w:rsid w:val="00894A3E"/>
    <w:rsid w:val="0089579C"/>
    <w:rsid w:val="00895A9B"/>
    <w:rsid w:val="00897558"/>
    <w:rsid w:val="008A03E4"/>
    <w:rsid w:val="008A0C3E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BCC"/>
    <w:rsid w:val="008A6F0C"/>
    <w:rsid w:val="008A77C2"/>
    <w:rsid w:val="008B069C"/>
    <w:rsid w:val="008B0910"/>
    <w:rsid w:val="008B0932"/>
    <w:rsid w:val="008B098A"/>
    <w:rsid w:val="008B223B"/>
    <w:rsid w:val="008B2390"/>
    <w:rsid w:val="008B244B"/>
    <w:rsid w:val="008B3484"/>
    <w:rsid w:val="008B35BB"/>
    <w:rsid w:val="008B3791"/>
    <w:rsid w:val="008B49AE"/>
    <w:rsid w:val="008B4C58"/>
    <w:rsid w:val="008B5275"/>
    <w:rsid w:val="008B5932"/>
    <w:rsid w:val="008B69B0"/>
    <w:rsid w:val="008B6D2F"/>
    <w:rsid w:val="008B6E63"/>
    <w:rsid w:val="008B716E"/>
    <w:rsid w:val="008B7C4B"/>
    <w:rsid w:val="008C0AE0"/>
    <w:rsid w:val="008C1255"/>
    <w:rsid w:val="008C1690"/>
    <w:rsid w:val="008C3024"/>
    <w:rsid w:val="008C3208"/>
    <w:rsid w:val="008C3237"/>
    <w:rsid w:val="008C32A5"/>
    <w:rsid w:val="008C398E"/>
    <w:rsid w:val="008C3DBF"/>
    <w:rsid w:val="008C5657"/>
    <w:rsid w:val="008C58CD"/>
    <w:rsid w:val="008C5969"/>
    <w:rsid w:val="008C5F1E"/>
    <w:rsid w:val="008C64DE"/>
    <w:rsid w:val="008C663F"/>
    <w:rsid w:val="008D2D61"/>
    <w:rsid w:val="008D30E5"/>
    <w:rsid w:val="008D316A"/>
    <w:rsid w:val="008D339F"/>
    <w:rsid w:val="008D3AA1"/>
    <w:rsid w:val="008D3DBB"/>
    <w:rsid w:val="008D5068"/>
    <w:rsid w:val="008D5630"/>
    <w:rsid w:val="008D5999"/>
    <w:rsid w:val="008D5A7C"/>
    <w:rsid w:val="008D5B03"/>
    <w:rsid w:val="008D7974"/>
    <w:rsid w:val="008E0142"/>
    <w:rsid w:val="008E031F"/>
    <w:rsid w:val="008E08D2"/>
    <w:rsid w:val="008E1019"/>
    <w:rsid w:val="008E11B6"/>
    <w:rsid w:val="008E1D1C"/>
    <w:rsid w:val="008E26F9"/>
    <w:rsid w:val="008E2961"/>
    <w:rsid w:val="008E30E5"/>
    <w:rsid w:val="008E3EF2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915"/>
    <w:rsid w:val="008F1E78"/>
    <w:rsid w:val="008F1EE6"/>
    <w:rsid w:val="008F1F76"/>
    <w:rsid w:val="008F2A45"/>
    <w:rsid w:val="008F2FE4"/>
    <w:rsid w:val="008F4942"/>
    <w:rsid w:val="008F5461"/>
    <w:rsid w:val="008F6151"/>
    <w:rsid w:val="008F6307"/>
    <w:rsid w:val="008F6E0E"/>
    <w:rsid w:val="008F6FBE"/>
    <w:rsid w:val="008F7075"/>
    <w:rsid w:val="008F7491"/>
    <w:rsid w:val="008F74B5"/>
    <w:rsid w:val="008F7558"/>
    <w:rsid w:val="008F7BCE"/>
    <w:rsid w:val="00900606"/>
    <w:rsid w:val="00901001"/>
    <w:rsid w:val="00901217"/>
    <w:rsid w:val="00902E62"/>
    <w:rsid w:val="00903139"/>
    <w:rsid w:val="0090319A"/>
    <w:rsid w:val="00903D83"/>
    <w:rsid w:val="009042D3"/>
    <w:rsid w:val="00904917"/>
    <w:rsid w:val="00905666"/>
    <w:rsid w:val="00906036"/>
    <w:rsid w:val="009062FC"/>
    <w:rsid w:val="0090704F"/>
    <w:rsid w:val="00907968"/>
    <w:rsid w:val="00907976"/>
    <w:rsid w:val="009079B0"/>
    <w:rsid w:val="009102EB"/>
    <w:rsid w:val="00910530"/>
    <w:rsid w:val="00911558"/>
    <w:rsid w:val="0091174A"/>
    <w:rsid w:val="00912E1A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0AB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1950"/>
    <w:rsid w:val="0092210F"/>
    <w:rsid w:val="00922806"/>
    <w:rsid w:val="0092351F"/>
    <w:rsid w:val="00923BFE"/>
    <w:rsid w:val="00924152"/>
    <w:rsid w:val="00924713"/>
    <w:rsid w:val="00925746"/>
    <w:rsid w:val="00925C34"/>
    <w:rsid w:val="0092615B"/>
    <w:rsid w:val="00926946"/>
    <w:rsid w:val="00927AF6"/>
    <w:rsid w:val="00927C96"/>
    <w:rsid w:val="00927E2C"/>
    <w:rsid w:val="009304D4"/>
    <w:rsid w:val="009305AC"/>
    <w:rsid w:val="009305BC"/>
    <w:rsid w:val="00930A61"/>
    <w:rsid w:val="009312F4"/>
    <w:rsid w:val="009317E6"/>
    <w:rsid w:val="00931AC3"/>
    <w:rsid w:val="00931B6F"/>
    <w:rsid w:val="00932312"/>
    <w:rsid w:val="009327DC"/>
    <w:rsid w:val="00933436"/>
    <w:rsid w:val="0093434A"/>
    <w:rsid w:val="009353C5"/>
    <w:rsid w:val="00935C03"/>
    <w:rsid w:val="00937515"/>
    <w:rsid w:val="00937EA3"/>
    <w:rsid w:val="00940084"/>
    <w:rsid w:val="0094082C"/>
    <w:rsid w:val="00940D4E"/>
    <w:rsid w:val="0094161A"/>
    <w:rsid w:val="00941AD7"/>
    <w:rsid w:val="009425CA"/>
    <w:rsid w:val="009427F5"/>
    <w:rsid w:val="00943629"/>
    <w:rsid w:val="009443C0"/>
    <w:rsid w:val="009453CF"/>
    <w:rsid w:val="0094589F"/>
    <w:rsid w:val="00945F11"/>
    <w:rsid w:val="00946BF0"/>
    <w:rsid w:val="00947C61"/>
    <w:rsid w:val="009503B2"/>
    <w:rsid w:val="00950CF2"/>
    <w:rsid w:val="009515B8"/>
    <w:rsid w:val="009533CE"/>
    <w:rsid w:val="00953C52"/>
    <w:rsid w:val="00953E46"/>
    <w:rsid w:val="009540E8"/>
    <w:rsid w:val="009546F8"/>
    <w:rsid w:val="0095519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43F"/>
    <w:rsid w:val="00971F09"/>
    <w:rsid w:val="00972556"/>
    <w:rsid w:val="00972C96"/>
    <w:rsid w:val="0097367D"/>
    <w:rsid w:val="00973BDB"/>
    <w:rsid w:val="00974A9D"/>
    <w:rsid w:val="009751BE"/>
    <w:rsid w:val="00975297"/>
    <w:rsid w:val="00975EA2"/>
    <w:rsid w:val="00975F72"/>
    <w:rsid w:val="00976C86"/>
    <w:rsid w:val="009772A8"/>
    <w:rsid w:val="00977398"/>
    <w:rsid w:val="00977EC8"/>
    <w:rsid w:val="00980254"/>
    <w:rsid w:val="00980486"/>
    <w:rsid w:val="009808FD"/>
    <w:rsid w:val="00981102"/>
    <w:rsid w:val="009813D0"/>
    <w:rsid w:val="009816B7"/>
    <w:rsid w:val="0098183E"/>
    <w:rsid w:val="009838B9"/>
    <w:rsid w:val="00984EBF"/>
    <w:rsid w:val="009852DE"/>
    <w:rsid w:val="00986563"/>
    <w:rsid w:val="0098675E"/>
    <w:rsid w:val="009911C4"/>
    <w:rsid w:val="0099157B"/>
    <w:rsid w:val="00992526"/>
    <w:rsid w:val="00993BDF"/>
    <w:rsid w:val="00993C2B"/>
    <w:rsid w:val="00994127"/>
    <w:rsid w:val="0099424D"/>
    <w:rsid w:val="0099548C"/>
    <w:rsid w:val="009961C3"/>
    <w:rsid w:val="009968AD"/>
    <w:rsid w:val="0099741B"/>
    <w:rsid w:val="009A17B4"/>
    <w:rsid w:val="009A1E1E"/>
    <w:rsid w:val="009A1EF1"/>
    <w:rsid w:val="009A2084"/>
    <w:rsid w:val="009A2B2E"/>
    <w:rsid w:val="009A2CA1"/>
    <w:rsid w:val="009A2E55"/>
    <w:rsid w:val="009A30AC"/>
    <w:rsid w:val="009A323B"/>
    <w:rsid w:val="009A423F"/>
    <w:rsid w:val="009A49EA"/>
    <w:rsid w:val="009A4F26"/>
    <w:rsid w:val="009A5A10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3F03"/>
    <w:rsid w:val="009C4BDD"/>
    <w:rsid w:val="009C4D54"/>
    <w:rsid w:val="009C4E26"/>
    <w:rsid w:val="009C5390"/>
    <w:rsid w:val="009C57B8"/>
    <w:rsid w:val="009C5899"/>
    <w:rsid w:val="009C5B8D"/>
    <w:rsid w:val="009C5C97"/>
    <w:rsid w:val="009C618A"/>
    <w:rsid w:val="009C6EB8"/>
    <w:rsid w:val="009C7B7E"/>
    <w:rsid w:val="009C7DEE"/>
    <w:rsid w:val="009C7E41"/>
    <w:rsid w:val="009D028D"/>
    <w:rsid w:val="009D053E"/>
    <w:rsid w:val="009D121F"/>
    <w:rsid w:val="009D1442"/>
    <w:rsid w:val="009D1517"/>
    <w:rsid w:val="009D18CD"/>
    <w:rsid w:val="009D2A03"/>
    <w:rsid w:val="009D3304"/>
    <w:rsid w:val="009D3496"/>
    <w:rsid w:val="009D3B3B"/>
    <w:rsid w:val="009D3B57"/>
    <w:rsid w:val="009D498E"/>
    <w:rsid w:val="009D532A"/>
    <w:rsid w:val="009D5D87"/>
    <w:rsid w:val="009D5D90"/>
    <w:rsid w:val="009D6311"/>
    <w:rsid w:val="009D7367"/>
    <w:rsid w:val="009D7974"/>
    <w:rsid w:val="009E013B"/>
    <w:rsid w:val="009E02FA"/>
    <w:rsid w:val="009E05FB"/>
    <w:rsid w:val="009E0728"/>
    <w:rsid w:val="009E0C0A"/>
    <w:rsid w:val="009E1B07"/>
    <w:rsid w:val="009E23F9"/>
    <w:rsid w:val="009E25F9"/>
    <w:rsid w:val="009E2F16"/>
    <w:rsid w:val="009E3721"/>
    <w:rsid w:val="009E3B1F"/>
    <w:rsid w:val="009E4041"/>
    <w:rsid w:val="009E4632"/>
    <w:rsid w:val="009E49D5"/>
    <w:rsid w:val="009E4CE1"/>
    <w:rsid w:val="009E4E62"/>
    <w:rsid w:val="009E50AB"/>
    <w:rsid w:val="009E5504"/>
    <w:rsid w:val="009E58AB"/>
    <w:rsid w:val="009E669C"/>
    <w:rsid w:val="009E71A3"/>
    <w:rsid w:val="009E7C0B"/>
    <w:rsid w:val="009F1763"/>
    <w:rsid w:val="009F1984"/>
    <w:rsid w:val="009F1D86"/>
    <w:rsid w:val="009F2C88"/>
    <w:rsid w:val="009F30D8"/>
    <w:rsid w:val="009F4002"/>
    <w:rsid w:val="009F4019"/>
    <w:rsid w:val="009F4FB2"/>
    <w:rsid w:val="009F5ECB"/>
    <w:rsid w:val="009F64E4"/>
    <w:rsid w:val="009F6A84"/>
    <w:rsid w:val="009F7B0D"/>
    <w:rsid w:val="009F7CB6"/>
    <w:rsid w:val="009F7E04"/>
    <w:rsid w:val="00A006A8"/>
    <w:rsid w:val="00A00934"/>
    <w:rsid w:val="00A01580"/>
    <w:rsid w:val="00A02A70"/>
    <w:rsid w:val="00A03C6C"/>
    <w:rsid w:val="00A042D3"/>
    <w:rsid w:val="00A04DCE"/>
    <w:rsid w:val="00A055E4"/>
    <w:rsid w:val="00A05831"/>
    <w:rsid w:val="00A05BD4"/>
    <w:rsid w:val="00A06213"/>
    <w:rsid w:val="00A06DC6"/>
    <w:rsid w:val="00A06EFA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6FA1"/>
    <w:rsid w:val="00A1764E"/>
    <w:rsid w:val="00A17DEB"/>
    <w:rsid w:val="00A208DA"/>
    <w:rsid w:val="00A21427"/>
    <w:rsid w:val="00A22D5F"/>
    <w:rsid w:val="00A22F1D"/>
    <w:rsid w:val="00A23613"/>
    <w:rsid w:val="00A250F0"/>
    <w:rsid w:val="00A25B1A"/>
    <w:rsid w:val="00A25C32"/>
    <w:rsid w:val="00A25E49"/>
    <w:rsid w:val="00A26243"/>
    <w:rsid w:val="00A26577"/>
    <w:rsid w:val="00A26CC7"/>
    <w:rsid w:val="00A27150"/>
    <w:rsid w:val="00A30A6A"/>
    <w:rsid w:val="00A3107E"/>
    <w:rsid w:val="00A333D5"/>
    <w:rsid w:val="00A33710"/>
    <w:rsid w:val="00A33A97"/>
    <w:rsid w:val="00A34F4D"/>
    <w:rsid w:val="00A350C7"/>
    <w:rsid w:val="00A352BA"/>
    <w:rsid w:val="00A36BB4"/>
    <w:rsid w:val="00A3706F"/>
    <w:rsid w:val="00A37251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7D"/>
    <w:rsid w:val="00A428E8"/>
    <w:rsid w:val="00A43E2D"/>
    <w:rsid w:val="00A44267"/>
    <w:rsid w:val="00A4453A"/>
    <w:rsid w:val="00A445BB"/>
    <w:rsid w:val="00A44A29"/>
    <w:rsid w:val="00A44B1A"/>
    <w:rsid w:val="00A45565"/>
    <w:rsid w:val="00A45E4E"/>
    <w:rsid w:val="00A4602A"/>
    <w:rsid w:val="00A46522"/>
    <w:rsid w:val="00A465D9"/>
    <w:rsid w:val="00A46738"/>
    <w:rsid w:val="00A470B5"/>
    <w:rsid w:val="00A477C9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C28"/>
    <w:rsid w:val="00A55E4D"/>
    <w:rsid w:val="00A565BA"/>
    <w:rsid w:val="00A57501"/>
    <w:rsid w:val="00A57C70"/>
    <w:rsid w:val="00A60E68"/>
    <w:rsid w:val="00A611E9"/>
    <w:rsid w:val="00A61DD5"/>
    <w:rsid w:val="00A61ED5"/>
    <w:rsid w:val="00A624B2"/>
    <w:rsid w:val="00A63C82"/>
    <w:rsid w:val="00A642C8"/>
    <w:rsid w:val="00A657BD"/>
    <w:rsid w:val="00A664E0"/>
    <w:rsid w:val="00A66582"/>
    <w:rsid w:val="00A6724D"/>
    <w:rsid w:val="00A6725C"/>
    <w:rsid w:val="00A6768B"/>
    <w:rsid w:val="00A67F33"/>
    <w:rsid w:val="00A67FAE"/>
    <w:rsid w:val="00A70FC0"/>
    <w:rsid w:val="00A71389"/>
    <w:rsid w:val="00A7297E"/>
    <w:rsid w:val="00A73750"/>
    <w:rsid w:val="00A74A49"/>
    <w:rsid w:val="00A7530C"/>
    <w:rsid w:val="00A75649"/>
    <w:rsid w:val="00A7566F"/>
    <w:rsid w:val="00A75CDF"/>
    <w:rsid w:val="00A76275"/>
    <w:rsid w:val="00A7644C"/>
    <w:rsid w:val="00A7684F"/>
    <w:rsid w:val="00A769E7"/>
    <w:rsid w:val="00A76BA5"/>
    <w:rsid w:val="00A773E8"/>
    <w:rsid w:val="00A77DFC"/>
    <w:rsid w:val="00A77FEA"/>
    <w:rsid w:val="00A77FED"/>
    <w:rsid w:val="00A800DA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5EA9"/>
    <w:rsid w:val="00A86499"/>
    <w:rsid w:val="00A86825"/>
    <w:rsid w:val="00A86CB4"/>
    <w:rsid w:val="00A874C2"/>
    <w:rsid w:val="00A87718"/>
    <w:rsid w:val="00A90B43"/>
    <w:rsid w:val="00A90E0A"/>
    <w:rsid w:val="00A91E96"/>
    <w:rsid w:val="00A91E97"/>
    <w:rsid w:val="00A92600"/>
    <w:rsid w:val="00A9269F"/>
    <w:rsid w:val="00A928C6"/>
    <w:rsid w:val="00A93A41"/>
    <w:rsid w:val="00A94135"/>
    <w:rsid w:val="00A94683"/>
    <w:rsid w:val="00A94EDF"/>
    <w:rsid w:val="00A956CC"/>
    <w:rsid w:val="00A959AB"/>
    <w:rsid w:val="00A95EEA"/>
    <w:rsid w:val="00A96325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B17"/>
    <w:rsid w:val="00AA2D0E"/>
    <w:rsid w:val="00AA3046"/>
    <w:rsid w:val="00AA3453"/>
    <w:rsid w:val="00AA34E5"/>
    <w:rsid w:val="00AA3541"/>
    <w:rsid w:val="00AA3625"/>
    <w:rsid w:val="00AA36A0"/>
    <w:rsid w:val="00AA3BE5"/>
    <w:rsid w:val="00AA7AA0"/>
    <w:rsid w:val="00AB0814"/>
    <w:rsid w:val="00AB1EF4"/>
    <w:rsid w:val="00AB1FEE"/>
    <w:rsid w:val="00AB24F6"/>
    <w:rsid w:val="00AB3409"/>
    <w:rsid w:val="00AB3847"/>
    <w:rsid w:val="00AB3C2D"/>
    <w:rsid w:val="00AB3C71"/>
    <w:rsid w:val="00AB4077"/>
    <w:rsid w:val="00AB4887"/>
    <w:rsid w:val="00AB4EB5"/>
    <w:rsid w:val="00AB50CF"/>
    <w:rsid w:val="00AB54BC"/>
    <w:rsid w:val="00AB55B7"/>
    <w:rsid w:val="00AB61D1"/>
    <w:rsid w:val="00AB64D6"/>
    <w:rsid w:val="00AB75C4"/>
    <w:rsid w:val="00AB7B0B"/>
    <w:rsid w:val="00AB7D35"/>
    <w:rsid w:val="00AB7DF4"/>
    <w:rsid w:val="00AC040F"/>
    <w:rsid w:val="00AC2987"/>
    <w:rsid w:val="00AC33EC"/>
    <w:rsid w:val="00AC4406"/>
    <w:rsid w:val="00AC4F58"/>
    <w:rsid w:val="00AC65AA"/>
    <w:rsid w:val="00AC65E1"/>
    <w:rsid w:val="00AC666C"/>
    <w:rsid w:val="00AC689C"/>
    <w:rsid w:val="00AC704F"/>
    <w:rsid w:val="00AC7AE4"/>
    <w:rsid w:val="00AD02BC"/>
    <w:rsid w:val="00AD0C8A"/>
    <w:rsid w:val="00AD107A"/>
    <w:rsid w:val="00AD20D4"/>
    <w:rsid w:val="00AD281E"/>
    <w:rsid w:val="00AD3035"/>
    <w:rsid w:val="00AD34F1"/>
    <w:rsid w:val="00AD3D9E"/>
    <w:rsid w:val="00AD4286"/>
    <w:rsid w:val="00AD4703"/>
    <w:rsid w:val="00AD47C4"/>
    <w:rsid w:val="00AD4937"/>
    <w:rsid w:val="00AD4D65"/>
    <w:rsid w:val="00AD50EE"/>
    <w:rsid w:val="00AD5675"/>
    <w:rsid w:val="00AD5CB8"/>
    <w:rsid w:val="00AD6B3C"/>
    <w:rsid w:val="00AD6CAD"/>
    <w:rsid w:val="00AD73AD"/>
    <w:rsid w:val="00AE0BE6"/>
    <w:rsid w:val="00AE1B57"/>
    <w:rsid w:val="00AE26E7"/>
    <w:rsid w:val="00AE28B8"/>
    <w:rsid w:val="00AE2D25"/>
    <w:rsid w:val="00AE30E7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35EF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43AC"/>
    <w:rsid w:val="00B05897"/>
    <w:rsid w:val="00B060C4"/>
    <w:rsid w:val="00B06977"/>
    <w:rsid w:val="00B06F44"/>
    <w:rsid w:val="00B072BD"/>
    <w:rsid w:val="00B07749"/>
    <w:rsid w:val="00B101AD"/>
    <w:rsid w:val="00B10903"/>
    <w:rsid w:val="00B10A3A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410A"/>
    <w:rsid w:val="00B25669"/>
    <w:rsid w:val="00B25D07"/>
    <w:rsid w:val="00B26ECE"/>
    <w:rsid w:val="00B26F0D"/>
    <w:rsid w:val="00B27E68"/>
    <w:rsid w:val="00B30A87"/>
    <w:rsid w:val="00B31394"/>
    <w:rsid w:val="00B3148A"/>
    <w:rsid w:val="00B31F7E"/>
    <w:rsid w:val="00B33731"/>
    <w:rsid w:val="00B3394C"/>
    <w:rsid w:val="00B33B89"/>
    <w:rsid w:val="00B34010"/>
    <w:rsid w:val="00B340B3"/>
    <w:rsid w:val="00B34BC5"/>
    <w:rsid w:val="00B351B1"/>
    <w:rsid w:val="00B35ABE"/>
    <w:rsid w:val="00B3772C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A9B"/>
    <w:rsid w:val="00B45B32"/>
    <w:rsid w:val="00B45FF8"/>
    <w:rsid w:val="00B46398"/>
    <w:rsid w:val="00B46501"/>
    <w:rsid w:val="00B469A4"/>
    <w:rsid w:val="00B50D0F"/>
    <w:rsid w:val="00B5157F"/>
    <w:rsid w:val="00B51F1C"/>
    <w:rsid w:val="00B522FA"/>
    <w:rsid w:val="00B52B37"/>
    <w:rsid w:val="00B53677"/>
    <w:rsid w:val="00B53978"/>
    <w:rsid w:val="00B53CA1"/>
    <w:rsid w:val="00B53EB3"/>
    <w:rsid w:val="00B53F09"/>
    <w:rsid w:val="00B54F21"/>
    <w:rsid w:val="00B55088"/>
    <w:rsid w:val="00B5524E"/>
    <w:rsid w:val="00B55889"/>
    <w:rsid w:val="00B56631"/>
    <w:rsid w:val="00B56690"/>
    <w:rsid w:val="00B61D7C"/>
    <w:rsid w:val="00B61DD0"/>
    <w:rsid w:val="00B62025"/>
    <w:rsid w:val="00B629F3"/>
    <w:rsid w:val="00B6387E"/>
    <w:rsid w:val="00B63B0D"/>
    <w:rsid w:val="00B641C2"/>
    <w:rsid w:val="00B642D5"/>
    <w:rsid w:val="00B645BB"/>
    <w:rsid w:val="00B64AA3"/>
    <w:rsid w:val="00B659EC"/>
    <w:rsid w:val="00B65D80"/>
    <w:rsid w:val="00B66CCE"/>
    <w:rsid w:val="00B66D4E"/>
    <w:rsid w:val="00B6747D"/>
    <w:rsid w:val="00B674A3"/>
    <w:rsid w:val="00B70138"/>
    <w:rsid w:val="00B70CFA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2B08"/>
    <w:rsid w:val="00B83CD4"/>
    <w:rsid w:val="00B8431C"/>
    <w:rsid w:val="00B844EC"/>
    <w:rsid w:val="00B84630"/>
    <w:rsid w:val="00B84948"/>
    <w:rsid w:val="00B84F20"/>
    <w:rsid w:val="00B85C48"/>
    <w:rsid w:val="00B85FED"/>
    <w:rsid w:val="00B86176"/>
    <w:rsid w:val="00B8630F"/>
    <w:rsid w:val="00B86B20"/>
    <w:rsid w:val="00B86F41"/>
    <w:rsid w:val="00B87488"/>
    <w:rsid w:val="00B87507"/>
    <w:rsid w:val="00B877DD"/>
    <w:rsid w:val="00B87DD0"/>
    <w:rsid w:val="00B931C6"/>
    <w:rsid w:val="00B9325E"/>
    <w:rsid w:val="00B93384"/>
    <w:rsid w:val="00B93653"/>
    <w:rsid w:val="00B93F07"/>
    <w:rsid w:val="00B960FC"/>
    <w:rsid w:val="00B97387"/>
    <w:rsid w:val="00B976A4"/>
    <w:rsid w:val="00B97AC8"/>
    <w:rsid w:val="00B97B9C"/>
    <w:rsid w:val="00BA06BF"/>
    <w:rsid w:val="00BA097D"/>
    <w:rsid w:val="00BA0D5B"/>
    <w:rsid w:val="00BA0EF7"/>
    <w:rsid w:val="00BA1F08"/>
    <w:rsid w:val="00BA21A6"/>
    <w:rsid w:val="00BA26A7"/>
    <w:rsid w:val="00BA3417"/>
    <w:rsid w:val="00BA3485"/>
    <w:rsid w:val="00BA3654"/>
    <w:rsid w:val="00BA36D0"/>
    <w:rsid w:val="00BA3FC1"/>
    <w:rsid w:val="00BA4B10"/>
    <w:rsid w:val="00BA5828"/>
    <w:rsid w:val="00BA5B95"/>
    <w:rsid w:val="00BA6278"/>
    <w:rsid w:val="00BA6957"/>
    <w:rsid w:val="00BA6E73"/>
    <w:rsid w:val="00BA753F"/>
    <w:rsid w:val="00BA7CF3"/>
    <w:rsid w:val="00BA7F43"/>
    <w:rsid w:val="00BB0144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B7AA9"/>
    <w:rsid w:val="00BC0A2B"/>
    <w:rsid w:val="00BC0DB3"/>
    <w:rsid w:val="00BC0E5E"/>
    <w:rsid w:val="00BC23F9"/>
    <w:rsid w:val="00BC2E85"/>
    <w:rsid w:val="00BC390A"/>
    <w:rsid w:val="00BC3B0B"/>
    <w:rsid w:val="00BC431F"/>
    <w:rsid w:val="00BC4DB3"/>
    <w:rsid w:val="00BC5548"/>
    <w:rsid w:val="00BC79FB"/>
    <w:rsid w:val="00BC7E58"/>
    <w:rsid w:val="00BD12DE"/>
    <w:rsid w:val="00BD1964"/>
    <w:rsid w:val="00BD2522"/>
    <w:rsid w:val="00BD2626"/>
    <w:rsid w:val="00BD27AF"/>
    <w:rsid w:val="00BD2DDD"/>
    <w:rsid w:val="00BD3482"/>
    <w:rsid w:val="00BD3515"/>
    <w:rsid w:val="00BD63F9"/>
    <w:rsid w:val="00BD6CC9"/>
    <w:rsid w:val="00BD7256"/>
    <w:rsid w:val="00BD7937"/>
    <w:rsid w:val="00BE0773"/>
    <w:rsid w:val="00BE08FE"/>
    <w:rsid w:val="00BE0E24"/>
    <w:rsid w:val="00BE101E"/>
    <w:rsid w:val="00BE1FB3"/>
    <w:rsid w:val="00BE219F"/>
    <w:rsid w:val="00BE3BAC"/>
    <w:rsid w:val="00BE3FFC"/>
    <w:rsid w:val="00BE523A"/>
    <w:rsid w:val="00BE555B"/>
    <w:rsid w:val="00BE655D"/>
    <w:rsid w:val="00BE6790"/>
    <w:rsid w:val="00BE6A18"/>
    <w:rsid w:val="00BE6B14"/>
    <w:rsid w:val="00BE6C44"/>
    <w:rsid w:val="00BE6D78"/>
    <w:rsid w:val="00BE707A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BF711E"/>
    <w:rsid w:val="00C00869"/>
    <w:rsid w:val="00C022A3"/>
    <w:rsid w:val="00C028B3"/>
    <w:rsid w:val="00C02BF7"/>
    <w:rsid w:val="00C04032"/>
    <w:rsid w:val="00C04D23"/>
    <w:rsid w:val="00C051B1"/>
    <w:rsid w:val="00C05592"/>
    <w:rsid w:val="00C0599B"/>
    <w:rsid w:val="00C06617"/>
    <w:rsid w:val="00C07FA0"/>
    <w:rsid w:val="00C1060B"/>
    <w:rsid w:val="00C1082D"/>
    <w:rsid w:val="00C10941"/>
    <w:rsid w:val="00C10982"/>
    <w:rsid w:val="00C10C66"/>
    <w:rsid w:val="00C1131C"/>
    <w:rsid w:val="00C11A58"/>
    <w:rsid w:val="00C12946"/>
    <w:rsid w:val="00C13424"/>
    <w:rsid w:val="00C14627"/>
    <w:rsid w:val="00C15379"/>
    <w:rsid w:val="00C15B34"/>
    <w:rsid w:val="00C16998"/>
    <w:rsid w:val="00C176E9"/>
    <w:rsid w:val="00C176EF"/>
    <w:rsid w:val="00C17C02"/>
    <w:rsid w:val="00C17C0D"/>
    <w:rsid w:val="00C17DE4"/>
    <w:rsid w:val="00C20024"/>
    <w:rsid w:val="00C2061C"/>
    <w:rsid w:val="00C2081E"/>
    <w:rsid w:val="00C21191"/>
    <w:rsid w:val="00C22388"/>
    <w:rsid w:val="00C2308E"/>
    <w:rsid w:val="00C2344F"/>
    <w:rsid w:val="00C23839"/>
    <w:rsid w:val="00C23C8F"/>
    <w:rsid w:val="00C23CAE"/>
    <w:rsid w:val="00C240DB"/>
    <w:rsid w:val="00C240F9"/>
    <w:rsid w:val="00C2443A"/>
    <w:rsid w:val="00C247E3"/>
    <w:rsid w:val="00C2522C"/>
    <w:rsid w:val="00C255BC"/>
    <w:rsid w:val="00C25743"/>
    <w:rsid w:val="00C26352"/>
    <w:rsid w:val="00C26648"/>
    <w:rsid w:val="00C26C78"/>
    <w:rsid w:val="00C27116"/>
    <w:rsid w:val="00C272CD"/>
    <w:rsid w:val="00C27AF0"/>
    <w:rsid w:val="00C27C22"/>
    <w:rsid w:val="00C312CA"/>
    <w:rsid w:val="00C31936"/>
    <w:rsid w:val="00C3209C"/>
    <w:rsid w:val="00C322A5"/>
    <w:rsid w:val="00C32BED"/>
    <w:rsid w:val="00C33094"/>
    <w:rsid w:val="00C3339F"/>
    <w:rsid w:val="00C33581"/>
    <w:rsid w:val="00C33ADB"/>
    <w:rsid w:val="00C34749"/>
    <w:rsid w:val="00C35124"/>
    <w:rsid w:val="00C37E22"/>
    <w:rsid w:val="00C40047"/>
    <w:rsid w:val="00C41719"/>
    <w:rsid w:val="00C418D7"/>
    <w:rsid w:val="00C41FD0"/>
    <w:rsid w:val="00C42131"/>
    <w:rsid w:val="00C4290E"/>
    <w:rsid w:val="00C43813"/>
    <w:rsid w:val="00C43F0A"/>
    <w:rsid w:val="00C45645"/>
    <w:rsid w:val="00C47824"/>
    <w:rsid w:val="00C47BCA"/>
    <w:rsid w:val="00C50C17"/>
    <w:rsid w:val="00C51E64"/>
    <w:rsid w:val="00C5204A"/>
    <w:rsid w:val="00C52B93"/>
    <w:rsid w:val="00C52D73"/>
    <w:rsid w:val="00C53110"/>
    <w:rsid w:val="00C53ABF"/>
    <w:rsid w:val="00C53EE3"/>
    <w:rsid w:val="00C54C7C"/>
    <w:rsid w:val="00C5537E"/>
    <w:rsid w:val="00C557DE"/>
    <w:rsid w:val="00C55827"/>
    <w:rsid w:val="00C559B0"/>
    <w:rsid w:val="00C55A9C"/>
    <w:rsid w:val="00C55E17"/>
    <w:rsid w:val="00C56CAE"/>
    <w:rsid w:val="00C5735C"/>
    <w:rsid w:val="00C61580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6A01"/>
    <w:rsid w:val="00C670DF"/>
    <w:rsid w:val="00C67297"/>
    <w:rsid w:val="00C67AF4"/>
    <w:rsid w:val="00C70D44"/>
    <w:rsid w:val="00C71C80"/>
    <w:rsid w:val="00C722D9"/>
    <w:rsid w:val="00C72AD0"/>
    <w:rsid w:val="00C72E71"/>
    <w:rsid w:val="00C7565E"/>
    <w:rsid w:val="00C759AA"/>
    <w:rsid w:val="00C75E69"/>
    <w:rsid w:val="00C76249"/>
    <w:rsid w:val="00C76FAC"/>
    <w:rsid w:val="00C77193"/>
    <w:rsid w:val="00C77AE4"/>
    <w:rsid w:val="00C77D89"/>
    <w:rsid w:val="00C809A4"/>
    <w:rsid w:val="00C80AE5"/>
    <w:rsid w:val="00C80C0D"/>
    <w:rsid w:val="00C81196"/>
    <w:rsid w:val="00C81E88"/>
    <w:rsid w:val="00C82032"/>
    <w:rsid w:val="00C82278"/>
    <w:rsid w:val="00C8255A"/>
    <w:rsid w:val="00C82DB0"/>
    <w:rsid w:val="00C84927"/>
    <w:rsid w:val="00C85266"/>
    <w:rsid w:val="00C85318"/>
    <w:rsid w:val="00C858D3"/>
    <w:rsid w:val="00C863B9"/>
    <w:rsid w:val="00C8670E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97762"/>
    <w:rsid w:val="00C97F3C"/>
    <w:rsid w:val="00CA07B8"/>
    <w:rsid w:val="00CA2102"/>
    <w:rsid w:val="00CA2D11"/>
    <w:rsid w:val="00CA3321"/>
    <w:rsid w:val="00CA449F"/>
    <w:rsid w:val="00CA4A9D"/>
    <w:rsid w:val="00CA4DCA"/>
    <w:rsid w:val="00CA5141"/>
    <w:rsid w:val="00CA64CB"/>
    <w:rsid w:val="00CA653A"/>
    <w:rsid w:val="00CA7EB3"/>
    <w:rsid w:val="00CB0889"/>
    <w:rsid w:val="00CB0AE4"/>
    <w:rsid w:val="00CB1088"/>
    <w:rsid w:val="00CB1563"/>
    <w:rsid w:val="00CB3526"/>
    <w:rsid w:val="00CB3D0F"/>
    <w:rsid w:val="00CB3EE9"/>
    <w:rsid w:val="00CB4A19"/>
    <w:rsid w:val="00CB4A53"/>
    <w:rsid w:val="00CB518E"/>
    <w:rsid w:val="00CB53DA"/>
    <w:rsid w:val="00CB582E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5C18"/>
    <w:rsid w:val="00CC61BF"/>
    <w:rsid w:val="00CC6B35"/>
    <w:rsid w:val="00CD0A69"/>
    <w:rsid w:val="00CD14C5"/>
    <w:rsid w:val="00CD219F"/>
    <w:rsid w:val="00CD239D"/>
    <w:rsid w:val="00CD292D"/>
    <w:rsid w:val="00CD2A53"/>
    <w:rsid w:val="00CD2C0A"/>
    <w:rsid w:val="00CD2C88"/>
    <w:rsid w:val="00CD334A"/>
    <w:rsid w:val="00CD337C"/>
    <w:rsid w:val="00CD38C8"/>
    <w:rsid w:val="00CD3FA0"/>
    <w:rsid w:val="00CD44A0"/>
    <w:rsid w:val="00CD486A"/>
    <w:rsid w:val="00CD5A74"/>
    <w:rsid w:val="00CD5ECE"/>
    <w:rsid w:val="00CD6B10"/>
    <w:rsid w:val="00CE01DA"/>
    <w:rsid w:val="00CE08F0"/>
    <w:rsid w:val="00CE0BC7"/>
    <w:rsid w:val="00CE0E43"/>
    <w:rsid w:val="00CE2856"/>
    <w:rsid w:val="00CE2944"/>
    <w:rsid w:val="00CE30FB"/>
    <w:rsid w:val="00CE3821"/>
    <w:rsid w:val="00CE3EB1"/>
    <w:rsid w:val="00CE4084"/>
    <w:rsid w:val="00CE44C1"/>
    <w:rsid w:val="00CE4610"/>
    <w:rsid w:val="00CE4EC6"/>
    <w:rsid w:val="00CE52C1"/>
    <w:rsid w:val="00CE5849"/>
    <w:rsid w:val="00CE6053"/>
    <w:rsid w:val="00CE6501"/>
    <w:rsid w:val="00CE67B3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0AE"/>
    <w:rsid w:val="00CF24E9"/>
    <w:rsid w:val="00CF289E"/>
    <w:rsid w:val="00CF2B10"/>
    <w:rsid w:val="00CF2CA9"/>
    <w:rsid w:val="00CF3026"/>
    <w:rsid w:val="00CF347E"/>
    <w:rsid w:val="00CF38F5"/>
    <w:rsid w:val="00CF485D"/>
    <w:rsid w:val="00CF5D56"/>
    <w:rsid w:val="00CF74A8"/>
    <w:rsid w:val="00CF7977"/>
    <w:rsid w:val="00D0023C"/>
    <w:rsid w:val="00D00256"/>
    <w:rsid w:val="00D01998"/>
    <w:rsid w:val="00D02553"/>
    <w:rsid w:val="00D02A12"/>
    <w:rsid w:val="00D035B8"/>
    <w:rsid w:val="00D03C66"/>
    <w:rsid w:val="00D03DC7"/>
    <w:rsid w:val="00D051FA"/>
    <w:rsid w:val="00D054C2"/>
    <w:rsid w:val="00D05B89"/>
    <w:rsid w:val="00D06804"/>
    <w:rsid w:val="00D112D1"/>
    <w:rsid w:val="00D11791"/>
    <w:rsid w:val="00D119A1"/>
    <w:rsid w:val="00D129F8"/>
    <w:rsid w:val="00D1302A"/>
    <w:rsid w:val="00D133B5"/>
    <w:rsid w:val="00D134F4"/>
    <w:rsid w:val="00D14568"/>
    <w:rsid w:val="00D149AE"/>
    <w:rsid w:val="00D15962"/>
    <w:rsid w:val="00D15A1A"/>
    <w:rsid w:val="00D1618C"/>
    <w:rsid w:val="00D16352"/>
    <w:rsid w:val="00D16490"/>
    <w:rsid w:val="00D1680B"/>
    <w:rsid w:val="00D16C44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04A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0FFA"/>
    <w:rsid w:val="00D31CAA"/>
    <w:rsid w:val="00D325FA"/>
    <w:rsid w:val="00D32892"/>
    <w:rsid w:val="00D32C3E"/>
    <w:rsid w:val="00D33D91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3999"/>
    <w:rsid w:val="00D448A3"/>
    <w:rsid w:val="00D449DB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CFD"/>
    <w:rsid w:val="00D52F07"/>
    <w:rsid w:val="00D53A49"/>
    <w:rsid w:val="00D54476"/>
    <w:rsid w:val="00D54DD4"/>
    <w:rsid w:val="00D55049"/>
    <w:rsid w:val="00D550CF"/>
    <w:rsid w:val="00D551E9"/>
    <w:rsid w:val="00D559DE"/>
    <w:rsid w:val="00D55EB0"/>
    <w:rsid w:val="00D56022"/>
    <w:rsid w:val="00D5609E"/>
    <w:rsid w:val="00D56436"/>
    <w:rsid w:val="00D56493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58F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9A4"/>
    <w:rsid w:val="00D72F3B"/>
    <w:rsid w:val="00D731EC"/>
    <w:rsid w:val="00D7344E"/>
    <w:rsid w:val="00D73D38"/>
    <w:rsid w:val="00D74757"/>
    <w:rsid w:val="00D74CEB"/>
    <w:rsid w:val="00D757D4"/>
    <w:rsid w:val="00D7609C"/>
    <w:rsid w:val="00D76299"/>
    <w:rsid w:val="00D7794F"/>
    <w:rsid w:val="00D77A7B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5B97"/>
    <w:rsid w:val="00D861E6"/>
    <w:rsid w:val="00D862E1"/>
    <w:rsid w:val="00D864C3"/>
    <w:rsid w:val="00D8661D"/>
    <w:rsid w:val="00D87561"/>
    <w:rsid w:val="00D9017C"/>
    <w:rsid w:val="00D90316"/>
    <w:rsid w:val="00D909D1"/>
    <w:rsid w:val="00D90E1C"/>
    <w:rsid w:val="00D945F7"/>
    <w:rsid w:val="00D95EBE"/>
    <w:rsid w:val="00D963F7"/>
    <w:rsid w:val="00D967C3"/>
    <w:rsid w:val="00D96AC2"/>
    <w:rsid w:val="00D97F16"/>
    <w:rsid w:val="00DA0582"/>
    <w:rsid w:val="00DA1B31"/>
    <w:rsid w:val="00DA1F75"/>
    <w:rsid w:val="00DA2524"/>
    <w:rsid w:val="00DA30D9"/>
    <w:rsid w:val="00DA39E1"/>
    <w:rsid w:val="00DA3F16"/>
    <w:rsid w:val="00DA3F57"/>
    <w:rsid w:val="00DA455E"/>
    <w:rsid w:val="00DA45A7"/>
    <w:rsid w:val="00DA607C"/>
    <w:rsid w:val="00DA6E65"/>
    <w:rsid w:val="00DA70BE"/>
    <w:rsid w:val="00DA7CF3"/>
    <w:rsid w:val="00DB0200"/>
    <w:rsid w:val="00DB074E"/>
    <w:rsid w:val="00DB1318"/>
    <w:rsid w:val="00DB1EE1"/>
    <w:rsid w:val="00DB22DC"/>
    <w:rsid w:val="00DB336A"/>
    <w:rsid w:val="00DB3E5C"/>
    <w:rsid w:val="00DB4819"/>
    <w:rsid w:val="00DB4CBD"/>
    <w:rsid w:val="00DB5FD6"/>
    <w:rsid w:val="00DB609D"/>
    <w:rsid w:val="00DB7262"/>
    <w:rsid w:val="00DB7EF6"/>
    <w:rsid w:val="00DC04AB"/>
    <w:rsid w:val="00DC058A"/>
    <w:rsid w:val="00DC0810"/>
    <w:rsid w:val="00DC1FDF"/>
    <w:rsid w:val="00DC24D7"/>
    <w:rsid w:val="00DC3C15"/>
    <w:rsid w:val="00DC5993"/>
    <w:rsid w:val="00DC74E9"/>
    <w:rsid w:val="00DC7A2A"/>
    <w:rsid w:val="00DC7AC2"/>
    <w:rsid w:val="00DD0422"/>
    <w:rsid w:val="00DD0DB4"/>
    <w:rsid w:val="00DD133E"/>
    <w:rsid w:val="00DD1731"/>
    <w:rsid w:val="00DD1B22"/>
    <w:rsid w:val="00DD2CBF"/>
    <w:rsid w:val="00DD2EDD"/>
    <w:rsid w:val="00DD3E39"/>
    <w:rsid w:val="00DD476F"/>
    <w:rsid w:val="00DD5436"/>
    <w:rsid w:val="00DD56CC"/>
    <w:rsid w:val="00DD5825"/>
    <w:rsid w:val="00DD6188"/>
    <w:rsid w:val="00DD643E"/>
    <w:rsid w:val="00DD69A7"/>
    <w:rsid w:val="00DD6F3E"/>
    <w:rsid w:val="00DD7B6D"/>
    <w:rsid w:val="00DD7BDB"/>
    <w:rsid w:val="00DD7BEB"/>
    <w:rsid w:val="00DE07C7"/>
    <w:rsid w:val="00DE0A5C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5BA8"/>
    <w:rsid w:val="00DE67EB"/>
    <w:rsid w:val="00DE732E"/>
    <w:rsid w:val="00DE741A"/>
    <w:rsid w:val="00DE78CC"/>
    <w:rsid w:val="00DF077E"/>
    <w:rsid w:val="00DF0A1F"/>
    <w:rsid w:val="00DF0A2B"/>
    <w:rsid w:val="00DF1054"/>
    <w:rsid w:val="00DF1392"/>
    <w:rsid w:val="00DF1E5E"/>
    <w:rsid w:val="00DF2DDF"/>
    <w:rsid w:val="00DF3ED9"/>
    <w:rsid w:val="00DF40C7"/>
    <w:rsid w:val="00DF41A0"/>
    <w:rsid w:val="00DF475F"/>
    <w:rsid w:val="00DF5554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48DB"/>
    <w:rsid w:val="00E0518F"/>
    <w:rsid w:val="00E064B3"/>
    <w:rsid w:val="00E06CC6"/>
    <w:rsid w:val="00E07D8D"/>
    <w:rsid w:val="00E07F23"/>
    <w:rsid w:val="00E103AD"/>
    <w:rsid w:val="00E10649"/>
    <w:rsid w:val="00E10EB1"/>
    <w:rsid w:val="00E11336"/>
    <w:rsid w:val="00E11B99"/>
    <w:rsid w:val="00E11FF2"/>
    <w:rsid w:val="00E120EB"/>
    <w:rsid w:val="00E1284D"/>
    <w:rsid w:val="00E13320"/>
    <w:rsid w:val="00E1341F"/>
    <w:rsid w:val="00E1354F"/>
    <w:rsid w:val="00E13AC8"/>
    <w:rsid w:val="00E13D87"/>
    <w:rsid w:val="00E16006"/>
    <w:rsid w:val="00E1676C"/>
    <w:rsid w:val="00E17B9F"/>
    <w:rsid w:val="00E20BFC"/>
    <w:rsid w:val="00E21410"/>
    <w:rsid w:val="00E21E1B"/>
    <w:rsid w:val="00E22A24"/>
    <w:rsid w:val="00E23DD6"/>
    <w:rsid w:val="00E241CF"/>
    <w:rsid w:val="00E2456A"/>
    <w:rsid w:val="00E24AE5"/>
    <w:rsid w:val="00E24C7C"/>
    <w:rsid w:val="00E25DDC"/>
    <w:rsid w:val="00E25FA3"/>
    <w:rsid w:val="00E2698A"/>
    <w:rsid w:val="00E30109"/>
    <w:rsid w:val="00E309F5"/>
    <w:rsid w:val="00E30A7D"/>
    <w:rsid w:val="00E321EC"/>
    <w:rsid w:val="00E3256A"/>
    <w:rsid w:val="00E32C8F"/>
    <w:rsid w:val="00E32D57"/>
    <w:rsid w:val="00E32DE7"/>
    <w:rsid w:val="00E32E29"/>
    <w:rsid w:val="00E32E9D"/>
    <w:rsid w:val="00E33F7A"/>
    <w:rsid w:val="00E34221"/>
    <w:rsid w:val="00E34880"/>
    <w:rsid w:val="00E3546A"/>
    <w:rsid w:val="00E361D3"/>
    <w:rsid w:val="00E36DCC"/>
    <w:rsid w:val="00E36FDF"/>
    <w:rsid w:val="00E3765E"/>
    <w:rsid w:val="00E3784D"/>
    <w:rsid w:val="00E379E4"/>
    <w:rsid w:val="00E37DAB"/>
    <w:rsid w:val="00E40483"/>
    <w:rsid w:val="00E407F3"/>
    <w:rsid w:val="00E41788"/>
    <w:rsid w:val="00E42047"/>
    <w:rsid w:val="00E42411"/>
    <w:rsid w:val="00E42E65"/>
    <w:rsid w:val="00E431D3"/>
    <w:rsid w:val="00E43538"/>
    <w:rsid w:val="00E4396C"/>
    <w:rsid w:val="00E43EA7"/>
    <w:rsid w:val="00E453A2"/>
    <w:rsid w:val="00E45434"/>
    <w:rsid w:val="00E46190"/>
    <w:rsid w:val="00E47075"/>
    <w:rsid w:val="00E47109"/>
    <w:rsid w:val="00E50035"/>
    <w:rsid w:val="00E50117"/>
    <w:rsid w:val="00E50501"/>
    <w:rsid w:val="00E50608"/>
    <w:rsid w:val="00E50743"/>
    <w:rsid w:val="00E513DF"/>
    <w:rsid w:val="00E531D6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4BA3"/>
    <w:rsid w:val="00E65BC1"/>
    <w:rsid w:val="00E66777"/>
    <w:rsid w:val="00E67C24"/>
    <w:rsid w:val="00E708B1"/>
    <w:rsid w:val="00E70945"/>
    <w:rsid w:val="00E721CB"/>
    <w:rsid w:val="00E73A09"/>
    <w:rsid w:val="00E73B3D"/>
    <w:rsid w:val="00E742E8"/>
    <w:rsid w:val="00E753ED"/>
    <w:rsid w:val="00E77E09"/>
    <w:rsid w:val="00E80870"/>
    <w:rsid w:val="00E80CC0"/>
    <w:rsid w:val="00E813CD"/>
    <w:rsid w:val="00E837F6"/>
    <w:rsid w:val="00E84DA3"/>
    <w:rsid w:val="00E85414"/>
    <w:rsid w:val="00E859AE"/>
    <w:rsid w:val="00E86559"/>
    <w:rsid w:val="00E86B6F"/>
    <w:rsid w:val="00E87154"/>
    <w:rsid w:val="00E87798"/>
    <w:rsid w:val="00E87B73"/>
    <w:rsid w:val="00E90014"/>
    <w:rsid w:val="00E9177B"/>
    <w:rsid w:val="00E91EFC"/>
    <w:rsid w:val="00E92BC9"/>
    <w:rsid w:val="00E92E5B"/>
    <w:rsid w:val="00E92FF2"/>
    <w:rsid w:val="00E93EF1"/>
    <w:rsid w:val="00E94149"/>
    <w:rsid w:val="00E9507E"/>
    <w:rsid w:val="00E9577B"/>
    <w:rsid w:val="00E96934"/>
    <w:rsid w:val="00E97B96"/>
    <w:rsid w:val="00E97C96"/>
    <w:rsid w:val="00EA0EDC"/>
    <w:rsid w:val="00EA166A"/>
    <w:rsid w:val="00EA213F"/>
    <w:rsid w:val="00EA2449"/>
    <w:rsid w:val="00EA2F24"/>
    <w:rsid w:val="00EA3451"/>
    <w:rsid w:val="00EA366B"/>
    <w:rsid w:val="00EA42F2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58B7"/>
    <w:rsid w:val="00EB6049"/>
    <w:rsid w:val="00EB733C"/>
    <w:rsid w:val="00EC0BC1"/>
    <w:rsid w:val="00EC200E"/>
    <w:rsid w:val="00EC303F"/>
    <w:rsid w:val="00EC4133"/>
    <w:rsid w:val="00EC47BF"/>
    <w:rsid w:val="00EC4FE1"/>
    <w:rsid w:val="00EC54F4"/>
    <w:rsid w:val="00EC625C"/>
    <w:rsid w:val="00EC7246"/>
    <w:rsid w:val="00EC77DB"/>
    <w:rsid w:val="00EC7859"/>
    <w:rsid w:val="00ED00E8"/>
    <w:rsid w:val="00ED0336"/>
    <w:rsid w:val="00ED053C"/>
    <w:rsid w:val="00ED170C"/>
    <w:rsid w:val="00ED2011"/>
    <w:rsid w:val="00ED2696"/>
    <w:rsid w:val="00ED3ADA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43B2"/>
    <w:rsid w:val="00EE44E9"/>
    <w:rsid w:val="00EE6486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533"/>
    <w:rsid w:val="00EF2CD9"/>
    <w:rsid w:val="00EF3BC0"/>
    <w:rsid w:val="00EF3E94"/>
    <w:rsid w:val="00EF467E"/>
    <w:rsid w:val="00EF4B55"/>
    <w:rsid w:val="00EF4DBD"/>
    <w:rsid w:val="00EF5415"/>
    <w:rsid w:val="00EF551B"/>
    <w:rsid w:val="00EF57D2"/>
    <w:rsid w:val="00EF62E9"/>
    <w:rsid w:val="00EF6B61"/>
    <w:rsid w:val="00F00289"/>
    <w:rsid w:val="00F006C3"/>
    <w:rsid w:val="00F00927"/>
    <w:rsid w:val="00F00A81"/>
    <w:rsid w:val="00F00AF7"/>
    <w:rsid w:val="00F010EB"/>
    <w:rsid w:val="00F015D6"/>
    <w:rsid w:val="00F018E0"/>
    <w:rsid w:val="00F0276E"/>
    <w:rsid w:val="00F027F6"/>
    <w:rsid w:val="00F03421"/>
    <w:rsid w:val="00F040A3"/>
    <w:rsid w:val="00F043A2"/>
    <w:rsid w:val="00F04A78"/>
    <w:rsid w:val="00F052D9"/>
    <w:rsid w:val="00F05FCA"/>
    <w:rsid w:val="00F06423"/>
    <w:rsid w:val="00F07A97"/>
    <w:rsid w:val="00F07C4F"/>
    <w:rsid w:val="00F07C69"/>
    <w:rsid w:val="00F07C9C"/>
    <w:rsid w:val="00F1059C"/>
    <w:rsid w:val="00F10A79"/>
    <w:rsid w:val="00F11242"/>
    <w:rsid w:val="00F11642"/>
    <w:rsid w:val="00F11A5A"/>
    <w:rsid w:val="00F121BC"/>
    <w:rsid w:val="00F12204"/>
    <w:rsid w:val="00F12565"/>
    <w:rsid w:val="00F127DC"/>
    <w:rsid w:val="00F130E3"/>
    <w:rsid w:val="00F144B6"/>
    <w:rsid w:val="00F14B71"/>
    <w:rsid w:val="00F152E2"/>
    <w:rsid w:val="00F15423"/>
    <w:rsid w:val="00F1570B"/>
    <w:rsid w:val="00F158C1"/>
    <w:rsid w:val="00F15C30"/>
    <w:rsid w:val="00F15CB2"/>
    <w:rsid w:val="00F202D1"/>
    <w:rsid w:val="00F2044D"/>
    <w:rsid w:val="00F2085F"/>
    <w:rsid w:val="00F20C59"/>
    <w:rsid w:val="00F22009"/>
    <w:rsid w:val="00F23360"/>
    <w:rsid w:val="00F237F1"/>
    <w:rsid w:val="00F240E1"/>
    <w:rsid w:val="00F26559"/>
    <w:rsid w:val="00F277A7"/>
    <w:rsid w:val="00F30506"/>
    <w:rsid w:val="00F31160"/>
    <w:rsid w:val="00F3161E"/>
    <w:rsid w:val="00F3283D"/>
    <w:rsid w:val="00F33BFE"/>
    <w:rsid w:val="00F34A20"/>
    <w:rsid w:val="00F359B4"/>
    <w:rsid w:val="00F36C26"/>
    <w:rsid w:val="00F3713F"/>
    <w:rsid w:val="00F4090C"/>
    <w:rsid w:val="00F40CC2"/>
    <w:rsid w:val="00F41581"/>
    <w:rsid w:val="00F41E57"/>
    <w:rsid w:val="00F4250F"/>
    <w:rsid w:val="00F42B5A"/>
    <w:rsid w:val="00F43482"/>
    <w:rsid w:val="00F44049"/>
    <w:rsid w:val="00F4452E"/>
    <w:rsid w:val="00F44995"/>
    <w:rsid w:val="00F44F60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6EAA"/>
    <w:rsid w:val="00F4712B"/>
    <w:rsid w:val="00F500D9"/>
    <w:rsid w:val="00F50669"/>
    <w:rsid w:val="00F51F25"/>
    <w:rsid w:val="00F52708"/>
    <w:rsid w:val="00F53278"/>
    <w:rsid w:val="00F544AE"/>
    <w:rsid w:val="00F54639"/>
    <w:rsid w:val="00F5540A"/>
    <w:rsid w:val="00F5584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351D"/>
    <w:rsid w:val="00F645DE"/>
    <w:rsid w:val="00F6489B"/>
    <w:rsid w:val="00F64B4A"/>
    <w:rsid w:val="00F65470"/>
    <w:rsid w:val="00F6617B"/>
    <w:rsid w:val="00F66D54"/>
    <w:rsid w:val="00F7019A"/>
    <w:rsid w:val="00F702E5"/>
    <w:rsid w:val="00F70C7C"/>
    <w:rsid w:val="00F7109E"/>
    <w:rsid w:val="00F715EE"/>
    <w:rsid w:val="00F716E9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57FD"/>
    <w:rsid w:val="00F76CB5"/>
    <w:rsid w:val="00F7715E"/>
    <w:rsid w:val="00F775F9"/>
    <w:rsid w:val="00F77FD8"/>
    <w:rsid w:val="00F81769"/>
    <w:rsid w:val="00F81A50"/>
    <w:rsid w:val="00F81C0A"/>
    <w:rsid w:val="00F83082"/>
    <w:rsid w:val="00F83322"/>
    <w:rsid w:val="00F83BD1"/>
    <w:rsid w:val="00F83E2A"/>
    <w:rsid w:val="00F84136"/>
    <w:rsid w:val="00F8438F"/>
    <w:rsid w:val="00F85821"/>
    <w:rsid w:val="00F85B82"/>
    <w:rsid w:val="00F86CF5"/>
    <w:rsid w:val="00F87F7E"/>
    <w:rsid w:val="00F90DE4"/>
    <w:rsid w:val="00F91436"/>
    <w:rsid w:val="00F91664"/>
    <w:rsid w:val="00F91BF9"/>
    <w:rsid w:val="00F920BA"/>
    <w:rsid w:val="00F936DA"/>
    <w:rsid w:val="00F93DF0"/>
    <w:rsid w:val="00F94538"/>
    <w:rsid w:val="00F956EF"/>
    <w:rsid w:val="00F969B9"/>
    <w:rsid w:val="00F96A12"/>
    <w:rsid w:val="00F96AE3"/>
    <w:rsid w:val="00F97662"/>
    <w:rsid w:val="00F97DA3"/>
    <w:rsid w:val="00FA0C9F"/>
    <w:rsid w:val="00FA1117"/>
    <w:rsid w:val="00FA1243"/>
    <w:rsid w:val="00FA1469"/>
    <w:rsid w:val="00FA2583"/>
    <w:rsid w:val="00FA2635"/>
    <w:rsid w:val="00FA2AB5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6FD9"/>
    <w:rsid w:val="00FA748F"/>
    <w:rsid w:val="00FB0D3F"/>
    <w:rsid w:val="00FB0EBC"/>
    <w:rsid w:val="00FB1106"/>
    <w:rsid w:val="00FB110B"/>
    <w:rsid w:val="00FB110F"/>
    <w:rsid w:val="00FB1ED7"/>
    <w:rsid w:val="00FB24A4"/>
    <w:rsid w:val="00FB2E56"/>
    <w:rsid w:val="00FB2FD9"/>
    <w:rsid w:val="00FB4339"/>
    <w:rsid w:val="00FB473F"/>
    <w:rsid w:val="00FB4998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C2E"/>
    <w:rsid w:val="00FC3E81"/>
    <w:rsid w:val="00FC3F09"/>
    <w:rsid w:val="00FC4B33"/>
    <w:rsid w:val="00FC4D32"/>
    <w:rsid w:val="00FC4E0A"/>
    <w:rsid w:val="00FC53B4"/>
    <w:rsid w:val="00FC5BDB"/>
    <w:rsid w:val="00FC6C7F"/>
    <w:rsid w:val="00FC7941"/>
    <w:rsid w:val="00FC7AC8"/>
    <w:rsid w:val="00FD023E"/>
    <w:rsid w:val="00FD10FE"/>
    <w:rsid w:val="00FD165A"/>
    <w:rsid w:val="00FD1C4D"/>
    <w:rsid w:val="00FD1D1D"/>
    <w:rsid w:val="00FD2605"/>
    <w:rsid w:val="00FD2D99"/>
    <w:rsid w:val="00FD3594"/>
    <w:rsid w:val="00FD3A17"/>
    <w:rsid w:val="00FD4820"/>
    <w:rsid w:val="00FD4D14"/>
    <w:rsid w:val="00FD4EF5"/>
    <w:rsid w:val="00FD5738"/>
    <w:rsid w:val="00FD5996"/>
    <w:rsid w:val="00FD5E5B"/>
    <w:rsid w:val="00FE046F"/>
    <w:rsid w:val="00FE0636"/>
    <w:rsid w:val="00FE154E"/>
    <w:rsid w:val="00FE22E2"/>
    <w:rsid w:val="00FE2DCD"/>
    <w:rsid w:val="00FE2E9D"/>
    <w:rsid w:val="00FE35F1"/>
    <w:rsid w:val="00FE4182"/>
    <w:rsid w:val="00FE4371"/>
    <w:rsid w:val="00FE4758"/>
    <w:rsid w:val="00FE48DC"/>
    <w:rsid w:val="00FE50CD"/>
    <w:rsid w:val="00FF00FF"/>
    <w:rsid w:val="00FF0B7A"/>
    <w:rsid w:val="00FF116C"/>
    <w:rsid w:val="00FF1772"/>
    <w:rsid w:val="00FF3411"/>
    <w:rsid w:val="00FF415F"/>
    <w:rsid w:val="00FF4B93"/>
    <w:rsid w:val="00FF4EDC"/>
    <w:rsid w:val="00FF4FA0"/>
    <w:rsid w:val="00FF6060"/>
    <w:rsid w:val="00FF67FA"/>
    <w:rsid w:val="00FF7743"/>
    <w:rsid w:val="00FF7A04"/>
    <w:rsid w:val="00FF7A67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855BAA3-032D-4AE3-8F2C-C9830E13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link w:val="BodyTextChar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8E26F9"/>
    <w:rPr>
      <w:rFonts w:cs="Simplified Arabic"/>
      <w:snapToGrid w:val="0"/>
    </w:rPr>
  </w:style>
  <w:style w:type="paragraph" w:styleId="BodyText3">
    <w:name w:val="Body Text 3"/>
    <w:basedOn w:val="Normal"/>
    <w:link w:val="BodyText3Char"/>
    <w:unhideWhenUsed/>
    <w:rsid w:val="000F708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F7084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ADA87-42F7-40BF-B114-78AD38233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للرقم القياسي لأسعارالمستهلك "مؤشر غلاء المعيشة"</vt:lpstr>
      <vt:lpstr>السكان الفلسطينيين في العالم نهاية عام 2010</vt:lpstr>
    </vt:vector>
  </TitlesOfParts>
  <Company>Hewlett-Packard Company</Company>
  <LinksUpToDate>false</LinksUpToDate>
  <CharactersWithSpaces>5372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للرقم القياسي لأسعارالمستهلك "مؤشر غلاء المعيشة"</dc:title>
  <dc:creator>kakhalid</dc:creator>
  <cp:lastModifiedBy>pcbs</cp:lastModifiedBy>
  <cp:revision>2</cp:revision>
  <cp:lastPrinted>2024-11-12T07:06:00Z</cp:lastPrinted>
  <dcterms:created xsi:type="dcterms:W3CDTF">2024-11-14T07:20:00Z</dcterms:created>
  <dcterms:modified xsi:type="dcterms:W3CDTF">2024-11-14T07:20:00Z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22f3bb94d0936bf1b355b5c560fbb981f09d17f867099cbaffc6a4271778177e</vt:lpwstr>
  </property>
</Properties>
</file>