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08E" w:rsidRDefault="004F4170" w:rsidP="004F4170">
      <w:pPr>
        <w:ind w:right="-180"/>
        <w:jc w:val="center"/>
        <w:rPr>
          <w:rFonts w:cs="Simplified Arabic"/>
          <w:b/>
          <w:bCs/>
          <w:sz w:val="32"/>
          <w:szCs w:val="32"/>
          <w:rtl/>
        </w:rPr>
      </w:pPr>
      <w:bookmarkStart w:id="0" w:name="_GoBack"/>
      <w:bookmarkEnd w:id="0"/>
      <w:r w:rsidRPr="004F4170">
        <w:rPr>
          <w:rFonts w:cs="Simplified Arabic" w:hint="cs"/>
          <w:b/>
          <w:bCs/>
          <w:sz w:val="32"/>
          <w:szCs w:val="32"/>
          <w:rtl/>
        </w:rPr>
        <w:t xml:space="preserve">الإحصاء الفلسطيني يعلن </w:t>
      </w:r>
      <w:r w:rsidR="00741DC1" w:rsidRPr="004F4170">
        <w:rPr>
          <w:rFonts w:cs="Simplified Arabic" w:hint="cs"/>
          <w:b/>
          <w:bCs/>
          <w:sz w:val="32"/>
          <w:szCs w:val="32"/>
          <w:rtl/>
        </w:rPr>
        <w:t>مؤشر غلاء المعيشة</w:t>
      </w:r>
      <w:r w:rsidR="009466E5" w:rsidRPr="004F4170">
        <w:rPr>
          <w:rFonts w:cs="Simplified Arabic" w:hint="cs"/>
          <w:b/>
          <w:bCs/>
          <w:sz w:val="32"/>
          <w:szCs w:val="32"/>
          <w:rtl/>
        </w:rPr>
        <w:t xml:space="preserve"> خلال العام </w:t>
      </w:r>
      <w:r w:rsidR="00144AA1" w:rsidRPr="004F4170">
        <w:rPr>
          <w:rFonts w:cs="Simplified Arabic" w:hint="cs"/>
          <w:b/>
          <w:bCs/>
          <w:sz w:val="32"/>
          <w:szCs w:val="32"/>
          <w:rtl/>
        </w:rPr>
        <w:t>2025</w:t>
      </w:r>
    </w:p>
    <w:p w:rsidR="004F4170" w:rsidRPr="004F4170" w:rsidRDefault="004F4170" w:rsidP="004F4170">
      <w:pPr>
        <w:ind w:right="-180"/>
        <w:jc w:val="center"/>
        <w:rPr>
          <w:rFonts w:cs="Simplified Arabic"/>
          <w:b/>
          <w:bCs/>
          <w:sz w:val="32"/>
          <w:szCs w:val="32"/>
          <w:rtl/>
        </w:rPr>
      </w:pPr>
    </w:p>
    <w:p w:rsidR="00E90498" w:rsidRPr="004F4170" w:rsidRDefault="00C8708E" w:rsidP="00144AA1">
      <w:pPr>
        <w:ind w:right="-180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4F4170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4F417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932C24" w:rsidRPr="004F4170">
        <w:rPr>
          <w:rFonts w:ascii="Simplified Arabic" w:hAnsi="Simplified Arabic" w:cs="Simplified Arabic"/>
          <w:sz w:val="26"/>
          <w:szCs w:val="26"/>
          <w:rtl/>
        </w:rPr>
        <w:t xml:space="preserve">مؤشر غلاء المعيشة خلال العام </w:t>
      </w:r>
      <w:r w:rsidR="00144AA1" w:rsidRPr="004F4170">
        <w:rPr>
          <w:rFonts w:ascii="Simplified Arabic" w:hAnsi="Simplified Arabic" w:cs="Simplified Arabic"/>
          <w:sz w:val="26"/>
          <w:szCs w:val="26"/>
          <w:rtl/>
        </w:rPr>
        <w:t>2025</w:t>
      </w:r>
      <w:r w:rsidR="00932C24" w:rsidRPr="004F417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F4170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EE1EB5" w:rsidRPr="004F4170">
        <w:rPr>
          <w:rFonts w:ascii="Simplified Arabic" w:hAnsi="Simplified Arabic" w:cs="Simplified Arabic"/>
          <w:sz w:val="26"/>
          <w:szCs w:val="26"/>
          <w:rtl/>
        </w:rPr>
        <w:t>اً</w:t>
      </w:r>
      <w:r w:rsidRPr="004F4170">
        <w:rPr>
          <w:rFonts w:ascii="Simplified Arabic" w:hAnsi="Simplified Arabic" w:cs="Simplified Arabic"/>
          <w:sz w:val="26"/>
          <w:szCs w:val="26"/>
          <w:rtl/>
        </w:rPr>
        <w:t xml:space="preserve"> حاد</w:t>
      </w:r>
      <w:r w:rsidR="00EE1EB5" w:rsidRPr="004F4170">
        <w:rPr>
          <w:rFonts w:ascii="Simplified Arabic" w:hAnsi="Simplified Arabic" w:cs="Simplified Arabic"/>
          <w:sz w:val="26"/>
          <w:szCs w:val="26"/>
          <w:rtl/>
        </w:rPr>
        <w:t>اً</w:t>
      </w:r>
      <w:r w:rsidRPr="004F417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32C24" w:rsidRPr="004F4170">
        <w:rPr>
          <w:rFonts w:ascii="Simplified Arabic" w:hAnsi="Simplified Arabic" w:cs="Simplified Arabic"/>
          <w:sz w:val="26"/>
          <w:szCs w:val="26"/>
          <w:rtl/>
        </w:rPr>
        <w:t xml:space="preserve">في فلسطين مقارنة بالعام </w:t>
      </w:r>
      <w:r w:rsidR="00144AA1" w:rsidRPr="004F4170">
        <w:rPr>
          <w:rFonts w:ascii="Simplified Arabic" w:hAnsi="Simplified Arabic" w:cs="Simplified Arabic"/>
          <w:sz w:val="26"/>
          <w:szCs w:val="26"/>
        </w:rPr>
        <w:t>2024</w:t>
      </w:r>
      <w:r w:rsidR="00932C24" w:rsidRPr="004F4170">
        <w:rPr>
          <w:rFonts w:ascii="Simplified Arabic" w:hAnsi="Simplified Arabic" w:cs="Simplified Arabic"/>
          <w:sz w:val="26"/>
          <w:szCs w:val="26"/>
          <w:rtl/>
        </w:rPr>
        <w:t xml:space="preserve">، مدفوعاً </w:t>
      </w:r>
      <w:r w:rsidRPr="004F4170">
        <w:rPr>
          <w:rFonts w:ascii="Simplified Arabic" w:hAnsi="Simplified Arabic" w:cs="Simplified Arabic"/>
          <w:sz w:val="26"/>
          <w:szCs w:val="26"/>
          <w:rtl/>
        </w:rPr>
        <w:t>بمستويات اسعار</w:t>
      </w:r>
      <w:r w:rsidR="00292191" w:rsidRPr="004F417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32C24" w:rsidRPr="004F4170">
        <w:rPr>
          <w:rFonts w:ascii="Simplified Arabic" w:hAnsi="Simplified Arabic" w:cs="Simplified Arabic"/>
          <w:sz w:val="26"/>
          <w:szCs w:val="26"/>
          <w:rtl/>
        </w:rPr>
        <w:t>لم</w:t>
      </w:r>
      <w:r w:rsidR="00292191" w:rsidRPr="004F4170">
        <w:rPr>
          <w:rFonts w:ascii="Simplified Arabic" w:hAnsi="Simplified Arabic" w:cs="Simplified Arabic"/>
          <w:sz w:val="26"/>
          <w:szCs w:val="26"/>
          <w:rtl/>
        </w:rPr>
        <w:t xml:space="preserve"> تشهدها أسواق قطاع غزة</w:t>
      </w:r>
      <w:r w:rsidR="001A308B" w:rsidRPr="004F4170">
        <w:rPr>
          <w:rFonts w:ascii="Simplified Arabic" w:hAnsi="Simplified Arabic" w:cs="Simplified Arabic"/>
          <w:sz w:val="26"/>
          <w:szCs w:val="26"/>
          <w:rtl/>
        </w:rPr>
        <w:t xml:space="preserve"> من قبل، </w:t>
      </w:r>
      <w:r w:rsidR="00156DCB" w:rsidRPr="004F4170">
        <w:rPr>
          <w:rFonts w:ascii="Simplified Arabic" w:hAnsi="Simplified Arabic" w:cs="Simplified Arabic"/>
          <w:sz w:val="26"/>
          <w:szCs w:val="26"/>
          <w:rtl/>
        </w:rPr>
        <w:t xml:space="preserve">نتيجة للعدوان الإسرائيلي على قطاع غزة منذ السابع من اكتوبر 2023، </w:t>
      </w:r>
      <w:r w:rsidR="00932C24" w:rsidRPr="004F4170">
        <w:rPr>
          <w:rFonts w:ascii="Simplified Arabic" w:hAnsi="Simplified Arabic" w:cs="Simplified Arabic"/>
          <w:sz w:val="26"/>
          <w:szCs w:val="26"/>
          <w:rtl/>
        </w:rPr>
        <w:t xml:space="preserve">حيث ارتفعت الأسعار </w:t>
      </w:r>
      <w:r w:rsidRPr="004F4170">
        <w:rPr>
          <w:rFonts w:ascii="Simplified Arabic" w:hAnsi="Simplified Arabic" w:cs="Simplified Arabic"/>
          <w:sz w:val="26"/>
          <w:szCs w:val="26"/>
          <w:rtl/>
        </w:rPr>
        <w:t xml:space="preserve">للسلع </w:t>
      </w:r>
      <w:r w:rsidR="00932C24" w:rsidRPr="004F4170">
        <w:rPr>
          <w:rFonts w:ascii="Simplified Arabic" w:hAnsi="Simplified Arabic" w:cs="Simplified Arabic"/>
          <w:sz w:val="26"/>
          <w:szCs w:val="26"/>
          <w:rtl/>
        </w:rPr>
        <w:t>الاستهلاكية</w:t>
      </w:r>
      <w:r w:rsidR="00E90498" w:rsidRPr="004F4170">
        <w:rPr>
          <w:rFonts w:ascii="Simplified Arabic" w:hAnsi="Simplified Arabic" w:cs="Simplified Arabic"/>
          <w:sz w:val="26"/>
          <w:szCs w:val="26"/>
          <w:rtl/>
        </w:rPr>
        <w:t xml:space="preserve">، بواقع </w:t>
      </w:r>
      <w:r w:rsidR="00144AA1" w:rsidRPr="004F4170">
        <w:rPr>
          <w:rFonts w:ascii="Simplified Arabic" w:hAnsi="Simplified Arabic" w:cs="Simplified Arabic"/>
          <w:b/>
          <w:bCs/>
          <w:sz w:val="26"/>
          <w:szCs w:val="26"/>
          <w:rtl/>
        </w:rPr>
        <w:t>21.93</w:t>
      </w:r>
      <w:r w:rsidR="00E90498" w:rsidRPr="004F4170">
        <w:rPr>
          <w:rFonts w:ascii="Simplified Arabic" w:hAnsi="Simplified Arabic" w:cs="Simplified Arabic"/>
          <w:b/>
          <w:bCs/>
          <w:sz w:val="26"/>
          <w:szCs w:val="26"/>
          <w:rtl/>
        </w:rPr>
        <w:t>% في قطاع غزة</w:t>
      </w:r>
      <w:r w:rsidR="00E90498" w:rsidRPr="004F4170">
        <w:rPr>
          <w:rFonts w:ascii="Simplified Arabic" w:hAnsi="Simplified Arabic" w:cs="Simplified Arabic"/>
          <w:sz w:val="26"/>
          <w:szCs w:val="26"/>
          <w:rtl/>
        </w:rPr>
        <w:t xml:space="preserve">، وبنسبة </w:t>
      </w:r>
      <w:r w:rsidR="00144AA1" w:rsidRPr="004F4170">
        <w:rPr>
          <w:rFonts w:ascii="Simplified Arabic" w:hAnsi="Simplified Arabic" w:cs="Simplified Arabic"/>
          <w:b/>
          <w:bCs/>
          <w:sz w:val="26"/>
          <w:szCs w:val="26"/>
          <w:rtl/>
        </w:rPr>
        <w:t>1.64</w:t>
      </w:r>
      <w:r w:rsidR="00E90498" w:rsidRPr="004F417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في </w:t>
      </w:r>
      <w:r w:rsidR="001A308B" w:rsidRPr="004F417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="001A308B" w:rsidRPr="004F4170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="001A308B" w:rsidRPr="004F417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*، </w:t>
      </w:r>
      <w:r w:rsidR="00144AA1" w:rsidRPr="004F4170">
        <w:rPr>
          <w:rFonts w:ascii="Simplified Arabic" w:hAnsi="Simplified Arabic" w:cs="Simplified Arabic"/>
          <w:sz w:val="26"/>
          <w:szCs w:val="26"/>
          <w:rtl/>
        </w:rPr>
        <w:t>في حين سجل المؤشر انخفاضاً مقداره</w:t>
      </w:r>
      <w:r w:rsidR="001A308B" w:rsidRPr="004F417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144AA1" w:rsidRPr="004F4170">
        <w:rPr>
          <w:rFonts w:ascii="Simplified Arabic" w:hAnsi="Simplified Arabic" w:cs="Simplified Arabic"/>
          <w:b/>
          <w:bCs/>
          <w:sz w:val="26"/>
          <w:szCs w:val="26"/>
          <w:rtl/>
        </w:rPr>
        <w:t>0.11</w:t>
      </w:r>
      <w:r w:rsidR="001A308B" w:rsidRPr="004F417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في </w:t>
      </w:r>
      <w:r w:rsidR="00E90498" w:rsidRPr="004F4170">
        <w:rPr>
          <w:rFonts w:ascii="Simplified Arabic" w:hAnsi="Simplified Arabic" w:cs="Simplified Arabic"/>
          <w:b/>
          <w:bCs/>
          <w:sz w:val="26"/>
          <w:szCs w:val="26"/>
          <w:rtl/>
        </w:rPr>
        <w:t>الضفة الغربية**</w:t>
      </w:r>
      <w:r w:rsidR="001A308B" w:rsidRPr="004F4170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512E8D" w:rsidRDefault="00512E8D" w:rsidP="00A26CFE">
      <w:pPr>
        <w:ind w:right="-180"/>
        <w:jc w:val="both"/>
        <w:rPr>
          <w:rFonts w:cs="Simplified Arabic"/>
          <w:b/>
          <w:bCs/>
          <w:rtl/>
        </w:rPr>
      </w:pPr>
    </w:p>
    <w:p w:rsidR="00A26CFE" w:rsidRPr="00914188" w:rsidRDefault="00A26CFE" w:rsidP="004F4170">
      <w:pPr>
        <w:ind w:right="-180"/>
        <w:jc w:val="center"/>
        <w:rPr>
          <w:rFonts w:cs="Simplified Arabic" w:hint="cs"/>
          <w:b/>
          <w:bCs/>
          <w:sz w:val="26"/>
          <w:szCs w:val="26"/>
          <w:rtl/>
        </w:rPr>
      </w:pPr>
      <w:r w:rsidRPr="00914188">
        <w:rPr>
          <w:rFonts w:cs="Simplified Arabic" w:hint="cs"/>
          <w:b/>
          <w:bCs/>
          <w:sz w:val="26"/>
          <w:szCs w:val="26"/>
          <w:rtl/>
        </w:rPr>
        <w:t>الجدول يوضح نسب الارتفاع في مؤشر غلاء المعيشة خلال السنوات الأربعة الأخيرة حسب المنطقة:</w:t>
      </w:r>
    </w:p>
    <w:tbl>
      <w:tblPr>
        <w:bidiVisual/>
        <w:tblW w:w="5077" w:type="dxa"/>
        <w:tblInd w:w="2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709"/>
        <w:gridCol w:w="1275"/>
        <w:gridCol w:w="851"/>
        <w:gridCol w:w="993"/>
      </w:tblGrid>
      <w:tr w:rsidR="0098249E" w:rsidRPr="001A5BFE" w:rsidTr="004F4170">
        <w:trPr>
          <w:trHeight w:val="397"/>
        </w:trPr>
        <w:tc>
          <w:tcPr>
            <w:tcW w:w="1249" w:type="dxa"/>
            <w:shd w:val="clear" w:color="auto" w:fill="auto"/>
            <w:vAlign w:val="center"/>
          </w:tcPr>
          <w:p w:rsidR="0098249E" w:rsidRPr="00932C24" w:rsidRDefault="0098249E" w:rsidP="00932C24">
            <w:pPr>
              <w:ind w:right="-180"/>
              <w:jc w:val="center"/>
              <w:rPr>
                <w:rFonts w:cs="Simplified Arabic" w:hint="cs"/>
                <w:b/>
                <w:bCs/>
                <w:sz w:val="19"/>
                <w:szCs w:val="19"/>
                <w:rtl/>
              </w:rPr>
            </w:pPr>
            <w:r w:rsidRPr="00932C24">
              <w:rPr>
                <w:rFonts w:cs="Simplified Arabic" w:hint="cs"/>
                <w:b/>
                <w:bCs/>
                <w:sz w:val="19"/>
                <w:szCs w:val="19"/>
                <w:rtl/>
              </w:rPr>
              <w:t>السنوات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249E" w:rsidRPr="00932C24" w:rsidRDefault="0098249E" w:rsidP="00932C24">
            <w:pPr>
              <w:ind w:right="-180"/>
              <w:jc w:val="center"/>
              <w:rPr>
                <w:rFonts w:cs="Simplified Arabic" w:hint="cs"/>
                <w:b/>
                <w:bCs/>
                <w:sz w:val="19"/>
                <w:szCs w:val="19"/>
                <w:rtl/>
              </w:rPr>
            </w:pPr>
            <w:r w:rsidRPr="00932C24">
              <w:rPr>
                <w:rFonts w:cs="Simplified Arabic" w:hint="cs"/>
                <w:b/>
                <w:bCs/>
                <w:sz w:val="19"/>
                <w:szCs w:val="19"/>
                <w:rtl/>
              </w:rPr>
              <w:t>فلسطين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8249E" w:rsidRPr="00932C24" w:rsidRDefault="0098249E" w:rsidP="00932C24">
            <w:pPr>
              <w:ind w:right="-180"/>
              <w:jc w:val="center"/>
              <w:rPr>
                <w:rFonts w:cs="Simplified Arabic" w:hint="cs"/>
                <w:b/>
                <w:bCs/>
                <w:sz w:val="19"/>
                <w:szCs w:val="19"/>
                <w:rtl/>
              </w:rPr>
            </w:pPr>
            <w:r w:rsidRPr="00932C24">
              <w:rPr>
                <w:rFonts w:cs="Simplified Arabic" w:hint="cs"/>
                <w:b/>
                <w:bCs/>
                <w:sz w:val="19"/>
                <w:szCs w:val="19"/>
                <w:rtl/>
              </w:rPr>
              <w:t>الضفة الغربية**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249E" w:rsidRPr="00932C24" w:rsidRDefault="0098249E" w:rsidP="00932C24">
            <w:pPr>
              <w:ind w:right="-180"/>
              <w:jc w:val="center"/>
              <w:rPr>
                <w:rFonts w:cs="Simplified Arabic" w:hint="cs"/>
                <w:b/>
                <w:bCs/>
                <w:sz w:val="19"/>
                <w:szCs w:val="19"/>
                <w:rtl/>
              </w:rPr>
            </w:pPr>
            <w:r w:rsidRPr="00932C24">
              <w:rPr>
                <w:rFonts w:cs="Simplified Arabic" w:hint="cs"/>
                <w:b/>
                <w:bCs/>
                <w:sz w:val="19"/>
                <w:szCs w:val="19"/>
                <w:rtl/>
              </w:rPr>
              <w:t>قطاع غزة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249E" w:rsidRPr="00932C24" w:rsidRDefault="0098249E" w:rsidP="00932C24">
            <w:pPr>
              <w:ind w:right="-180"/>
              <w:jc w:val="center"/>
              <w:rPr>
                <w:rFonts w:cs="Simplified Arabic" w:hint="cs"/>
                <w:b/>
                <w:bCs/>
                <w:sz w:val="19"/>
                <w:szCs w:val="19"/>
                <w:rtl/>
              </w:rPr>
            </w:pPr>
            <w:r w:rsidRPr="00932C24">
              <w:rPr>
                <w:rFonts w:cs="Simplified Arabic" w:hint="cs"/>
                <w:b/>
                <w:bCs/>
                <w:sz w:val="19"/>
                <w:szCs w:val="19"/>
                <w:rtl/>
              </w:rPr>
              <w:t xml:space="preserve">القدس </w:t>
            </w:r>
            <w:r w:rsidRPr="00932C24">
              <w:rPr>
                <w:rFonts w:cs="Simplified Arabic"/>
                <w:b/>
                <w:bCs/>
                <w:sz w:val="19"/>
                <w:szCs w:val="19"/>
              </w:rPr>
              <w:t>J1</w:t>
            </w:r>
            <w:r w:rsidRPr="00932C24">
              <w:rPr>
                <w:rFonts w:cs="Simplified Arabic" w:hint="cs"/>
                <w:b/>
                <w:bCs/>
                <w:sz w:val="19"/>
                <w:szCs w:val="19"/>
                <w:rtl/>
              </w:rPr>
              <w:t>*</w:t>
            </w:r>
          </w:p>
        </w:tc>
      </w:tr>
      <w:tr w:rsidR="00144AA1" w:rsidRPr="001A5BFE" w:rsidTr="004F4170">
        <w:trPr>
          <w:trHeight w:val="397"/>
        </w:trPr>
        <w:tc>
          <w:tcPr>
            <w:tcW w:w="1249" w:type="dxa"/>
            <w:shd w:val="clear" w:color="auto" w:fill="auto"/>
            <w:vAlign w:val="center"/>
          </w:tcPr>
          <w:p w:rsidR="00144AA1" w:rsidRPr="001A5BFE" w:rsidRDefault="00144AA1" w:rsidP="00144AA1">
            <w:pPr>
              <w:ind w:right="-180"/>
              <w:jc w:val="both"/>
              <w:rPr>
                <w:rFonts w:cs="Simplified Arabic" w:hint="cs"/>
                <w:sz w:val="20"/>
                <w:szCs w:val="20"/>
                <w:rtl/>
              </w:rPr>
            </w:pPr>
            <w:r w:rsidRPr="001A5BFE">
              <w:rPr>
                <w:rFonts w:cs="Simplified Arabic" w:hint="cs"/>
                <w:sz w:val="20"/>
                <w:szCs w:val="20"/>
                <w:rtl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4AA1" w:rsidRPr="001A5BFE" w:rsidRDefault="00144AA1" w:rsidP="00144AA1">
            <w:pPr>
              <w:ind w:right="-180"/>
              <w:jc w:val="center"/>
              <w:rPr>
                <w:rFonts w:cs="Simplified Arabic" w:hint="cs"/>
                <w:sz w:val="20"/>
                <w:szCs w:val="20"/>
                <w:rtl/>
              </w:rPr>
            </w:pPr>
            <w:r w:rsidRPr="001A5BFE">
              <w:rPr>
                <w:rFonts w:cs="Simplified Arabic" w:hint="cs"/>
                <w:sz w:val="20"/>
                <w:szCs w:val="20"/>
                <w:rtl/>
              </w:rPr>
              <w:t>3.74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4AA1" w:rsidRPr="001A5BFE" w:rsidRDefault="00144AA1" w:rsidP="00144AA1">
            <w:pPr>
              <w:ind w:right="-180"/>
              <w:jc w:val="center"/>
              <w:rPr>
                <w:rFonts w:cs="Simplified Arabic" w:hint="cs"/>
                <w:sz w:val="20"/>
                <w:szCs w:val="20"/>
                <w:rtl/>
              </w:rPr>
            </w:pPr>
            <w:r w:rsidRPr="001A5BFE">
              <w:rPr>
                <w:rFonts w:cs="Simplified Arabic" w:hint="cs"/>
                <w:sz w:val="20"/>
                <w:szCs w:val="20"/>
                <w:rtl/>
              </w:rPr>
              <w:t>3.74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4AA1" w:rsidRPr="001A5BFE" w:rsidRDefault="00144AA1" w:rsidP="00144AA1">
            <w:pPr>
              <w:ind w:right="-180"/>
              <w:jc w:val="center"/>
              <w:rPr>
                <w:rFonts w:cs="Simplified Arabic" w:hint="cs"/>
                <w:sz w:val="20"/>
                <w:szCs w:val="20"/>
                <w:rtl/>
              </w:rPr>
            </w:pPr>
            <w:r w:rsidRPr="001A5BFE">
              <w:rPr>
                <w:rFonts w:cs="Simplified Arabic" w:hint="cs"/>
                <w:sz w:val="20"/>
                <w:szCs w:val="20"/>
                <w:rtl/>
              </w:rPr>
              <w:t>3.16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44AA1" w:rsidRPr="001A5BFE" w:rsidRDefault="00144AA1" w:rsidP="00144AA1">
            <w:pPr>
              <w:ind w:right="-180"/>
              <w:jc w:val="center"/>
              <w:rPr>
                <w:rFonts w:cs="Simplified Arabic" w:hint="cs"/>
                <w:sz w:val="20"/>
                <w:szCs w:val="20"/>
                <w:rtl/>
              </w:rPr>
            </w:pPr>
            <w:r w:rsidRPr="001A5BFE">
              <w:rPr>
                <w:rFonts w:cs="Simplified Arabic" w:hint="cs"/>
                <w:sz w:val="20"/>
                <w:szCs w:val="20"/>
                <w:rtl/>
              </w:rPr>
              <w:t>4.70</w:t>
            </w:r>
          </w:p>
        </w:tc>
      </w:tr>
      <w:tr w:rsidR="00144AA1" w:rsidRPr="001A5BFE" w:rsidTr="004F4170">
        <w:trPr>
          <w:trHeight w:val="397"/>
        </w:trPr>
        <w:tc>
          <w:tcPr>
            <w:tcW w:w="1249" w:type="dxa"/>
            <w:shd w:val="clear" w:color="auto" w:fill="auto"/>
            <w:vAlign w:val="center"/>
          </w:tcPr>
          <w:p w:rsidR="00144AA1" w:rsidRPr="001A5BFE" w:rsidRDefault="00144AA1" w:rsidP="00144AA1">
            <w:pPr>
              <w:ind w:right="-180"/>
              <w:jc w:val="both"/>
              <w:rPr>
                <w:rFonts w:cs="Simplified Arabic" w:hint="cs"/>
                <w:sz w:val="20"/>
                <w:szCs w:val="20"/>
                <w:rtl/>
              </w:rPr>
            </w:pPr>
            <w:r w:rsidRPr="001A5BFE">
              <w:rPr>
                <w:rFonts w:cs="Simplified Arabic" w:hint="cs"/>
                <w:sz w:val="20"/>
                <w:szCs w:val="20"/>
                <w:rtl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4AA1" w:rsidRPr="001A5BFE" w:rsidRDefault="00144AA1" w:rsidP="00144AA1">
            <w:pPr>
              <w:ind w:right="-180"/>
              <w:jc w:val="center"/>
              <w:rPr>
                <w:rFonts w:cs="Simplified Arabic" w:hint="cs"/>
                <w:sz w:val="20"/>
                <w:szCs w:val="20"/>
                <w:rtl/>
              </w:rPr>
            </w:pPr>
            <w:r w:rsidRPr="001A5BFE">
              <w:rPr>
                <w:rFonts w:cs="Simplified Arabic" w:hint="cs"/>
                <w:sz w:val="20"/>
                <w:szCs w:val="20"/>
                <w:rtl/>
              </w:rPr>
              <w:t>5.87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4AA1" w:rsidRPr="001A5BFE" w:rsidRDefault="00144AA1" w:rsidP="00144AA1">
            <w:pPr>
              <w:ind w:right="-180"/>
              <w:jc w:val="center"/>
              <w:rPr>
                <w:rFonts w:cs="Simplified Arabic" w:hint="cs"/>
                <w:sz w:val="20"/>
                <w:szCs w:val="20"/>
                <w:rtl/>
              </w:rPr>
            </w:pPr>
            <w:r w:rsidRPr="001A5BFE">
              <w:rPr>
                <w:rFonts w:cs="Simplified Arabic" w:hint="cs"/>
                <w:sz w:val="20"/>
                <w:szCs w:val="20"/>
                <w:rtl/>
              </w:rPr>
              <w:t>4.77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4AA1" w:rsidRPr="001A5BFE" w:rsidRDefault="00144AA1" w:rsidP="00144AA1">
            <w:pPr>
              <w:ind w:right="-180"/>
              <w:jc w:val="center"/>
              <w:rPr>
                <w:rFonts w:cs="Simplified Arabic" w:hint="cs"/>
                <w:sz w:val="20"/>
                <w:szCs w:val="20"/>
                <w:rtl/>
              </w:rPr>
            </w:pPr>
            <w:r w:rsidRPr="001A5BFE">
              <w:rPr>
                <w:rFonts w:cs="Simplified Arabic" w:hint="cs"/>
                <w:sz w:val="20"/>
                <w:szCs w:val="20"/>
                <w:rtl/>
              </w:rPr>
              <w:t>10.53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44AA1" w:rsidRPr="001A5BFE" w:rsidRDefault="00144AA1" w:rsidP="00144AA1">
            <w:pPr>
              <w:ind w:right="-180"/>
              <w:jc w:val="center"/>
              <w:rPr>
                <w:rFonts w:cs="Simplified Arabic" w:hint="cs"/>
                <w:sz w:val="20"/>
                <w:szCs w:val="20"/>
                <w:rtl/>
              </w:rPr>
            </w:pPr>
            <w:r w:rsidRPr="001A5BFE">
              <w:rPr>
                <w:rFonts w:cs="Simplified Arabic" w:hint="cs"/>
                <w:sz w:val="20"/>
                <w:szCs w:val="20"/>
                <w:rtl/>
              </w:rPr>
              <w:t>4.05</w:t>
            </w:r>
          </w:p>
        </w:tc>
      </w:tr>
      <w:tr w:rsidR="00144AA1" w:rsidRPr="001A5BFE" w:rsidTr="004F4170">
        <w:trPr>
          <w:trHeight w:val="397"/>
        </w:trPr>
        <w:tc>
          <w:tcPr>
            <w:tcW w:w="1249" w:type="dxa"/>
            <w:shd w:val="clear" w:color="auto" w:fill="auto"/>
            <w:vAlign w:val="center"/>
          </w:tcPr>
          <w:p w:rsidR="00144AA1" w:rsidRPr="001A5BFE" w:rsidRDefault="00144AA1" w:rsidP="00144AA1">
            <w:pPr>
              <w:ind w:right="-180"/>
              <w:jc w:val="both"/>
              <w:rPr>
                <w:rFonts w:cs="Simplified Arabic" w:hint="cs"/>
                <w:sz w:val="20"/>
                <w:szCs w:val="20"/>
                <w:rtl/>
              </w:rPr>
            </w:pPr>
            <w:r w:rsidRPr="001A5BFE">
              <w:rPr>
                <w:rFonts w:cs="Simplified Arabic" w:hint="cs"/>
                <w:sz w:val="20"/>
                <w:szCs w:val="20"/>
                <w:rtl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4AA1" w:rsidRPr="001A5BFE" w:rsidRDefault="00144AA1" w:rsidP="00144AA1">
            <w:pPr>
              <w:ind w:right="-180"/>
              <w:jc w:val="center"/>
              <w:rPr>
                <w:rFonts w:cs="Simplified Arabic" w:hint="cs"/>
                <w:sz w:val="20"/>
                <w:szCs w:val="20"/>
                <w:rtl/>
              </w:rPr>
            </w:pPr>
            <w:r w:rsidRPr="001A5BFE">
              <w:rPr>
                <w:rFonts w:cs="Simplified Arabic" w:hint="cs"/>
                <w:sz w:val="20"/>
                <w:szCs w:val="20"/>
                <w:rtl/>
              </w:rPr>
              <w:t>53.67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4AA1" w:rsidRPr="001A5BFE" w:rsidRDefault="00144AA1" w:rsidP="00144AA1">
            <w:pPr>
              <w:ind w:right="-180"/>
              <w:jc w:val="center"/>
              <w:rPr>
                <w:rFonts w:cs="Simplified Arabic" w:hint="cs"/>
                <w:sz w:val="20"/>
                <w:szCs w:val="20"/>
                <w:rtl/>
              </w:rPr>
            </w:pPr>
            <w:r w:rsidRPr="001A5BFE">
              <w:rPr>
                <w:rFonts w:cs="Simplified Arabic" w:hint="cs"/>
                <w:sz w:val="20"/>
                <w:szCs w:val="20"/>
                <w:rtl/>
              </w:rPr>
              <w:t>2.48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4AA1" w:rsidRPr="001A5BFE" w:rsidRDefault="00144AA1" w:rsidP="00144AA1">
            <w:pPr>
              <w:ind w:right="-180"/>
              <w:jc w:val="center"/>
              <w:rPr>
                <w:rFonts w:cs="Simplified Arabic" w:hint="cs"/>
                <w:sz w:val="20"/>
                <w:szCs w:val="20"/>
                <w:rtl/>
              </w:rPr>
            </w:pPr>
            <w:r w:rsidRPr="001A5BFE">
              <w:rPr>
                <w:rFonts w:cs="Simplified Arabic" w:hint="cs"/>
                <w:sz w:val="20"/>
                <w:szCs w:val="20"/>
                <w:rtl/>
              </w:rPr>
              <w:t>237.98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44AA1" w:rsidRPr="001A5BFE" w:rsidRDefault="00144AA1" w:rsidP="00144AA1">
            <w:pPr>
              <w:ind w:right="-180"/>
              <w:jc w:val="center"/>
              <w:rPr>
                <w:rFonts w:cs="Simplified Arabic" w:hint="cs"/>
                <w:sz w:val="20"/>
                <w:szCs w:val="20"/>
                <w:rtl/>
              </w:rPr>
            </w:pPr>
            <w:r w:rsidRPr="001A5BFE">
              <w:rPr>
                <w:rFonts w:cs="Simplified Arabic" w:hint="cs"/>
                <w:sz w:val="20"/>
                <w:szCs w:val="20"/>
                <w:rtl/>
              </w:rPr>
              <w:t>3.84</w:t>
            </w:r>
          </w:p>
        </w:tc>
      </w:tr>
      <w:tr w:rsidR="0098249E" w:rsidRPr="001A5BFE" w:rsidTr="004F4170">
        <w:trPr>
          <w:trHeight w:val="397"/>
        </w:trPr>
        <w:tc>
          <w:tcPr>
            <w:tcW w:w="1249" w:type="dxa"/>
            <w:shd w:val="clear" w:color="auto" w:fill="auto"/>
            <w:vAlign w:val="center"/>
          </w:tcPr>
          <w:p w:rsidR="0098249E" w:rsidRPr="001A5BFE" w:rsidRDefault="00144AA1" w:rsidP="001A5BFE">
            <w:pPr>
              <w:ind w:right="-180"/>
              <w:jc w:val="both"/>
              <w:rPr>
                <w:rFonts w:cs="Simplified Arabic" w:hint="cs"/>
                <w:sz w:val="20"/>
                <w:szCs w:val="20"/>
                <w:rtl/>
              </w:rPr>
            </w:pPr>
            <w:r>
              <w:rPr>
                <w:rFonts w:cs="Simplified Arabic" w:hint="cs"/>
                <w:sz w:val="20"/>
                <w:szCs w:val="20"/>
                <w:rtl/>
              </w:rPr>
              <w:t>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249E" w:rsidRPr="001A5BFE" w:rsidRDefault="00144AA1" w:rsidP="00932C24">
            <w:pPr>
              <w:ind w:right="-180"/>
              <w:jc w:val="center"/>
              <w:rPr>
                <w:rFonts w:cs="Simplified Arabic" w:hint="cs"/>
                <w:sz w:val="20"/>
                <w:szCs w:val="20"/>
                <w:rtl/>
              </w:rPr>
            </w:pPr>
            <w:r>
              <w:rPr>
                <w:rFonts w:cs="Simplified Arabic" w:hint="cs"/>
                <w:sz w:val="20"/>
                <w:szCs w:val="20"/>
                <w:rtl/>
              </w:rPr>
              <w:t>10.54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8249E" w:rsidRPr="001A5BFE" w:rsidRDefault="00144AA1" w:rsidP="00932C24">
            <w:pPr>
              <w:ind w:right="-180"/>
              <w:jc w:val="center"/>
              <w:rPr>
                <w:rFonts w:cs="Simplified Arabic" w:hint="cs"/>
                <w:sz w:val="20"/>
                <w:szCs w:val="20"/>
                <w:rtl/>
              </w:rPr>
            </w:pPr>
            <w:r>
              <w:rPr>
                <w:rFonts w:cs="Simplified Arabic" w:hint="cs"/>
                <w:sz w:val="20"/>
                <w:szCs w:val="20"/>
                <w:rtl/>
              </w:rPr>
              <w:t>0.11-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249E" w:rsidRPr="001A5BFE" w:rsidRDefault="00144AA1" w:rsidP="00932C24">
            <w:pPr>
              <w:ind w:right="-180"/>
              <w:jc w:val="center"/>
              <w:rPr>
                <w:rFonts w:cs="Simplified Arabic" w:hint="cs"/>
                <w:sz w:val="20"/>
                <w:szCs w:val="20"/>
                <w:rtl/>
              </w:rPr>
            </w:pPr>
            <w:r>
              <w:rPr>
                <w:rFonts w:cs="Simplified Arabic" w:hint="cs"/>
                <w:sz w:val="20"/>
                <w:szCs w:val="20"/>
                <w:rtl/>
              </w:rPr>
              <w:t>21.93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249E" w:rsidRPr="001A5BFE" w:rsidRDefault="00144AA1" w:rsidP="00932C24">
            <w:pPr>
              <w:ind w:right="-180"/>
              <w:jc w:val="center"/>
              <w:rPr>
                <w:rFonts w:cs="Simplified Arabic" w:hint="cs"/>
                <w:sz w:val="20"/>
                <w:szCs w:val="20"/>
                <w:rtl/>
              </w:rPr>
            </w:pPr>
            <w:r>
              <w:rPr>
                <w:rFonts w:cs="Simplified Arabic" w:hint="cs"/>
                <w:sz w:val="20"/>
                <w:szCs w:val="20"/>
                <w:rtl/>
              </w:rPr>
              <w:t>1.64</w:t>
            </w:r>
          </w:p>
        </w:tc>
      </w:tr>
      <w:tr w:rsidR="0098249E" w:rsidRPr="001A5BFE" w:rsidTr="004F4170">
        <w:trPr>
          <w:trHeight w:val="397"/>
        </w:trPr>
        <w:tc>
          <w:tcPr>
            <w:tcW w:w="1249" w:type="dxa"/>
            <w:shd w:val="clear" w:color="auto" w:fill="auto"/>
            <w:vAlign w:val="center"/>
          </w:tcPr>
          <w:p w:rsidR="0098249E" w:rsidRPr="001A5BFE" w:rsidRDefault="00144AA1" w:rsidP="00144AA1">
            <w:pPr>
              <w:ind w:right="-180"/>
              <w:jc w:val="both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2022</w:t>
            </w:r>
            <w:r w:rsidR="0098249E" w:rsidRPr="001A5BFE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- 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249E" w:rsidRPr="001A5BFE" w:rsidRDefault="00144AA1" w:rsidP="00932C24">
            <w:pPr>
              <w:ind w:right="-180"/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86.57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8249E" w:rsidRPr="001A5BFE" w:rsidRDefault="00144AA1" w:rsidP="00932C24">
            <w:pPr>
              <w:ind w:right="-180"/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11.26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249E" w:rsidRPr="001A5BFE" w:rsidRDefault="00144AA1" w:rsidP="00932C24">
            <w:pPr>
              <w:ind w:right="-180"/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369.90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249E" w:rsidRPr="001A5BFE" w:rsidRDefault="00144AA1" w:rsidP="00932C24">
            <w:pPr>
              <w:ind w:right="-180"/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14.97</w:t>
            </w:r>
          </w:p>
        </w:tc>
      </w:tr>
    </w:tbl>
    <w:p w:rsidR="00EA23AC" w:rsidRDefault="00EA23AC" w:rsidP="00855AC9">
      <w:pPr>
        <w:ind w:right="-180"/>
        <w:jc w:val="both"/>
        <w:rPr>
          <w:rFonts w:cs="Simplified Arabic" w:hint="cs"/>
          <w:b/>
          <w:bCs/>
          <w:sz w:val="26"/>
          <w:szCs w:val="26"/>
        </w:rPr>
      </w:pPr>
    </w:p>
    <w:p w:rsidR="004F4170" w:rsidRDefault="004F4170" w:rsidP="008A30DB">
      <w:pPr>
        <w:ind w:right="-18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77A86" w:rsidRDefault="00177A86" w:rsidP="008A30DB">
      <w:pPr>
        <w:ind w:right="-18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F417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مؤشر غلاء المعيشة خلال العام </w:t>
      </w:r>
      <w:r w:rsidR="008A30DB" w:rsidRPr="004F4170">
        <w:rPr>
          <w:rFonts w:ascii="Simplified Arabic" w:hAnsi="Simplified Arabic" w:cs="Simplified Arabic"/>
          <w:b/>
          <w:bCs/>
          <w:sz w:val="28"/>
          <w:szCs w:val="28"/>
        </w:rPr>
        <w:t>2025</w:t>
      </w:r>
      <w:r w:rsidRPr="004F417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في فلسطين</w:t>
      </w:r>
    </w:p>
    <w:p w:rsidR="004F4170" w:rsidRPr="004F4170" w:rsidRDefault="004F4170" w:rsidP="008A30DB">
      <w:pPr>
        <w:ind w:right="-18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913596" w:rsidRPr="004F4170" w:rsidRDefault="00913596" w:rsidP="008A30DB">
      <w:pPr>
        <w:pStyle w:val="BodyText2"/>
        <w:spacing w:after="0" w:line="240" w:lineRule="auto"/>
        <w:jc w:val="center"/>
        <w:rPr>
          <w:rFonts w:cs="Simplified Arabic"/>
          <w:b/>
          <w:bCs/>
          <w:sz w:val="26"/>
          <w:szCs w:val="26"/>
          <w:lang w:val="en-US"/>
        </w:rPr>
      </w:pPr>
      <w:r w:rsidRPr="004F4170">
        <w:rPr>
          <w:rFonts w:cs="Simplified Arabic" w:hint="cs"/>
          <w:b/>
          <w:bCs/>
          <w:sz w:val="26"/>
          <w:szCs w:val="26"/>
          <w:rtl/>
        </w:rPr>
        <w:t xml:space="preserve">نسب التغير الشهرية لأسعار المستهلك في فلسطين خلال العام </w:t>
      </w:r>
      <w:r w:rsidR="008A30DB" w:rsidRPr="004F4170">
        <w:rPr>
          <w:rFonts w:cs="Simplified Arabic"/>
          <w:b/>
          <w:bCs/>
          <w:sz w:val="26"/>
          <w:szCs w:val="26"/>
          <w:lang w:val="en-US"/>
        </w:rPr>
        <w:t>2025</w:t>
      </w:r>
    </w:p>
    <w:p w:rsidR="00913596" w:rsidRPr="00DD78A8" w:rsidRDefault="00860D66" w:rsidP="004F4170">
      <w:pPr>
        <w:ind w:right="-180"/>
        <w:jc w:val="center"/>
        <w:rPr>
          <w:rFonts w:cs="Simplified Arabic" w:hint="cs"/>
          <w:b/>
          <w:bCs/>
          <w:sz w:val="12"/>
          <w:szCs w:val="12"/>
          <w:rtl/>
        </w:rPr>
      </w:pPr>
      <w:r>
        <w:rPr>
          <w:rFonts w:cs="Simplified Arabic"/>
          <w:b/>
          <w:bCs/>
          <w:noProof/>
          <w:lang w:val="en-GB" w:eastAsia="en-GB"/>
        </w:rPr>
        <w:drawing>
          <wp:inline distT="0" distB="0" distL="0" distR="0">
            <wp:extent cx="3036570" cy="274320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17EF5" w:rsidRDefault="00817EF5" w:rsidP="004B0B0D">
      <w:pPr>
        <w:ind w:right="-180"/>
        <w:jc w:val="both"/>
        <w:rPr>
          <w:rFonts w:cs="Simplified Arabic"/>
        </w:rPr>
      </w:pPr>
    </w:p>
    <w:p w:rsidR="00DC09E9" w:rsidRPr="004F4170" w:rsidRDefault="004F0886" w:rsidP="004B0B0D">
      <w:pPr>
        <w:ind w:right="-180"/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4F4170">
        <w:rPr>
          <w:rFonts w:cs="Simplified Arabic" w:hint="cs"/>
          <w:sz w:val="26"/>
          <w:szCs w:val="26"/>
          <w:rtl/>
        </w:rPr>
        <w:t>سجل</w:t>
      </w:r>
      <w:r w:rsidRPr="004F4170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4F4170">
        <w:rPr>
          <w:rFonts w:cs="Simplified Arabic" w:hint="cs"/>
          <w:sz w:val="26"/>
          <w:szCs w:val="26"/>
          <w:rtl/>
        </w:rPr>
        <w:t xml:space="preserve">الرقم القياسي لأسعار المستهلك في فلسطين </w:t>
      </w:r>
      <w:r w:rsidRPr="004F4170">
        <w:rPr>
          <w:rFonts w:cs="Simplified Arabic" w:hint="cs"/>
          <w:b/>
          <w:bCs/>
          <w:sz w:val="26"/>
          <w:szCs w:val="26"/>
          <w:rtl/>
        </w:rPr>
        <w:t xml:space="preserve">ارتفاعاً حاداً نسبته </w:t>
      </w:r>
      <w:r w:rsidR="006C48E9" w:rsidRPr="004F4170">
        <w:rPr>
          <w:rFonts w:cs="Simplified Arabic" w:hint="cs"/>
          <w:b/>
          <w:bCs/>
          <w:sz w:val="26"/>
          <w:szCs w:val="26"/>
          <w:rtl/>
        </w:rPr>
        <w:t>10.54</w:t>
      </w:r>
      <w:r w:rsidRPr="004F4170">
        <w:rPr>
          <w:rFonts w:cs="Simplified Arabic" w:hint="cs"/>
          <w:b/>
          <w:bCs/>
          <w:sz w:val="26"/>
          <w:szCs w:val="26"/>
          <w:rtl/>
        </w:rPr>
        <w:t>%</w:t>
      </w:r>
      <w:r w:rsidRPr="004F4170">
        <w:rPr>
          <w:rFonts w:cs="Simplified Arabic" w:hint="cs"/>
          <w:sz w:val="26"/>
          <w:szCs w:val="26"/>
          <w:rtl/>
        </w:rPr>
        <w:t xml:space="preserve"> و</w:t>
      </w:r>
      <w:r w:rsidR="0073078C" w:rsidRPr="004F4170">
        <w:rPr>
          <w:rFonts w:cs="Simplified Arabic"/>
          <w:sz w:val="26"/>
          <w:szCs w:val="26"/>
          <w:rtl/>
        </w:rPr>
        <w:t xml:space="preserve">يعود </w:t>
      </w:r>
      <w:r w:rsidR="00DC1B43" w:rsidRPr="004F4170">
        <w:rPr>
          <w:rFonts w:cs="Simplified Arabic" w:hint="cs"/>
          <w:sz w:val="26"/>
          <w:szCs w:val="26"/>
          <w:rtl/>
        </w:rPr>
        <w:t xml:space="preserve">السبب الرئيسي </w:t>
      </w:r>
      <w:r w:rsidR="00FF3BAD" w:rsidRPr="004F4170">
        <w:rPr>
          <w:rFonts w:cs="Simplified Arabic" w:hint="cs"/>
          <w:sz w:val="26"/>
          <w:szCs w:val="26"/>
          <w:rtl/>
        </w:rPr>
        <w:t>لارتفاع</w:t>
      </w:r>
      <w:r w:rsidR="00363112" w:rsidRPr="004F4170">
        <w:rPr>
          <w:rFonts w:cs="Simplified Arabic" w:hint="cs"/>
          <w:sz w:val="26"/>
          <w:szCs w:val="26"/>
          <w:rtl/>
        </w:rPr>
        <w:t xml:space="preserve"> مؤشر غلاء المعيشة في فلسطين</w:t>
      </w:r>
      <w:r w:rsidR="001D7E51" w:rsidRPr="004F4170">
        <w:rPr>
          <w:rFonts w:cs="Simplified Arabic" w:hint="cs"/>
          <w:sz w:val="26"/>
          <w:szCs w:val="26"/>
          <w:rtl/>
        </w:rPr>
        <w:t xml:space="preserve"> خلال العام </w:t>
      </w:r>
      <w:r w:rsidR="006C48E9" w:rsidRPr="004F4170">
        <w:rPr>
          <w:rFonts w:cs="Simplified Arabic" w:hint="cs"/>
          <w:sz w:val="26"/>
          <w:szCs w:val="26"/>
          <w:rtl/>
        </w:rPr>
        <w:t>2025</w:t>
      </w:r>
      <w:r w:rsidR="00DC1B43" w:rsidRPr="004F4170">
        <w:rPr>
          <w:rFonts w:cs="Simplified Arabic" w:hint="cs"/>
          <w:sz w:val="26"/>
          <w:szCs w:val="26"/>
          <w:rtl/>
        </w:rPr>
        <w:t>؛</w:t>
      </w:r>
      <w:r w:rsidR="00363112" w:rsidRPr="004F4170">
        <w:rPr>
          <w:rFonts w:cs="Simplified Arabic" w:hint="cs"/>
          <w:sz w:val="26"/>
          <w:szCs w:val="26"/>
          <w:rtl/>
        </w:rPr>
        <w:t xml:space="preserve"> </w:t>
      </w:r>
      <w:r w:rsidR="00FD54BD" w:rsidRPr="004F4170">
        <w:rPr>
          <w:rFonts w:cs="Simplified Arabic" w:hint="cs"/>
          <w:sz w:val="26"/>
          <w:szCs w:val="26"/>
          <w:rtl/>
        </w:rPr>
        <w:t>إلى</w:t>
      </w:r>
      <w:r w:rsidR="00363112" w:rsidRPr="004F4170">
        <w:rPr>
          <w:rFonts w:cs="Simplified Arabic" w:hint="cs"/>
          <w:sz w:val="26"/>
          <w:szCs w:val="26"/>
          <w:rtl/>
        </w:rPr>
        <w:t xml:space="preserve"> </w:t>
      </w:r>
      <w:r w:rsidR="00FF3BAD" w:rsidRPr="004F4170">
        <w:rPr>
          <w:rFonts w:cs="Simplified Arabic" w:hint="cs"/>
          <w:sz w:val="26"/>
          <w:szCs w:val="26"/>
          <w:rtl/>
        </w:rPr>
        <w:t>ارتفاع</w:t>
      </w:r>
      <w:r w:rsidR="0073078C" w:rsidRPr="004F4170">
        <w:rPr>
          <w:rFonts w:cs="Simplified Arabic"/>
          <w:sz w:val="26"/>
          <w:szCs w:val="26"/>
          <w:rtl/>
        </w:rPr>
        <w:t xml:space="preserve"> </w:t>
      </w:r>
      <w:r w:rsidR="005429BA" w:rsidRPr="004F4170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5429BA"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مجموعة المسكن والمياه والكهرباء والغاز وغيرها من الوقود ارتفاعاً </w:t>
      </w:r>
      <w:r w:rsidR="004B0B0D"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بنسبة</w:t>
      </w:r>
      <w:r w:rsidR="005429BA"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84.09%</w:t>
      </w:r>
      <w:r w:rsidR="005429BA" w:rsidRPr="004F4170">
        <w:rPr>
          <w:rFonts w:ascii="Simplified Arabic" w:hAnsi="Simplified Arabic" w:cs="Simplified Arabic" w:hint="cs"/>
          <w:sz w:val="26"/>
          <w:szCs w:val="26"/>
          <w:rtl/>
        </w:rPr>
        <w:t xml:space="preserve">، والتي تشكل </w:t>
      </w:r>
      <w:r w:rsidR="005429BA"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أهميتها النسبية</w:t>
      </w:r>
      <w:r w:rsidR="005429BA" w:rsidRPr="004F417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429BA"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9.06% من سلة المستهلك</w:t>
      </w:r>
      <w:r w:rsidR="005429BA" w:rsidRPr="004F4170">
        <w:rPr>
          <w:rFonts w:ascii="Simplified Arabic" w:hAnsi="Simplified Arabic" w:cs="Simplified Arabic" w:hint="cs"/>
          <w:sz w:val="26"/>
          <w:szCs w:val="26"/>
          <w:rtl/>
        </w:rPr>
        <w:t xml:space="preserve">، حيث ارتفعت أسعار الغاز بنسبة 297.58%. </w:t>
      </w:r>
    </w:p>
    <w:p w:rsidR="005429BA" w:rsidRPr="004F4170" w:rsidRDefault="005429BA" w:rsidP="005429BA">
      <w:pPr>
        <w:ind w:right="-180"/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</w:p>
    <w:p w:rsidR="005429BA" w:rsidRPr="004F4170" w:rsidRDefault="005429BA" w:rsidP="005429BA">
      <w:pPr>
        <w:ind w:right="-180"/>
        <w:jc w:val="both"/>
        <w:rPr>
          <w:rFonts w:ascii="Simplified Arabic" w:hAnsi="Simplified Arabic" w:cs="Simplified Arabic"/>
          <w:sz w:val="26"/>
          <w:szCs w:val="26"/>
          <w:lang w:bidi="ar-JO"/>
        </w:rPr>
      </w:pPr>
      <w:r w:rsidRPr="004F4170">
        <w:rPr>
          <w:rFonts w:ascii="Simplified Arabic" w:hAnsi="Simplified Arabic" w:cs="Simplified Arabic" w:hint="cs"/>
          <w:sz w:val="26"/>
          <w:szCs w:val="26"/>
          <w:rtl/>
        </w:rPr>
        <w:t xml:space="preserve">كما سجلت </w:t>
      </w:r>
      <w:r w:rsidRPr="004F4170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مجموعة المواد الغذائية والمشروبات غير الكحولية بنسبة 35.89%،</w:t>
      </w:r>
      <w:r w:rsidRPr="004F4170">
        <w:rPr>
          <w:rFonts w:ascii="Simplified Arabic" w:hAnsi="Simplified Arabic" w:cs="Simplified Arabic" w:hint="cs"/>
          <w:sz w:val="26"/>
          <w:szCs w:val="26"/>
          <w:rtl/>
        </w:rPr>
        <w:t xml:space="preserve"> والتي تشكل </w:t>
      </w:r>
      <w:r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أهميتها النسبية</w:t>
      </w:r>
      <w:r w:rsidRPr="004F417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28.15% من سلة المستهلك، </w:t>
      </w:r>
      <w:r w:rsidRPr="004F4170">
        <w:rPr>
          <w:rFonts w:ascii="Simplified Arabic" w:hAnsi="Simplified Arabic" w:cs="Simplified Arabic" w:hint="cs"/>
          <w:sz w:val="26"/>
          <w:szCs w:val="26"/>
          <w:rtl/>
        </w:rPr>
        <w:t xml:space="preserve">حيث ارتفعت أسعار كل من؛ </w:t>
      </w:r>
      <w:r w:rsidRPr="004F417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السكر بنسبة 125.82%، والبيض بنسبة 109.72%، و</w:t>
      </w:r>
      <w:r w:rsidRPr="004F4170">
        <w:rPr>
          <w:rFonts w:ascii="Simplified Arabic" w:hAnsi="Simplified Arabic" w:cs="Simplified Arabic" w:hint="cs"/>
          <w:sz w:val="26"/>
          <w:szCs w:val="26"/>
          <w:rtl/>
        </w:rPr>
        <w:t>الخضروات المجففة بنسبة 107.18</w:t>
      </w:r>
      <w:r w:rsidRPr="004F417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</w:t>
      </w:r>
      <w:r w:rsidRPr="004F4170">
        <w:rPr>
          <w:rFonts w:ascii="Simplified Arabic" w:hAnsi="Simplified Arabic" w:cs="Simplified Arabic" w:hint="cs"/>
          <w:sz w:val="26"/>
          <w:szCs w:val="26"/>
          <w:rtl/>
        </w:rPr>
        <w:t xml:space="preserve">والخبز "الكماج" بنسبة 64.32%، </w:t>
      </w:r>
      <w:r w:rsidRPr="004F417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والدقيق الأبيض بنسبة 43.44%، والفواكه الطازجة بنسبة 42.62%، والقهوة بنسبة 40.49%، والخضروات المعلبة بنسبة 37.22%، والزيوت النباتية بنسبة 30.63%، والدجاج الطازج بنسبة 29.69%، واللحوم الطازجة بنسبة 23.08%، والخضروات الطازجة بنسبة 18.99%، والبقول المجففة بنسبة </w:t>
      </w:r>
      <w:r w:rsidRPr="004F4170">
        <w:rPr>
          <w:rFonts w:ascii="Simplified Arabic" w:hAnsi="Simplified Arabic" w:cs="Simplified Arabic"/>
          <w:sz w:val="26"/>
          <w:szCs w:val="26"/>
          <w:lang w:bidi="ar-JO"/>
        </w:rPr>
        <w:t>18.48</w:t>
      </w:r>
      <w:r w:rsidRPr="004F417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والبطاطا بنسبة </w:t>
      </w:r>
      <w:r w:rsidRPr="004F4170">
        <w:rPr>
          <w:rFonts w:ascii="Simplified Arabic" w:hAnsi="Simplified Arabic" w:cs="Simplified Arabic"/>
          <w:sz w:val="26"/>
          <w:szCs w:val="26"/>
          <w:lang w:bidi="ar-JO"/>
        </w:rPr>
        <w:t>15.21</w:t>
      </w:r>
      <w:r w:rsidRPr="004F4170">
        <w:rPr>
          <w:rFonts w:ascii="Simplified Arabic" w:hAnsi="Simplified Arabic" w:cs="Simplified Arabic" w:hint="cs"/>
          <w:sz w:val="26"/>
          <w:szCs w:val="26"/>
          <w:rtl/>
          <w:lang w:bidi="ar-JO"/>
        </w:rPr>
        <w:t>%.</w:t>
      </w:r>
    </w:p>
    <w:p w:rsidR="006D28DB" w:rsidRPr="004F4170" w:rsidRDefault="006D28DB" w:rsidP="00BA4298">
      <w:pPr>
        <w:ind w:right="-180"/>
        <w:jc w:val="both"/>
        <w:rPr>
          <w:rFonts w:ascii="Simplified Arabic" w:hAnsi="Simplified Arabic" w:cs="Simplified Arabic" w:hint="cs"/>
          <w:sz w:val="26"/>
          <w:szCs w:val="26"/>
          <w:rtl/>
        </w:rPr>
      </w:pPr>
    </w:p>
    <w:p w:rsidR="00AA278E" w:rsidRPr="004F4170" w:rsidRDefault="00233FFF" w:rsidP="005429BA">
      <w:pPr>
        <w:ind w:right="-180"/>
        <w:jc w:val="both"/>
        <w:rPr>
          <w:rFonts w:ascii="Simplified Arabic" w:hAnsi="Simplified Arabic" w:cs="Simplified Arabic"/>
          <w:sz w:val="26"/>
          <w:szCs w:val="26"/>
        </w:rPr>
      </w:pPr>
      <w:r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</w:t>
      </w:r>
      <w:r w:rsidR="00DC09E9"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سجلت </w:t>
      </w:r>
      <w:r w:rsidR="00FF3BAD"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مجموعة المواصلات</w:t>
      </w:r>
      <w:r w:rsidR="00DC09E9"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ارتفاعاً نسبته</w:t>
      </w:r>
      <w:r w:rsidR="00FF3BAD"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5429BA"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5.13</w:t>
      </w:r>
      <w:r w:rsidR="00FF3BAD"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%،</w:t>
      </w:r>
      <w:r w:rsidR="00FF3BAD" w:rsidRPr="004F4170">
        <w:rPr>
          <w:rFonts w:ascii="Simplified Arabic" w:hAnsi="Simplified Arabic" w:cs="Simplified Arabic" w:hint="cs"/>
          <w:sz w:val="26"/>
          <w:szCs w:val="26"/>
          <w:rtl/>
        </w:rPr>
        <w:t xml:space="preserve"> والتي </w:t>
      </w:r>
      <w:r w:rsidR="00AF0826" w:rsidRPr="004F4170">
        <w:rPr>
          <w:rFonts w:ascii="Simplified Arabic" w:hAnsi="Simplified Arabic" w:cs="Simplified Arabic" w:hint="cs"/>
          <w:sz w:val="26"/>
          <w:szCs w:val="26"/>
          <w:rtl/>
        </w:rPr>
        <w:t xml:space="preserve">تشكل </w:t>
      </w:r>
      <w:r w:rsidR="009376D8"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أهميتها النسبية</w:t>
      </w:r>
      <w:r w:rsidR="009376D8" w:rsidRPr="004F417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F3BAD"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14.26% من سلة المستهلك</w:t>
      </w:r>
      <w:r w:rsidR="00FF3BAD" w:rsidRPr="004F4170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A71272" w:rsidRPr="004F4170">
        <w:rPr>
          <w:rFonts w:ascii="Simplified Arabic" w:hAnsi="Simplified Arabic" w:cs="Simplified Arabic" w:hint="cs"/>
          <w:sz w:val="26"/>
          <w:szCs w:val="26"/>
          <w:rtl/>
        </w:rPr>
        <w:t xml:space="preserve">حيث ارتفعت أسعار </w:t>
      </w:r>
      <w:r w:rsidR="00854635" w:rsidRPr="004F417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البنزين</w:t>
      </w:r>
      <w:r w:rsidR="00A71272" w:rsidRPr="004F4170">
        <w:rPr>
          <w:rFonts w:ascii="Simplified Arabic" w:hAnsi="Simplified Arabic" w:cs="Simplified Arabic" w:hint="cs"/>
          <w:sz w:val="26"/>
          <w:szCs w:val="26"/>
          <w:rtl/>
        </w:rPr>
        <w:t xml:space="preserve"> بنسبة </w:t>
      </w:r>
      <w:r w:rsidR="005429BA" w:rsidRPr="004F4170">
        <w:rPr>
          <w:rFonts w:ascii="Simplified Arabic" w:hAnsi="Simplified Arabic" w:cs="Simplified Arabic" w:hint="cs"/>
          <w:sz w:val="26"/>
          <w:szCs w:val="26"/>
          <w:rtl/>
        </w:rPr>
        <w:t xml:space="preserve">15.86%. </w:t>
      </w:r>
    </w:p>
    <w:p w:rsidR="00472083" w:rsidRPr="004F4170" w:rsidRDefault="00472083" w:rsidP="006D28DB">
      <w:pPr>
        <w:ind w:right="-180"/>
        <w:jc w:val="both"/>
        <w:rPr>
          <w:rFonts w:ascii="Simplified Arabic" w:hAnsi="Simplified Arabic" w:cs="Simplified Arabic"/>
          <w:sz w:val="26"/>
          <w:szCs w:val="26"/>
          <w:lang w:bidi="ar-JO"/>
        </w:rPr>
      </w:pPr>
    </w:p>
    <w:p w:rsidR="006D28DB" w:rsidRPr="008C7B94" w:rsidRDefault="006D28DB" w:rsidP="006D28DB">
      <w:pPr>
        <w:ind w:right="-187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8C7B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مؤشر غلاء المعيشة منذ العام 1996</w:t>
      </w:r>
    </w:p>
    <w:p w:rsidR="00BD12F2" w:rsidRPr="004F4170" w:rsidRDefault="00BD12F2" w:rsidP="006D6094">
      <w:pPr>
        <w:ind w:right="-187"/>
        <w:jc w:val="both"/>
        <w:rPr>
          <w:rFonts w:cs="Simplified Arabic"/>
          <w:sz w:val="26"/>
          <w:szCs w:val="26"/>
          <w:rtl/>
          <w:lang w:bidi="ar-JO"/>
        </w:rPr>
      </w:pPr>
      <w:r w:rsidRPr="004F4170">
        <w:rPr>
          <w:rFonts w:cs="Simplified Arabic" w:hint="cs"/>
          <w:sz w:val="26"/>
          <w:szCs w:val="26"/>
          <w:rtl/>
        </w:rPr>
        <w:t xml:space="preserve">بلغت نسبة غلاء المعيشة منذ العام 1996 وحتى العام </w:t>
      </w:r>
      <w:r w:rsidR="006D6094" w:rsidRPr="004F4170">
        <w:rPr>
          <w:rFonts w:cs="Simplified Arabic" w:hint="cs"/>
          <w:sz w:val="26"/>
          <w:szCs w:val="26"/>
          <w:rtl/>
        </w:rPr>
        <w:t>2025</w:t>
      </w:r>
      <w:r w:rsidRPr="004F4170">
        <w:rPr>
          <w:rFonts w:cs="Simplified Arabic" w:hint="cs"/>
          <w:sz w:val="26"/>
          <w:szCs w:val="26"/>
          <w:rtl/>
        </w:rPr>
        <w:t xml:space="preserve"> حوالي </w:t>
      </w:r>
      <w:r w:rsidR="006D6094" w:rsidRPr="004F4170">
        <w:rPr>
          <w:rFonts w:cs="Simplified Arabic" w:hint="cs"/>
          <w:b/>
          <w:bCs/>
          <w:sz w:val="26"/>
          <w:szCs w:val="26"/>
          <w:rtl/>
        </w:rPr>
        <w:t>284</w:t>
      </w:r>
      <w:r w:rsidRPr="004F4170">
        <w:rPr>
          <w:rFonts w:cs="Simplified Arabic" w:hint="cs"/>
          <w:b/>
          <w:bCs/>
          <w:sz w:val="26"/>
          <w:szCs w:val="26"/>
          <w:rtl/>
        </w:rPr>
        <w:t>%</w:t>
      </w:r>
      <w:r w:rsidRPr="004F4170">
        <w:rPr>
          <w:rFonts w:cs="Simplified Arabic" w:hint="cs"/>
          <w:sz w:val="26"/>
          <w:szCs w:val="26"/>
          <w:rtl/>
        </w:rPr>
        <w:t xml:space="preserve">، أي بزيادة مقدارها </w:t>
      </w:r>
      <w:r w:rsidR="006D28DB" w:rsidRPr="004F4170">
        <w:rPr>
          <w:rFonts w:cs="Simplified Arabic"/>
          <w:b/>
          <w:bCs/>
          <w:sz w:val="26"/>
          <w:szCs w:val="26"/>
        </w:rPr>
        <w:t>2</w:t>
      </w:r>
      <w:r w:rsidRPr="004F4170">
        <w:rPr>
          <w:rFonts w:cs="Simplified Arabic"/>
          <w:b/>
          <w:bCs/>
          <w:sz w:val="26"/>
          <w:szCs w:val="26"/>
        </w:rPr>
        <w:t>,</w:t>
      </w:r>
      <w:r w:rsidR="006D6094" w:rsidRPr="004F4170">
        <w:rPr>
          <w:rFonts w:cs="Simplified Arabic"/>
          <w:b/>
          <w:bCs/>
          <w:sz w:val="26"/>
          <w:szCs w:val="26"/>
        </w:rPr>
        <w:t>841</w:t>
      </w:r>
      <w:r w:rsidRPr="004F4170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4F4170">
        <w:rPr>
          <w:rFonts w:cs="Simplified Arabic" w:hint="cs"/>
          <w:sz w:val="26"/>
          <w:szCs w:val="26"/>
          <w:rtl/>
        </w:rPr>
        <w:t xml:space="preserve">شيقل لكل </w:t>
      </w:r>
      <w:r w:rsidRPr="004F4170">
        <w:rPr>
          <w:rFonts w:cs="Simplified Arabic"/>
          <w:sz w:val="26"/>
          <w:szCs w:val="26"/>
        </w:rPr>
        <w:t>1,000</w:t>
      </w:r>
      <w:r w:rsidR="007358B6" w:rsidRPr="004F4170">
        <w:rPr>
          <w:rFonts w:cs="Simplified Arabic" w:hint="cs"/>
          <w:sz w:val="26"/>
          <w:szCs w:val="26"/>
          <w:rtl/>
        </w:rPr>
        <w:t xml:space="preserve"> شيقل</w:t>
      </w:r>
      <w:r w:rsidRPr="004F4170">
        <w:rPr>
          <w:rFonts w:cs="Simplified Arabic" w:hint="cs"/>
          <w:sz w:val="26"/>
          <w:szCs w:val="26"/>
          <w:rtl/>
        </w:rPr>
        <w:t xml:space="preserve">، وإذا ما حسبت منذ العام 2004 فقد بلغت حوالي </w:t>
      </w:r>
      <w:r w:rsidR="006D6094" w:rsidRPr="004F4170">
        <w:rPr>
          <w:rFonts w:cs="Simplified Arabic" w:hint="cs"/>
          <w:b/>
          <w:bCs/>
          <w:sz w:val="26"/>
          <w:szCs w:val="26"/>
          <w:rtl/>
        </w:rPr>
        <w:t>172</w:t>
      </w:r>
      <w:r w:rsidRPr="004F4170">
        <w:rPr>
          <w:rFonts w:cs="Simplified Arabic" w:hint="cs"/>
          <w:b/>
          <w:bCs/>
          <w:sz w:val="26"/>
          <w:szCs w:val="26"/>
          <w:rtl/>
        </w:rPr>
        <w:t>%</w:t>
      </w:r>
      <w:r w:rsidRPr="004F4170">
        <w:rPr>
          <w:rFonts w:cs="Simplified Arabic" w:hint="cs"/>
          <w:sz w:val="26"/>
          <w:szCs w:val="26"/>
          <w:rtl/>
        </w:rPr>
        <w:t xml:space="preserve">، أي بزيادة مقدارها </w:t>
      </w:r>
      <w:r w:rsidR="006D28DB" w:rsidRPr="004F4170">
        <w:rPr>
          <w:rFonts w:cs="Simplified Arabic"/>
          <w:b/>
          <w:bCs/>
          <w:sz w:val="26"/>
          <w:szCs w:val="26"/>
        </w:rPr>
        <w:t>1,</w:t>
      </w:r>
      <w:r w:rsidR="006D6094" w:rsidRPr="004F4170">
        <w:rPr>
          <w:rFonts w:cs="Simplified Arabic"/>
          <w:b/>
          <w:bCs/>
          <w:sz w:val="26"/>
          <w:szCs w:val="26"/>
        </w:rPr>
        <w:t>721</w:t>
      </w:r>
      <w:r w:rsidRPr="004F4170">
        <w:rPr>
          <w:rFonts w:cs="Simplified Arabic" w:hint="cs"/>
          <w:sz w:val="26"/>
          <w:szCs w:val="26"/>
          <w:rtl/>
        </w:rPr>
        <w:t xml:space="preserve"> شيقل لكل </w:t>
      </w:r>
      <w:r w:rsidRPr="004F4170">
        <w:rPr>
          <w:rFonts w:cs="Simplified Arabic"/>
          <w:sz w:val="26"/>
          <w:szCs w:val="26"/>
        </w:rPr>
        <w:t>1,000</w:t>
      </w:r>
      <w:r w:rsidR="007358B6" w:rsidRPr="004F4170">
        <w:rPr>
          <w:rFonts w:cs="Simplified Arabic" w:hint="cs"/>
          <w:sz w:val="26"/>
          <w:szCs w:val="26"/>
          <w:rtl/>
        </w:rPr>
        <w:t xml:space="preserve"> شيقل</w:t>
      </w:r>
      <w:r w:rsidR="009674E2" w:rsidRPr="004F4170">
        <w:rPr>
          <w:rFonts w:cs="Simplified Arabic" w:hint="cs"/>
          <w:sz w:val="26"/>
          <w:szCs w:val="26"/>
          <w:rtl/>
          <w:lang w:bidi="ar-JO"/>
        </w:rPr>
        <w:t xml:space="preserve">، فيما </w:t>
      </w:r>
      <w:r w:rsidR="009F47E2" w:rsidRPr="004F4170">
        <w:rPr>
          <w:rFonts w:cs="Simplified Arabic" w:hint="cs"/>
          <w:sz w:val="26"/>
          <w:szCs w:val="26"/>
          <w:rtl/>
          <w:lang w:bidi="ar-JO"/>
        </w:rPr>
        <w:t xml:space="preserve">تجدر الإشارة </w:t>
      </w:r>
      <w:r w:rsidR="00AC7B5D" w:rsidRPr="004F4170">
        <w:rPr>
          <w:rFonts w:cs="Simplified Arabic" w:hint="cs"/>
          <w:sz w:val="26"/>
          <w:szCs w:val="26"/>
          <w:rtl/>
          <w:lang w:bidi="ar-JO"/>
        </w:rPr>
        <w:t xml:space="preserve">إلى أن نسبة التآكل في </w:t>
      </w:r>
      <w:r w:rsidR="00D57EF7" w:rsidRPr="004F4170">
        <w:rPr>
          <w:rFonts w:cs="Simplified Arabic" w:hint="cs"/>
          <w:sz w:val="26"/>
          <w:szCs w:val="26"/>
          <w:rtl/>
          <w:lang w:bidi="ar-JO"/>
        </w:rPr>
        <w:t>الدخل</w:t>
      </w:r>
      <w:r w:rsidR="00AC7B5D" w:rsidRPr="004F4170">
        <w:rPr>
          <w:rFonts w:cs="Simplified Arabic" w:hint="cs"/>
          <w:sz w:val="26"/>
          <w:szCs w:val="26"/>
          <w:rtl/>
          <w:lang w:bidi="ar-JO"/>
        </w:rPr>
        <w:t xml:space="preserve"> قد</w:t>
      </w:r>
      <w:r w:rsidR="009F47E2" w:rsidRPr="004F4170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بلغت </w:t>
      </w:r>
      <w:r w:rsidR="00AC7B5D" w:rsidRPr="004F4170">
        <w:rPr>
          <w:rFonts w:cs="Simplified Arabic" w:hint="cs"/>
          <w:b/>
          <w:bCs/>
          <w:sz w:val="26"/>
          <w:szCs w:val="26"/>
          <w:rtl/>
          <w:lang w:bidi="ar-JO"/>
        </w:rPr>
        <w:t xml:space="preserve">حوالي </w:t>
      </w:r>
      <w:r w:rsidR="006D6094" w:rsidRPr="004F4170">
        <w:rPr>
          <w:rFonts w:cs="Simplified Arabic"/>
          <w:b/>
          <w:bCs/>
          <w:sz w:val="26"/>
          <w:szCs w:val="26"/>
          <w:lang w:bidi="ar-JO"/>
        </w:rPr>
        <w:t>147</w:t>
      </w:r>
      <w:r w:rsidR="00AC7B5D" w:rsidRPr="004F4170">
        <w:rPr>
          <w:rFonts w:cs="Simplified Arabic" w:hint="cs"/>
          <w:b/>
          <w:bCs/>
          <w:sz w:val="26"/>
          <w:szCs w:val="26"/>
          <w:rtl/>
          <w:lang w:bidi="ar-JO"/>
        </w:rPr>
        <w:t xml:space="preserve">% </w:t>
      </w:r>
      <w:r w:rsidR="009F47E2" w:rsidRPr="004F4170">
        <w:rPr>
          <w:rFonts w:cs="Simplified Arabic" w:hint="cs"/>
          <w:b/>
          <w:bCs/>
          <w:sz w:val="26"/>
          <w:szCs w:val="26"/>
          <w:rtl/>
          <w:lang w:bidi="ar-JO"/>
        </w:rPr>
        <w:t xml:space="preserve">منذ العام 2008 وحتى </w:t>
      </w:r>
      <w:r w:rsidR="006D6094" w:rsidRPr="004F4170">
        <w:rPr>
          <w:rFonts w:cs="Simplified Arabic"/>
          <w:b/>
          <w:bCs/>
          <w:sz w:val="26"/>
          <w:szCs w:val="26"/>
          <w:lang w:bidi="ar-JO"/>
        </w:rPr>
        <w:t>2025</w:t>
      </w:r>
      <w:r w:rsidR="009F47E2" w:rsidRPr="004F4170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 w:rsidR="009F47E2" w:rsidRPr="004F4170">
        <w:rPr>
          <w:rFonts w:cs="Simplified Arabic" w:hint="cs"/>
          <w:sz w:val="26"/>
          <w:szCs w:val="26"/>
          <w:rtl/>
          <w:lang w:bidi="ar-JO"/>
        </w:rPr>
        <w:t xml:space="preserve">بسبب ارتفاعات الأسعار المتتالية خلال السنوات الماضية. </w:t>
      </w:r>
    </w:p>
    <w:p w:rsidR="00932C24" w:rsidRPr="004F4170" w:rsidRDefault="00932C24" w:rsidP="006D28DB">
      <w:pPr>
        <w:ind w:right="-187"/>
        <w:jc w:val="both"/>
        <w:rPr>
          <w:rFonts w:cs="Simplified Arabic"/>
          <w:sz w:val="26"/>
          <w:szCs w:val="26"/>
          <w:rtl/>
          <w:lang w:bidi="ar-JO"/>
        </w:rPr>
      </w:pPr>
    </w:p>
    <w:p w:rsidR="003B0F15" w:rsidRPr="004F4170" w:rsidRDefault="00D044A9" w:rsidP="005B3D4A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4F417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نسب </w:t>
      </w:r>
      <w:r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التغّير</w:t>
      </w:r>
      <w:r w:rsidRPr="004F417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السنوية لأسعار المستهلك في فلسطين للسنوات: </w:t>
      </w:r>
      <w:r w:rsidR="0026330C"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2007</w:t>
      </w:r>
      <w:r w:rsidRPr="004F417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– </w:t>
      </w:r>
      <w:r w:rsidR="005B3D4A" w:rsidRPr="004F4170">
        <w:rPr>
          <w:rFonts w:ascii="Simplified Arabic" w:hAnsi="Simplified Arabic" w:cs="Simplified Arabic"/>
          <w:b/>
          <w:bCs/>
          <w:sz w:val="26"/>
          <w:szCs w:val="26"/>
        </w:rPr>
        <w:t>2025</w:t>
      </w:r>
    </w:p>
    <w:p w:rsidR="00512E8D" w:rsidRPr="00443EE9" w:rsidRDefault="00860D66" w:rsidP="00443EE9">
      <w:pPr>
        <w:jc w:val="center"/>
        <w:rPr>
          <w:rFonts w:cs="Simplified Arabic"/>
          <w:b/>
          <w:bCs/>
        </w:rPr>
      </w:pPr>
      <w:r>
        <w:rPr>
          <w:rFonts w:cs="Simplified Arabic"/>
          <w:b/>
          <w:bCs/>
          <w:noProof/>
          <w:sz w:val="28"/>
          <w:szCs w:val="28"/>
          <w:lang w:val="en-GB" w:eastAsia="en-GB"/>
        </w:rPr>
        <w:drawing>
          <wp:inline distT="0" distB="0" distL="0" distR="0">
            <wp:extent cx="2717165" cy="2018665"/>
            <wp:effectExtent l="0" t="0" r="0" b="0"/>
            <wp:docPr id="2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C7B94" w:rsidRDefault="008C7B94" w:rsidP="00443EE9">
      <w:pPr>
        <w:pStyle w:val="Header"/>
        <w:jc w:val="both"/>
        <w:rPr>
          <w:rFonts w:ascii="Simplified Arabic" w:hAnsi="Simplified Arabic" w:cs="Simplified Arabic"/>
          <w:b/>
          <w:bCs/>
          <w:snapToGrid/>
          <w:sz w:val="26"/>
          <w:szCs w:val="26"/>
          <w:rtl/>
          <w:lang w:val="en-US" w:eastAsia="ar-SA"/>
        </w:rPr>
      </w:pPr>
    </w:p>
    <w:p w:rsidR="00C33581" w:rsidRPr="008C7B94" w:rsidRDefault="00D44E93" w:rsidP="00443EE9">
      <w:pPr>
        <w:pStyle w:val="Header"/>
        <w:jc w:val="both"/>
        <w:rPr>
          <w:rFonts w:ascii="Simplified Arabic" w:hAnsi="Simplified Arabic" w:cs="Simplified Arabic"/>
          <w:b/>
          <w:bCs/>
          <w:snapToGrid/>
          <w:sz w:val="28"/>
          <w:szCs w:val="28"/>
          <w:rtl/>
          <w:lang w:val="en-US" w:eastAsia="ar-SA"/>
        </w:rPr>
      </w:pPr>
      <w:r w:rsidRPr="008C7B94">
        <w:rPr>
          <w:rFonts w:ascii="Simplified Arabic" w:hAnsi="Simplified Arabic" w:cs="Simplified Arabic" w:hint="cs"/>
          <w:b/>
          <w:bCs/>
          <w:snapToGrid/>
          <w:sz w:val="28"/>
          <w:szCs w:val="28"/>
          <w:rtl/>
          <w:lang w:val="en-US" w:eastAsia="ar-SA"/>
        </w:rPr>
        <w:t xml:space="preserve">مؤشر غلاء المعيشة خلال العام </w:t>
      </w:r>
      <w:r w:rsidR="005B3D4A" w:rsidRPr="008C7B94">
        <w:rPr>
          <w:rFonts w:ascii="Simplified Arabic" w:hAnsi="Simplified Arabic" w:cs="Simplified Arabic"/>
          <w:b/>
          <w:bCs/>
          <w:snapToGrid/>
          <w:sz w:val="28"/>
          <w:szCs w:val="28"/>
          <w:lang w:val="en-US" w:eastAsia="ar-SA"/>
        </w:rPr>
        <w:t>2025</w:t>
      </w:r>
      <w:r w:rsidR="00C33581" w:rsidRPr="008C7B94">
        <w:rPr>
          <w:rFonts w:ascii="Simplified Arabic" w:hAnsi="Simplified Arabic" w:cs="Simplified Arabic" w:hint="cs"/>
          <w:b/>
          <w:bCs/>
          <w:snapToGrid/>
          <w:sz w:val="28"/>
          <w:szCs w:val="28"/>
          <w:rtl/>
          <w:lang w:val="en-US" w:eastAsia="ar-SA"/>
        </w:rPr>
        <w:t xml:space="preserve"> على مستوى المناطق الفلسطينية</w:t>
      </w:r>
    </w:p>
    <w:p w:rsidR="008C7B94" w:rsidRPr="004F4170" w:rsidRDefault="008C7B94" w:rsidP="00443EE9">
      <w:pPr>
        <w:pStyle w:val="Header"/>
        <w:jc w:val="both"/>
        <w:rPr>
          <w:rFonts w:ascii="Simplified Arabic" w:hAnsi="Simplified Arabic" w:cs="Simplified Arabic" w:hint="cs"/>
          <w:b/>
          <w:bCs/>
          <w:snapToGrid/>
          <w:sz w:val="26"/>
          <w:szCs w:val="26"/>
          <w:rtl/>
          <w:lang w:val="en-US" w:eastAsia="ar-SA"/>
        </w:rPr>
      </w:pPr>
    </w:p>
    <w:p w:rsidR="00B91A6F" w:rsidRPr="004F4170" w:rsidRDefault="005B3D4A" w:rsidP="005B3D4A">
      <w:pPr>
        <w:ind w:right="-180"/>
        <w:jc w:val="both"/>
        <w:rPr>
          <w:rFonts w:cs="Simplified Arabic" w:hint="cs"/>
          <w:b/>
          <w:bCs/>
          <w:sz w:val="26"/>
          <w:szCs w:val="26"/>
          <w:rtl/>
        </w:rPr>
      </w:pPr>
      <w:r w:rsidRPr="004F4170">
        <w:rPr>
          <w:rFonts w:cs="Simplified Arabic"/>
          <w:b/>
          <w:bCs/>
          <w:sz w:val="26"/>
          <w:szCs w:val="26"/>
        </w:rPr>
        <w:t>21.93</w:t>
      </w:r>
      <w:r w:rsidR="00B91A6F" w:rsidRPr="004F4170">
        <w:rPr>
          <w:rFonts w:cs="Simplified Arabic" w:hint="cs"/>
          <w:b/>
          <w:bCs/>
          <w:sz w:val="26"/>
          <w:szCs w:val="26"/>
          <w:rtl/>
        </w:rPr>
        <w:t xml:space="preserve">% ارتفاع مؤشر غلاء المعيشة في قطاع غزة خلال العام </w:t>
      </w:r>
      <w:r w:rsidRPr="004F4170">
        <w:rPr>
          <w:rFonts w:cs="Simplified Arabic"/>
          <w:b/>
          <w:bCs/>
          <w:sz w:val="26"/>
          <w:szCs w:val="26"/>
        </w:rPr>
        <w:t>2025</w:t>
      </w:r>
      <w:r w:rsidR="00B91A6F" w:rsidRPr="004F4170">
        <w:rPr>
          <w:rFonts w:cs="Simplified Arabic" w:hint="cs"/>
          <w:b/>
          <w:bCs/>
          <w:sz w:val="26"/>
          <w:szCs w:val="26"/>
          <w:rtl/>
        </w:rPr>
        <w:t xml:space="preserve"> مقارنة بالعام </w:t>
      </w:r>
      <w:r w:rsidRPr="004F4170">
        <w:rPr>
          <w:rFonts w:cs="Simplified Arabic"/>
          <w:b/>
          <w:bCs/>
          <w:sz w:val="26"/>
          <w:szCs w:val="26"/>
        </w:rPr>
        <w:t>2024</w:t>
      </w:r>
    </w:p>
    <w:p w:rsidR="001F02B2" w:rsidRPr="004F4170" w:rsidRDefault="00B91A6F" w:rsidP="001F02B2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4F4170">
        <w:rPr>
          <w:rFonts w:ascii="Simplified Arabic" w:hAnsi="Simplified Arabic" w:cs="Simplified Arabic" w:hint="cs"/>
          <w:sz w:val="26"/>
          <w:szCs w:val="26"/>
          <w:rtl/>
        </w:rPr>
        <w:t>نتج هذا الارتفاع بصورة رئيسية عن ارتفاع</w:t>
      </w:r>
      <w:r w:rsidR="001F02B2" w:rsidRPr="004F4170">
        <w:rPr>
          <w:rFonts w:ascii="Simplified Arabic" w:hAnsi="Simplified Arabic" w:cs="Simplified Arabic" w:hint="cs"/>
          <w:sz w:val="26"/>
          <w:szCs w:val="26"/>
          <w:rtl/>
        </w:rPr>
        <w:t xml:space="preserve"> أسعار</w:t>
      </w:r>
      <w:r w:rsidRPr="004F417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F02B2"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مجموعة المسكن والمياه والكهرباء والغاز وغيرها من الوقود ارتفاعاً نسبته 212.25%</w:t>
      </w:r>
      <w:r w:rsidR="001F02B2" w:rsidRPr="004F4170">
        <w:rPr>
          <w:rFonts w:ascii="Simplified Arabic" w:hAnsi="Simplified Arabic" w:cs="Simplified Arabic" w:hint="cs"/>
          <w:sz w:val="26"/>
          <w:szCs w:val="26"/>
          <w:rtl/>
        </w:rPr>
        <w:t>، حيث ارتفع سعر الغاز بنسبة 427.95%</w:t>
      </w:r>
      <w:r w:rsidR="001F02B2" w:rsidRPr="004F417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. </w:t>
      </w:r>
    </w:p>
    <w:p w:rsidR="00B91A6F" w:rsidRPr="004F4170" w:rsidRDefault="001F02B2" w:rsidP="001F02B2">
      <w:pPr>
        <w:jc w:val="both"/>
        <w:rPr>
          <w:rFonts w:ascii="Simplified Arabic" w:hAnsi="Simplified Arabic" w:cs="Simplified Arabic" w:hint="cs"/>
          <w:sz w:val="26"/>
          <w:szCs w:val="26"/>
          <w:rtl/>
          <w:lang w:bidi="ar-JO"/>
        </w:rPr>
      </w:pPr>
      <w:r w:rsidRPr="004F4170">
        <w:rPr>
          <w:rFonts w:ascii="Simplified Arabic" w:hAnsi="Simplified Arabic" w:cs="Simplified Arabic" w:hint="cs"/>
          <w:sz w:val="26"/>
          <w:szCs w:val="26"/>
          <w:rtl/>
        </w:rPr>
        <w:lastRenderedPageBreak/>
        <w:t xml:space="preserve">كما سجلت أسعار </w:t>
      </w:r>
      <w:r w:rsidR="00B91A6F"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مجموعة المواد الغذائية والمشروبات غير الكحولية </w:t>
      </w:r>
      <w:r w:rsidR="007358B6"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ارتفاعاً </w:t>
      </w:r>
      <w:r w:rsidR="00B91A6F"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بنسبة </w:t>
      </w:r>
      <w:r w:rsidR="005B3D4A"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71.01</w:t>
      </w:r>
      <w:r w:rsidR="00B91A6F"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%،</w:t>
      </w:r>
      <w:r w:rsidR="00B91A6F" w:rsidRPr="004F4170">
        <w:rPr>
          <w:rFonts w:ascii="Simplified Arabic" w:hAnsi="Simplified Arabic" w:cs="Simplified Arabic" w:hint="cs"/>
          <w:sz w:val="26"/>
          <w:szCs w:val="26"/>
          <w:rtl/>
        </w:rPr>
        <w:t xml:space="preserve"> حيث ارتفعت أسعار كل من؛ </w:t>
      </w:r>
      <w:r w:rsidR="005B3D4A" w:rsidRPr="004F417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خبز كماج بنسبة 325.71%، </w:t>
      </w:r>
      <w:r w:rsidR="008F3A16" w:rsidRPr="004F417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والسكر بنسبة 162.04%، والبيض بنسبة 137.68%، والخضروات المجففة بنسبة 125.79%، والقهوة بنسبة 109.73%، والخضروات المعلبة بنسبة 91.63%، والمياه المعدنية بنسبة 87.75%، والفواكه الطازجة بنسبة 64.08%، والدجاج الطازج بنسبة 61.42%، والزيوت النباتية بنسبة 56.26%، </w:t>
      </w:r>
      <w:r w:rsidR="005B3D4A" w:rsidRPr="004F417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والدقيق الأبيض</w:t>
      </w:r>
      <w:r w:rsidR="0092315D" w:rsidRPr="004F4170">
        <w:rPr>
          <w:rFonts w:ascii="Simplified Arabic" w:hAnsi="Simplified Arabic" w:cs="Simplified Arabic"/>
          <w:sz w:val="26"/>
          <w:szCs w:val="26"/>
          <w:lang w:bidi="ar-JO"/>
        </w:rPr>
        <w:t xml:space="preserve"> </w:t>
      </w:r>
      <w:r w:rsidR="0092315D" w:rsidRPr="004F4170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="005B3D4A" w:rsidRPr="004F417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52.50%، واللحوم الطازجة بنسبة 48.23%، </w:t>
      </w:r>
      <w:r w:rsidR="008F3A16" w:rsidRPr="004F417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والخضروات الطازجة</w:t>
      </w:r>
      <w:r w:rsidR="0092315D" w:rsidRPr="004F417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بنسبة</w:t>
      </w:r>
      <w:r w:rsidR="008F3A16" w:rsidRPr="004F417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39.00%، والبطاطا بنسبة 31.46%، والبقول الجافة بنسبة 27.06%</w:t>
      </w:r>
      <w:r w:rsidR="00F23EC1" w:rsidRPr="004F4170">
        <w:rPr>
          <w:rFonts w:ascii="Simplified Arabic" w:hAnsi="Simplified Arabic" w:cs="Simplified Arabic" w:hint="cs"/>
          <w:sz w:val="26"/>
          <w:szCs w:val="26"/>
          <w:rtl/>
          <w:lang w:bidi="ar-JO"/>
        </w:rPr>
        <w:t>.</w:t>
      </w:r>
    </w:p>
    <w:p w:rsidR="00B91A6F" w:rsidRPr="004F4170" w:rsidRDefault="00B91A6F" w:rsidP="00B91A6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B91A6F" w:rsidRPr="004F4170" w:rsidRDefault="001F02B2" w:rsidP="001F02B2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</w:t>
      </w:r>
      <w:r w:rsidR="0041392F"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سجلت مجموعة المواصلات ارتفاعاً نسبته </w:t>
      </w:r>
      <w:r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15.13</w:t>
      </w:r>
      <w:r w:rsidR="0041392F"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</w:t>
      </w:r>
      <w:r w:rsidR="0041392F" w:rsidRPr="004F4170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41392F" w:rsidRPr="004F417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حيث </w:t>
      </w:r>
      <w:r w:rsidR="0041392F" w:rsidRPr="004F4170">
        <w:rPr>
          <w:rFonts w:ascii="Simplified Arabic" w:hAnsi="Simplified Arabic" w:cs="Simplified Arabic" w:hint="cs"/>
          <w:sz w:val="26"/>
          <w:szCs w:val="26"/>
          <w:rtl/>
        </w:rPr>
        <w:t xml:space="preserve">ارتفعت أسعار البنزين بنسبة </w:t>
      </w:r>
      <w:r w:rsidRPr="004F4170">
        <w:rPr>
          <w:rFonts w:ascii="Simplified Arabic" w:hAnsi="Simplified Arabic" w:cs="Simplified Arabic" w:hint="cs"/>
          <w:sz w:val="26"/>
          <w:szCs w:val="26"/>
          <w:rtl/>
        </w:rPr>
        <w:t>32.26</w:t>
      </w:r>
      <w:r w:rsidR="0041392F" w:rsidRPr="004F4170">
        <w:rPr>
          <w:rFonts w:ascii="Simplified Arabic" w:hAnsi="Simplified Arabic" w:cs="Simplified Arabic" w:hint="cs"/>
          <w:sz w:val="26"/>
          <w:szCs w:val="26"/>
          <w:rtl/>
        </w:rPr>
        <w:t xml:space="preserve">%، وأسعار الديزل بنسبة </w:t>
      </w:r>
      <w:r w:rsidRPr="004F4170">
        <w:rPr>
          <w:rFonts w:ascii="Simplified Arabic" w:hAnsi="Simplified Arabic" w:cs="Simplified Arabic" w:hint="cs"/>
          <w:sz w:val="26"/>
          <w:szCs w:val="26"/>
          <w:rtl/>
        </w:rPr>
        <w:t>30.48</w:t>
      </w:r>
      <w:r w:rsidR="0041392F" w:rsidRPr="004F4170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41392F" w:rsidRPr="004F4170">
        <w:rPr>
          <w:rFonts w:ascii="Simplified Arabic" w:hAnsi="Simplified Arabic" w:cs="Simplified Arabic" w:hint="cs"/>
          <w:sz w:val="26"/>
          <w:szCs w:val="26"/>
          <w:rtl/>
          <w:lang w:bidi="ar-JO"/>
        </w:rPr>
        <w:t>.</w:t>
      </w:r>
      <w:r w:rsidR="0041392F" w:rsidRPr="004F417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:rsidR="00E67D8F" w:rsidRPr="004F4170" w:rsidRDefault="00B91A6F" w:rsidP="00443EE9">
      <w:pPr>
        <w:ind w:right="-180"/>
        <w:jc w:val="both"/>
        <w:rPr>
          <w:rFonts w:ascii="Simplified Arabic" w:hAnsi="Simplified Arabic" w:cs="Simplified Arabic"/>
          <w:b/>
          <w:bCs/>
          <w:rtl/>
        </w:rPr>
      </w:pPr>
      <w:r w:rsidRPr="004F4170">
        <w:rPr>
          <w:rFonts w:ascii="Simplified Arabic" w:hAnsi="Simplified Arabic" w:cs="Simplified Arabic" w:hint="cs"/>
          <w:b/>
          <w:bCs/>
          <w:rtl/>
        </w:rPr>
        <w:t xml:space="preserve">الجدول التالي يوضح حركة متوسطات أسعار المستهلك في قطاع غزة لبعض السلع المهمة خلال العام </w:t>
      </w:r>
      <w:r w:rsidR="001F02B2" w:rsidRPr="004F4170">
        <w:rPr>
          <w:rFonts w:ascii="Simplified Arabic" w:hAnsi="Simplified Arabic" w:cs="Simplified Arabic" w:hint="cs"/>
          <w:b/>
          <w:bCs/>
          <w:rtl/>
        </w:rPr>
        <w:t>2025</w:t>
      </w:r>
      <w:r w:rsidRPr="004F4170">
        <w:rPr>
          <w:rFonts w:ascii="Simplified Arabic" w:hAnsi="Simplified Arabic" w:cs="Simplified Arabic" w:hint="cs"/>
          <w:b/>
          <w:bCs/>
          <w:rtl/>
        </w:rPr>
        <w:t xml:space="preserve"> مقارنة بالعام </w:t>
      </w:r>
      <w:r w:rsidR="00443EE9" w:rsidRPr="004F4170">
        <w:rPr>
          <w:rFonts w:ascii="Simplified Arabic" w:hAnsi="Simplified Arabic" w:cs="Simplified Arabic" w:hint="cs"/>
          <w:b/>
          <w:bCs/>
          <w:rtl/>
        </w:rPr>
        <w:t>2024</w:t>
      </w:r>
      <w:r w:rsidRPr="004F4170">
        <w:rPr>
          <w:rFonts w:ascii="Simplified Arabic" w:hAnsi="Simplified Arabic" w:cs="Simplified Arabic" w:hint="cs"/>
          <w:b/>
          <w:bCs/>
          <w:rtl/>
        </w:rPr>
        <w:t>:</w:t>
      </w:r>
    </w:p>
    <w:p w:rsidR="00B91A6F" w:rsidRPr="00914188" w:rsidRDefault="00914188" w:rsidP="00914188">
      <w:pPr>
        <w:ind w:left="1440" w:right="-180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914188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       </w:t>
      </w:r>
      <w:r w:rsidR="00B91A6F" w:rsidRPr="00914188">
        <w:rPr>
          <w:rFonts w:ascii="Simplified Arabic" w:hAnsi="Simplified Arabic" w:cs="Simplified Arabic" w:hint="cs"/>
          <w:b/>
          <w:bCs/>
          <w:sz w:val="20"/>
          <w:szCs w:val="20"/>
          <w:rtl/>
        </w:rPr>
        <w:t>الأسعار بالشيقل الاسرائيلي الجديد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989"/>
        <w:gridCol w:w="1620"/>
        <w:gridCol w:w="1890"/>
      </w:tblGrid>
      <w:tr w:rsidR="00AD1D99" w:rsidRPr="004F4170" w:rsidTr="004F4170">
        <w:trPr>
          <w:tblHeader/>
          <w:jc w:val="center"/>
        </w:trPr>
        <w:tc>
          <w:tcPr>
            <w:tcW w:w="1861" w:type="dxa"/>
            <w:shd w:val="clear" w:color="auto" w:fill="auto"/>
            <w:vAlign w:val="center"/>
          </w:tcPr>
          <w:p w:rsidR="00AD1D99" w:rsidRPr="004F4170" w:rsidRDefault="00AD1D99" w:rsidP="004F4170">
            <w:pPr>
              <w:ind w:right="-180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السلعة</w:t>
            </w:r>
          </w:p>
        </w:tc>
        <w:tc>
          <w:tcPr>
            <w:tcW w:w="989" w:type="dxa"/>
          </w:tcPr>
          <w:p w:rsidR="00AD1D99" w:rsidRPr="004F4170" w:rsidRDefault="00AD1D99" w:rsidP="009C2BEC">
            <w:pPr>
              <w:ind w:right="-18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4F4170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قبل السابع من أكتوبر 2023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C2BEC" w:rsidRDefault="00AD1D99" w:rsidP="009C2BEC">
            <w:pPr>
              <w:ind w:right="-18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4F4170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متوسط السعر</w:t>
            </w:r>
          </w:p>
          <w:p w:rsidR="00AD1D99" w:rsidRPr="004F4170" w:rsidRDefault="00AD1D99" w:rsidP="009C2BEC">
            <w:pPr>
              <w:ind w:right="-18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4F4170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خلال العام 2024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C2BEC" w:rsidRDefault="00AD1D99" w:rsidP="009C2BEC">
            <w:pPr>
              <w:ind w:right="-18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4F4170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متوسط السعر</w:t>
            </w:r>
          </w:p>
          <w:p w:rsidR="00AD1D99" w:rsidRPr="004F4170" w:rsidRDefault="00AD1D99" w:rsidP="009C2BEC">
            <w:pPr>
              <w:ind w:right="-18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4F4170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خلال العام 2025</w:t>
            </w:r>
          </w:p>
        </w:tc>
      </w:tr>
      <w:tr w:rsidR="00AD1D99" w:rsidRPr="004F4170" w:rsidTr="004F4170">
        <w:trPr>
          <w:jc w:val="center"/>
        </w:trPr>
        <w:tc>
          <w:tcPr>
            <w:tcW w:w="1861" w:type="dxa"/>
            <w:shd w:val="clear" w:color="auto" w:fill="auto"/>
            <w:vAlign w:val="bottom"/>
          </w:tcPr>
          <w:p w:rsidR="00AD1D99" w:rsidRPr="004F4170" w:rsidRDefault="00AD1D99" w:rsidP="006921FE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lang w:eastAsia="en-US"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طحين/25كغم</w:t>
            </w:r>
          </w:p>
        </w:tc>
        <w:tc>
          <w:tcPr>
            <w:tcW w:w="989" w:type="dxa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46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  <w:lang w:eastAsia="en-US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100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  <w:lang w:eastAsia="en-US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440</w:t>
            </w:r>
          </w:p>
        </w:tc>
      </w:tr>
      <w:tr w:rsidR="00AD1D99" w:rsidRPr="004F4170" w:rsidTr="004F4170">
        <w:trPr>
          <w:jc w:val="center"/>
        </w:trPr>
        <w:tc>
          <w:tcPr>
            <w:tcW w:w="1861" w:type="dxa"/>
            <w:shd w:val="clear" w:color="auto" w:fill="auto"/>
            <w:vAlign w:val="bottom"/>
          </w:tcPr>
          <w:p w:rsidR="00AD1D99" w:rsidRPr="004F4170" w:rsidRDefault="00AD1D99" w:rsidP="006921FE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خبز ابيض كماج/1كغم</w:t>
            </w:r>
          </w:p>
        </w:tc>
        <w:tc>
          <w:tcPr>
            <w:tcW w:w="989" w:type="dxa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2.58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5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20</w:t>
            </w:r>
          </w:p>
        </w:tc>
      </w:tr>
      <w:tr w:rsidR="00AD1D99" w:rsidRPr="004F4170" w:rsidTr="004F4170">
        <w:trPr>
          <w:jc w:val="center"/>
        </w:trPr>
        <w:tc>
          <w:tcPr>
            <w:tcW w:w="1861" w:type="dxa"/>
            <w:shd w:val="clear" w:color="auto" w:fill="auto"/>
            <w:vAlign w:val="bottom"/>
          </w:tcPr>
          <w:p w:rsidR="00AD1D99" w:rsidRPr="004F4170" w:rsidRDefault="00AD1D99" w:rsidP="006921FE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لحم عجل مجمد/1كغم</w:t>
            </w:r>
          </w:p>
        </w:tc>
        <w:tc>
          <w:tcPr>
            <w:tcW w:w="989" w:type="dxa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24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85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100</w:t>
            </w:r>
          </w:p>
        </w:tc>
      </w:tr>
      <w:tr w:rsidR="00AD1D99" w:rsidRPr="004F4170" w:rsidTr="004F4170">
        <w:trPr>
          <w:jc w:val="center"/>
        </w:trPr>
        <w:tc>
          <w:tcPr>
            <w:tcW w:w="1861" w:type="dxa"/>
            <w:shd w:val="clear" w:color="auto" w:fill="auto"/>
            <w:vAlign w:val="bottom"/>
          </w:tcPr>
          <w:p w:rsidR="00AD1D99" w:rsidRPr="004F4170" w:rsidRDefault="00F6064D" w:rsidP="005F4C2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دجاج</w:t>
            </w:r>
            <w:r w:rsidR="00AD1D99"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/1كغم</w:t>
            </w:r>
          </w:p>
        </w:tc>
        <w:tc>
          <w:tcPr>
            <w:tcW w:w="989" w:type="dxa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16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47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97</w:t>
            </w:r>
          </w:p>
        </w:tc>
      </w:tr>
      <w:tr w:rsidR="00AD1D99" w:rsidRPr="004F4170" w:rsidTr="004F4170">
        <w:trPr>
          <w:jc w:val="center"/>
        </w:trPr>
        <w:tc>
          <w:tcPr>
            <w:tcW w:w="1861" w:type="dxa"/>
            <w:shd w:val="clear" w:color="auto" w:fill="auto"/>
            <w:vAlign w:val="bottom"/>
          </w:tcPr>
          <w:p w:rsidR="00AD1D99" w:rsidRPr="004F4170" w:rsidRDefault="00AD1D99" w:rsidP="005F4C2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بيض/كرتونة 2كغم</w:t>
            </w:r>
          </w:p>
        </w:tc>
        <w:tc>
          <w:tcPr>
            <w:tcW w:w="989" w:type="dxa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14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103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246</w:t>
            </w:r>
          </w:p>
        </w:tc>
      </w:tr>
      <w:tr w:rsidR="00AD1D99" w:rsidRPr="004F4170" w:rsidTr="004F4170">
        <w:trPr>
          <w:jc w:val="center"/>
        </w:trPr>
        <w:tc>
          <w:tcPr>
            <w:tcW w:w="1861" w:type="dxa"/>
            <w:shd w:val="clear" w:color="auto" w:fill="auto"/>
            <w:vAlign w:val="bottom"/>
          </w:tcPr>
          <w:p w:rsidR="00AD1D99" w:rsidRPr="004F4170" w:rsidRDefault="00AD1D99" w:rsidP="006921FE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زيت زيتون/1كغم</w:t>
            </w:r>
          </w:p>
        </w:tc>
        <w:tc>
          <w:tcPr>
            <w:tcW w:w="989" w:type="dxa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30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58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89</w:t>
            </w:r>
          </w:p>
        </w:tc>
      </w:tr>
      <w:tr w:rsidR="00AD1D99" w:rsidRPr="004F4170" w:rsidTr="004F4170">
        <w:trPr>
          <w:jc w:val="center"/>
        </w:trPr>
        <w:tc>
          <w:tcPr>
            <w:tcW w:w="1861" w:type="dxa"/>
            <w:shd w:val="clear" w:color="auto" w:fill="auto"/>
            <w:vAlign w:val="bottom"/>
          </w:tcPr>
          <w:p w:rsidR="00AD1D99" w:rsidRPr="004F4170" w:rsidRDefault="00AD1D99" w:rsidP="006921FE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زيت عباد الشمس/3لتر</w:t>
            </w:r>
          </w:p>
        </w:tc>
        <w:tc>
          <w:tcPr>
            <w:tcW w:w="989" w:type="dxa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20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56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90</w:t>
            </w:r>
          </w:p>
        </w:tc>
      </w:tr>
      <w:tr w:rsidR="00AD1D99" w:rsidRPr="004F4170" w:rsidTr="004F4170">
        <w:trPr>
          <w:jc w:val="center"/>
        </w:trPr>
        <w:tc>
          <w:tcPr>
            <w:tcW w:w="1861" w:type="dxa"/>
            <w:shd w:val="clear" w:color="auto" w:fill="auto"/>
            <w:vAlign w:val="bottom"/>
          </w:tcPr>
          <w:p w:rsidR="00AD1D99" w:rsidRPr="004F4170" w:rsidRDefault="00AD1D99" w:rsidP="006921FE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ليمون/1كغم</w:t>
            </w:r>
          </w:p>
        </w:tc>
        <w:tc>
          <w:tcPr>
            <w:tcW w:w="989" w:type="dxa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18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41</w:t>
            </w:r>
          </w:p>
        </w:tc>
      </w:tr>
      <w:tr w:rsidR="00AD1D99" w:rsidRPr="004F4170" w:rsidTr="004F4170">
        <w:trPr>
          <w:jc w:val="center"/>
        </w:trPr>
        <w:tc>
          <w:tcPr>
            <w:tcW w:w="1861" w:type="dxa"/>
            <w:shd w:val="clear" w:color="auto" w:fill="auto"/>
            <w:vAlign w:val="bottom"/>
          </w:tcPr>
          <w:p w:rsidR="00AD1D99" w:rsidRPr="004F4170" w:rsidRDefault="00AD1D99" w:rsidP="006921FE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موز/1كغم</w:t>
            </w:r>
          </w:p>
        </w:tc>
        <w:tc>
          <w:tcPr>
            <w:tcW w:w="989" w:type="dxa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17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39</w:t>
            </w:r>
          </w:p>
        </w:tc>
      </w:tr>
      <w:tr w:rsidR="00AD1D99" w:rsidRPr="004F4170" w:rsidTr="004F4170">
        <w:trPr>
          <w:jc w:val="center"/>
        </w:trPr>
        <w:tc>
          <w:tcPr>
            <w:tcW w:w="1861" w:type="dxa"/>
            <w:shd w:val="clear" w:color="auto" w:fill="auto"/>
            <w:vAlign w:val="bottom"/>
          </w:tcPr>
          <w:p w:rsidR="00AD1D99" w:rsidRPr="004F4170" w:rsidRDefault="00AD1D99" w:rsidP="005F4C2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تفاح/1كغم</w:t>
            </w:r>
          </w:p>
        </w:tc>
        <w:tc>
          <w:tcPr>
            <w:tcW w:w="989" w:type="dxa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28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45</w:t>
            </w:r>
          </w:p>
        </w:tc>
      </w:tr>
      <w:tr w:rsidR="00AD1D99" w:rsidRPr="004F4170" w:rsidTr="004F4170">
        <w:trPr>
          <w:jc w:val="center"/>
        </w:trPr>
        <w:tc>
          <w:tcPr>
            <w:tcW w:w="1861" w:type="dxa"/>
            <w:shd w:val="clear" w:color="auto" w:fill="auto"/>
            <w:vAlign w:val="bottom"/>
          </w:tcPr>
          <w:p w:rsidR="00AD1D99" w:rsidRPr="004F4170" w:rsidRDefault="00AD1D99" w:rsidP="005F4C2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بندوره/1كغم</w:t>
            </w:r>
          </w:p>
        </w:tc>
        <w:tc>
          <w:tcPr>
            <w:tcW w:w="989" w:type="dxa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29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34</w:t>
            </w:r>
          </w:p>
        </w:tc>
      </w:tr>
      <w:tr w:rsidR="00AD1D99" w:rsidRPr="004F4170" w:rsidTr="004F4170">
        <w:trPr>
          <w:jc w:val="center"/>
        </w:trPr>
        <w:tc>
          <w:tcPr>
            <w:tcW w:w="1861" w:type="dxa"/>
            <w:shd w:val="clear" w:color="auto" w:fill="auto"/>
            <w:vAlign w:val="bottom"/>
          </w:tcPr>
          <w:p w:rsidR="00AD1D99" w:rsidRPr="004F4170" w:rsidRDefault="00AD1D99" w:rsidP="005F4C2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كوسا/1كغم</w:t>
            </w:r>
          </w:p>
        </w:tc>
        <w:tc>
          <w:tcPr>
            <w:tcW w:w="989" w:type="dxa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16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28</w:t>
            </w:r>
          </w:p>
        </w:tc>
      </w:tr>
      <w:tr w:rsidR="00AD1D99" w:rsidRPr="004F4170" w:rsidTr="004F4170">
        <w:trPr>
          <w:jc w:val="center"/>
        </w:trPr>
        <w:tc>
          <w:tcPr>
            <w:tcW w:w="1861" w:type="dxa"/>
            <w:shd w:val="clear" w:color="auto" w:fill="auto"/>
            <w:vAlign w:val="bottom"/>
          </w:tcPr>
          <w:p w:rsidR="00AD1D99" w:rsidRPr="004F4170" w:rsidRDefault="00AD1D99" w:rsidP="005F4C2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زهرة بيضاء/1كغم</w:t>
            </w:r>
          </w:p>
        </w:tc>
        <w:tc>
          <w:tcPr>
            <w:tcW w:w="989" w:type="dxa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15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21</w:t>
            </w:r>
          </w:p>
        </w:tc>
      </w:tr>
      <w:tr w:rsidR="00AD1D99" w:rsidRPr="004F4170" w:rsidTr="004F4170">
        <w:trPr>
          <w:jc w:val="center"/>
        </w:trPr>
        <w:tc>
          <w:tcPr>
            <w:tcW w:w="1861" w:type="dxa"/>
            <w:shd w:val="clear" w:color="auto" w:fill="auto"/>
            <w:vAlign w:val="bottom"/>
          </w:tcPr>
          <w:p w:rsidR="00AD1D99" w:rsidRPr="004F4170" w:rsidRDefault="00AD1D99" w:rsidP="005F4C2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خيار/1كغم</w:t>
            </w:r>
          </w:p>
        </w:tc>
        <w:tc>
          <w:tcPr>
            <w:tcW w:w="989" w:type="dxa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16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26</w:t>
            </w:r>
          </w:p>
        </w:tc>
      </w:tr>
      <w:tr w:rsidR="00AD1D99" w:rsidRPr="004F4170" w:rsidTr="004F4170">
        <w:trPr>
          <w:jc w:val="center"/>
        </w:trPr>
        <w:tc>
          <w:tcPr>
            <w:tcW w:w="1861" w:type="dxa"/>
            <w:shd w:val="clear" w:color="auto" w:fill="auto"/>
            <w:vAlign w:val="bottom"/>
          </w:tcPr>
          <w:p w:rsidR="00AD1D99" w:rsidRPr="004F4170" w:rsidRDefault="00AD1D99" w:rsidP="005F4C2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بصل ناشف/1كغم</w:t>
            </w:r>
          </w:p>
        </w:tc>
        <w:tc>
          <w:tcPr>
            <w:tcW w:w="989" w:type="dxa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30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64</w:t>
            </w:r>
          </w:p>
        </w:tc>
      </w:tr>
      <w:tr w:rsidR="00AD1D99" w:rsidRPr="004F4170" w:rsidTr="004F4170">
        <w:trPr>
          <w:jc w:val="center"/>
        </w:trPr>
        <w:tc>
          <w:tcPr>
            <w:tcW w:w="1861" w:type="dxa"/>
            <w:shd w:val="clear" w:color="auto" w:fill="auto"/>
            <w:vAlign w:val="bottom"/>
          </w:tcPr>
          <w:p w:rsidR="00AD1D99" w:rsidRPr="004F4170" w:rsidRDefault="00AD1D99" w:rsidP="005F4C2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ثوم ناشف/1كغم</w:t>
            </w:r>
          </w:p>
        </w:tc>
        <w:tc>
          <w:tcPr>
            <w:tcW w:w="989" w:type="dxa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10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64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244</w:t>
            </w:r>
          </w:p>
        </w:tc>
      </w:tr>
      <w:tr w:rsidR="00AD1D99" w:rsidRPr="004F4170" w:rsidTr="004F4170">
        <w:trPr>
          <w:jc w:val="center"/>
        </w:trPr>
        <w:tc>
          <w:tcPr>
            <w:tcW w:w="1861" w:type="dxa"/>
            <w:shd w:val="clear" w:color="auto" w:fill="auto"/>
            <w:vAlign w:val="bottom"/>
          </w:tcPr>
          <w:p w:rsidR="00AD1D99" w:rsidRPr="004F4170" w:rsidRDefault="00AD1D99" w:rsidP="005F4C2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عدس حب جاف/1كغم</w:t>
            </w:r>
          </w:p>
        </w:tc>
        <w:tc>
          <w:tcPr>
            <w:tcW w:w="989" w:type="dxa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10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19</w:t>
            </w:r>
          </w:p>
        </w:tc>
      </w:tr>
      <w:tr w:rsidR="00AD1D99" w:rsidRPr="004F4170" w:rsidTr="004F4170">
        <w:trPr>
          <w:jc w:val="center"/>
        </w:trPr>
        <w:tc>
          <w:tcPr>
            <w:tcW w:w="1861" w:type="dxa"/>
            <w:shd w:val="clear" w:color="auto" w:fill="auto"/>
            <w:vAlign w:val="bottom"/>
          </w:tcPr>
          <w:p w:rsidR="00AD1D99" w:rsidRPr="004F4170" w:rsidRDefault="00AD1D99" w:rsidP="005F4C2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بطاطا/1كغم</w:t>
            </w:r>
          </w:p>
        </w:tc>
        <w:tc>
          <w:tcPr>
            <w:tcW w:w="989" w:type="dxa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22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30</w:t>
            </w:r>
          </w:p>
        </w:tc>
      </w:tr>
      <w:tr w:rsidR="00AD1D99" w:rsidRPr="004F4170" w:rsidTr="004F4170">
        <w:trPr>
          <w:jc w:val="center"/>
        </w:trPr>
        <w:tc>
          <w:tcPr>
            <w:tcW w:w="1861" w:type="dxa"/>
            <w:shd w:val="clear" w:color="auto" w:fill="auto"/>
            <w:vAlign w:val="bottom"/>
          </w:tcPr>
          <w:p w:rsidR="00AD1D99" w:rsidRPr="004F4170" w:rsidRDefault="00AD1D99" w:rsidP="005F4C2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فول مدمس/علبة 330 غم</w:t>
            </w:r>
          </w:p>
        </w:tc>
        <w:tc>
          <w:tcPr>
            <w:tcW w:w="989" w:type="dxa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4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7</w:t>
            </w:r>
          </w:p>
        </w:tc>
      </w:tr>
      <w:tr w:rsidR="00AD1D99" w:rsidRPr="004F4170" w:rsidTr="004F4170">
        <w:trPr>
          <w:jc w:val="center"/>
        </w:trPr>
        <w:tc>
          <w:tcPr>
            <w:tcW w:w="1861" w:type="dxa"/>
            <w:shd w:val="clear" w:color="auto" w:fill="auto"/>
            <w:vAlign w:val="bottom"/>
          </w:tcPr>
          <w:p w:rsidR="00AD1D99" w:rsidRPr="004F4170" w:rsidRDefault="00AD1D99" w:rsidP="005F4C2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سكر/1كغم</w:t>
            </w:r>
          </w:p>
        </w:tc>
        <w:tc>
          <w:tcPr>
            <w:tcW w:w="989" w:type="dxa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26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68</w:t>
            </w:r>
          </w:p>
        </w:tc>
      </w:tr>
      <w:tr w:rsidR="00AD1D99" w:rsidRPr="004F4170" w:rsidTr="004F4170">
        <w:trPr>
          <w:jc w:val="center"/>
        </w:trPr>
        <w:tc>
          <w:tcPr>
            <w:tcW w:w="1861" w:type="dxa"/>
            <w:shd w:val="clear" w:color="auto" w:fill="auto"/>
            <w:vAlign w:val="bottom"/>
          </w:tcPr>
          <w:p w:rsidR="00AD1D99" w:rsidRPr="004F4170" w:rsidRDefault="00AD1D99" w:rsidP="006921FE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 xml:space="preserve">قهوة مطحونة/1كغم </w:t>
            </w:r>
          </w:p>
        </w:tc>
        <w:tc>
          <w:tcPr>
            <w:tcW w:w="989" w:type="dxa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42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157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360</w:t>
            </w:r>
          </w:p>
        </w:tc>
      </w:tr>
      <w:tr w:rsidR="00AD1D99" w:rsidRPr="004F4170" w:rsidTr="004F4170">
        <w:trPr>
          <w:jc w:val="center"/>
        </w:trPr>
        <w:tc>
          <w:tcPr>
            <w:tcW w:w="1861" w:type="dxa"/>
            <w:shd w:val="clear" w:color="auto" w:fill="auto"/>
            <w:vAlign w:val="bottom"/>
          </w:tcPr>
          <w:p w:rsidR="00AD1D99" w:rsidRPr="004F4170" w:rsidRDefault="00AD1D99" w:rsidP="005F4C2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مياه معدنية/عبوة 1.5 لتر</w:t>
            </w:r>
          </w:p>
        </w:tc>
        <w:tc>
          <w:tcPr>
            <w:tcW w:w="989" w:type="dxa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4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AD1D99" w:rsidRPr="004F4170" w:rsidRDefault="00AD1D99" w:rsidP="006921FE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8</w:t>
            </w:r>
          </w:p>
        </w:tc>
      </w:tr>
      <w:tr w:rsidR="00AD1D99" w:rsidRPr="004F4170" w:rsidTr="004F4170">
        <w:trPr>
          <w:jc w:val="center"/>
        </w:trPr>
        <w:tc>
          <w:tcPr>
            <w:tcW w:w="1861" w:type="dxa"/>
            <w:shd w:val="clear" w:color="auto" w:fill="auto"/>
            <w:vAlign w:val="bottom"/>
          </w:tcPr>
          <w:p w:rsidR="00AD1D99" w:rsidRPr="004F4170" w:rsidRDefault="00AD1D99" w:rsidP="005F4C2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اسطوانة غاز/ 12كغم</w:t>
            </w:r>
          </w:p>
        </w:tc>
        <w:tc>
          <w:tcPr>
            <w:tcW w:w="989" w:type="dxa"/>
          </w:tcPr>
          <w:p w:rsidR="00AD1D99" w:rsidRPr="004F4170" w:rsidRDefault="00AD1D99" w:rsidP="005F4C21">
            <w:pPr>
              <w:bidi w:val="0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71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D1D99" w:rsidRPr="004F4170" w:rsidRDefault="00AD1D99" w:rsidP="005F4C21">
            <w:pPr>
              <w:bidi w:val="0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  <w:lang w:eastAsia="en-US"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AD1D99" w:rsidRPr="004F4170" w:rsidRDefault="00AD1D99" w:rsidP="005F4C21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  <w:lang w:eastAsia="en-US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1999</w:t>
            </w:r>
          </w:p>
        </w:tc>
      </w:tr>
      <w:tr w:rsidR="00AD1D99" w:rsidRPr="004F4170" w:rsidTr="004F4170">
        <w:trPr>
          <w:jc w:val="center"/>
        </w:trPr>
        <w:tc>
          <w:tcPr>
            <w:tcW w:w="1861" w:type="dxa"/>
            <w:shd w:val="clear" w:color="auto" w:fill="auto"/>
            <w:vAlign w:val="bottom"/>
          </w:tcPr>
          <w:p w:rsidR="00AD1D99" w:rsidRPr="004F4170" w:rsidRDefault="00AD1D99" w:rsidP="005F4C2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بنزين "95"</w:t>
            </w:r>
          </w:p>
        </w:tc>
        <w:tc>
          <w:tcPr>
            <w:tcW w:w="989" w:type="dxa"/>
          </w:tcPr>
          <w:p w:rsidR="00AD1D99" w:rsidRPr="004F4170" w:rsidRDefault="00AD1D99" w:rsidP="005F4C21">
            <w:pPr>
              <w:bidi w:val="0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6.79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D1D99" w:rsidRPr="004F4170" w:rsidRDefault="00AD1D99" w:rsidP="005F4C21">
            <w:pPr>
              <w:bidi w:val="0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  <w:lang w:eastAsia="en-US"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AD1D99" w:rsidRPr="004F4170" w:rsidRDefault="00AD1D99" w:rsidP="005F4C21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  <w:lang w:eastAsia="en-US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200</w:t>
            </w:r>
          </w:p>
        </w:tc>
      </w:tr>
      <w:tr w:rsidR="00AD1D99" w:rsidRPr="004F4170" w:rsidTr="004F4170">
        <w:trPr>
          <w:jc w:val="center"/>
        </w:trPr>
        <w:tc>
          <w:tcPr>
            <w:tcW w:w="1861" w:type="dxa"/>
            <w:shd w:val="clear" w:color="auto" w:fill="auto"/>
            <w:vAlign w:val="bottom"/>
          </w:tcPr>
          <w:p w:rsidR="00AD1D99" w:rsidRPr="004F4170" w:rsidRDefault="00AD1D99" w:rsidP="005F4C2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سولار</w:t>
            </w:r>
          </w:p>
        </w:tc>
        <w:tc>
          <w:tcPr>
            <w:tcW w:w="989" w:type="dxa"/>
          </w:tcPr>
          <w:p w:rsidR="00AD1D99" w:rsidRPr="004F4170" w:rsidRDefault="00AD1D99" w:rsidP="005F4C21">
            <w:pPr>
              <w:bidi w:val="0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6.49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D1D99" w:rsidRPr="004F4170" w:rsidRDefault="00AD1D99" w:rsidP="005F4C21">
            <w:pPr>
              <w:bidi w:val="0"/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AD1D99" w:rsidRPr="004F4170" w:rsidRDefault="00AD1D99" w:rsidP="005F4C21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71</w:t>
            </w:r>
          </w:p>
        </w:tc>
      </w:tr>
    </w:tbl>
    <w:p w:rsidR="000B475C" w:rsidRDefault="000B475C" w:rsidP="001E3575">
      <w:pPr>
        <w:pStyle w:val="BodyText2"/>
        <w:spacing w:after="0" w:line="240" w:lineRule="auto"/>
        <w:rPr>
          <w:rFonts w:cs="Simplified Arabic"/>
          <w:b/>
          <w:bCs/>
          <w:rtl/>
        </w:rPr>
      </w:pPr>
    </w:p>
    <w:p w:rsidR="004F4170" w:rsidRDefault="004F4170" w:rsidP="001E3575">
      <w:pPr>
        <w:pStyle w:val="BodyText2"/>
        <w:spacing w:after="0" w:line="240" w:lineRule="auto"/>
        <w:rPr>
          <w:rFonts w:cs="Simplified Arabic"/>
          <w:b/>
          <w:bCs/>
          <w:rtl/>
        </w:rPr>
      </w:pPr>
    </w:p>
    <w:p w:rsidR="004F4170" w:rsidRDefault="004F4170" w:rsidP="001E3575">
      <w:pPr>
        <w:pStyle w:val="BodyText2"/>
        <w:spacing w:after="0" w:line="240" w:lineRule="auto"/>
        <w:rPr>
          <w:rFonts w:cs="Simplified Arabic"/>
          <w:b/>
          <w:bCs/>
          <w:rtl/>
        </w:rPr>
      </w:pPr>
    </w:p>
    <w:p w:rsidR="000968B1" w:rsidRPr="008C7B94" w:rsidRDefault="000968B1" w:rsidP="001F02B2">
      <w:pPr>
        <w:pStyle w:val="BodyText2"/>
        <w:spacing w:after="0" w:line="240" w:lineRule="auto"/>
        <w:jc w:val="center"/>
        <w:rPr>
          <w:rFonts w:cs="Simplified Arabic"/>
          <w:b/>
          <w:bCs/>
          <w:sz w:val="26"/>
          <w:szCs w:val="26"/>
          <w:lang w:val="en-US"/>
        </w:rPr>
      </w:pPr>
      <w:r w:rsidRPr="008C7B94">
        <w:rPr>
          <w:rFonts w:cs="Simplified Arabic" w:hint="cs"/>
          <w:b/>
          <w:bCs/>
          <w:sz w:val="26"/>
          <w:szCs w:val="26"/>
          <w:rtl/>
        </w:rPr>
        <w:t xml:space="preserve">نسب التغير الشهرية لأسعار المستهلك في </w:t>
      </w:r>
      <w:r w:rsidRPr="008C7B94">
        <w:rPr>
          <w:rFonts w:cs="Simplified Arabic" w:hint="cs"/>
          <w:b/>
          <w:bCs/>
          <w:sz w:val="26"/>
          <w:szCs w:val="26"/>
          <w:rtl/>
          <w:lang w:val="en-US" w:bidi="ar-JO"/>
        </w:rPr>
        <w:t>قطاع غزة</w:t>
      </w:r>
      <w:r w:rsidRPr="008C7B94">
        <w:rPr>
          <w:rFonts w:cs="Simplified Arabic" w:hint="cs"/>
          <w:b/>
          <w:bCs/>
          <w:sz w:val="26"/>
          <w:szCs w:val="26"/>
          <w:rtl/>
        </w:rPr>
        <w:t xml:space="preserve"> خلال العام </w:t>
      </w:r>
      <w:r w:rsidR="001F02B2" w:rsidRPr="008C7B94">
        <w:rPr>
          <w:rFonts w:cs="Simplified Arabic"/>
          <w:b/>
          <w:bCs/>
          <w:sz w:val="26"/>
          <w:szCs w:val="26"/>
          <w:lang w:val="en-US"/>
        </w:rPr>
        <w:t>2025</w:t>
      </w:r>
    </w:p>
    <w:p w:rsidR="00C97ED0" w:rsidRDefault="00860D66" w:rsidP="004F4170">
      <w:pPr>
        <w:jc w:val="center"/>
        <w:rPr>
          <w:rFonts w:cs="Simplified Arabic"/>
          <w:b/>
          <w:bCs/>
        </w:rPr>
      </w:pPr>
      <w:r>
        <w:rPr>
          <w:rFonts w:cs="Simplified Arabic"/>
          <w:b/>
          <w:bCs/>
          <w:noProof/>
          <w:lang w:val="en-GB" w:eastAsia="en-GB"/>
        </w:rPr>
        <w:lastRenderedPageBreak/>
        <w:drawing>
          <wp:inline distT="0" distB="0" distL="0" distR="0">
            <wp:extent cx="2795270" cy="1975485"/>
            <wp:effectExtent l="0" t="0" r="0" b="0"/>
            <wp:docPr id="3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97ED0" w:rsidRDefault="00C97ED0" w:rsidP="00C97ED0">
      <w:pPr>
        <w:rPr>
          <w:rFonts w:cs="Simplified Arabic"/>
          <w:b/>
          <w:bCs/>
        </w:rPr>
      </w:pPr>
    </w:p>
    <w:p w:rsidR="00C97ED0" w:rsidRDefault="00C97ED0" w:rsidP="00C97ED0">
      <w:pPr>
        <w:rPr>
          <w:rFonts w:cs="Simplified Arabic" w:hint="cs"/>
          <w:b/>
          <w:bCs/>
          <w:rtl/>
        </w:rPr>
      </w:pPr>
    </w:p>
    <w:p w:rsidR="00864B18" w:rsidRPr="008C7B94" w:rsidRDefault="00CA281D" w:rsidP="00CA281D">
      <w:pPr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8C7B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1.64</w:t>
      </w:r>
      <w:r w:rsidR="00864B18" w:rsidRPr="008C7B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% ارتفاع مؤشر غلاء المعيشة في القدس </w:t>
      </w:r>
      <w:r w:rsidR="00864B18" w:rsidRPr="008C7B94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="00864B18" w:rsidRPr="008C7B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خلال العام </w:t>
      </w:r>
      <w:r w:rsidRPr="008C7B94">
        <w:rPr>
          <w:rFonts w:ascii="Simplified Arabic" w:hAnsi="Simplified Arabic" w:cs="Simplified Arabic"/>
          <w:b/>
          <w:bCs/>
          <w:sz w:val="28"/>
          <w:szCs w:val="28"/>
        </w:rPr>
        <w:t>2025</w:t>
      </w:r>
      <w:r w:rsidR="00864B18" w:rsidRPr="008C7B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مقارنة بالعام </w:t>
      </w:r>
      <w:r w:rsidRPr="008C7B94">
        <w:rPr>
          <w:rFonts w:ascii="Simplified Arabic" w:hAnsi="Simplified Arabic" w:cs="Simplified Arabic"/>
          <w:b/>
          <w:bCs/>
          <w:sz w:val="28"/>
          <w:szCs w:val="28"/>
        </w:rPr>
        <w:t>2024</w:t>
      </w:r>
    </w:p>
    <w:p w:rsidR="00864B18" w:rsidRPr="004F4170" w:rsidRDefault="00864B18" w:rsidP="001E3575">
      <w:pPr>
        <w:jc w:val="both"/>
        <w:rPr>
          <w:rFonts w:ascii="Simplified Arabic" w:hAnsi="Simplified Arabic" w:cs="Simplified Arabic" w:hint="cs"/>
          <w:sz w:val="26"/>
          <w:szCs w:val="26"/>
          <w:rtl/>
          <w:lang w:bidi="ar-JO"/>
        </w:rPr>
      </w:pPr>
      <w:r w:rsidRPr="004F4170">
        <w:rPr>
          <w:rFonts w:ascii="Simplified Arabic" w:hAnsi="Simplified Arabic" w:cs="Simplified Arabic"/>
          <w:sz w:val="26"/>
          <w:szCs w:val="26"/>
          <w:rtl/>
        </w:rPr>
        <w:t xml:space="preserve">نتج هذا </w:t>
      </w:r>
      <w:r w:rsidRPr="004F4170">
        <w:rPr>
          <w:rFonts w:ascii="Simplified Arabic" w:hAnsi="Simplified Arabic" w:cs="Simplified Arabic" w:hint="cs"/>
          <w:sz w:val="26"/>
          <w:szCs w:val="26"/>
          <w:rtl/>
        </w:rPr>
        <w:t>الارتفاع</w:t>
      </w:r>
      <w:r w:rsidRPr="004F4170">
        <w:rPr>
          <w:rFonts w:ascii="Simplified Arabic" w:hAnsi="Simplified Arabic" w:cs="Simplified Arabic"/>
          <w:sz w:val="26"/>
          <w:szCs w:val="26"/>
          <w:rtl/>
        </w:rPr>
        <w:t xml:space="preserve"> بصورة رئيسية عن </w:t>
      </w:r>
      <w:r w:rsidRPr="004F4170">
        <w:rPr>
          <w:rFonts w:ascii="Simplified Arabic" w:hAnsi="Simplified Arabic" w:cs="Simplified Arabic" w:hint="cs"/>
          <w:sz w:val="26"/>
          <w:szCs w:val="26"/>
          <w:rtl/>
        </w:rPr>
        <w:t>ارتفاع</w:t>
      </w:r>
      <w:r w:rsidRPr="004F417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F4170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مجموعة المواد الغذائية والمشروبات غير الكحولية بنسبة </w:t>
      </w:r>
      <w:r w:rsidR="001E3575" w:rsidRPr="004F4170">
        <w:rPr>
          <w:rFonts w:ascii="Simplified Arabic" w:hAnsi="Simplified Arabic" w:cs="Simplified Arabic"/>
          <w:b/>
          <w:bCs/>
          <w:sz w:val="26"/>
          <w:szCs w:val="26"/>
        </w:rPr>
        <w:t>1.31</w:t>
      </w:r>
      <w:r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</w:t>
      </w:r>
      <w:r w:rsidRPr="004F4170">
        <w:rPr>
          <w:rFonts w:ascii="Simplified Arabic" w:hAnsi="Simplified Arabic" w:cs="Simplified Arabic" w:hint="cs"/>
          <w:sz w:val="26"/>
          <w:szCs w:val="26"/>
          <w:rtl/>
        </w:rPr>
        <w:t xml:space="preserve">، حيث ارتفعت أسعار كل من؛ </w:t>
      </w:r>
      <w:r w:rsidR="0064464B" w:rsidRPr="004F417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اللحوم الطازجة بنسبة 14.64%، </w:t>
      </w:r>
      <w:r w:rsidR="0077588E" w:rsidRPr="004F417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والفواكه الطازجة بنسبة 9.12%، </w:t>
      </w:r>
      <w:r w:rsidR="0064464B" w:rsidRPr="004F417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والدقيق الأبيض بنسبة 7.00%، </w:t>
      </w:r>
      <w:r w:rsidR="0077588E" w:rsidRPr="004F417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والقهوة بنسبة 6.50%، </w:t>
      </w:r>
      <w:r w:rsidR="0064464B" w:rsidRPr="004F417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والزيوت النباتية بنسبة 3.58%، </w:t>
      </w:r>
      <w:r w:rsidR="000B475C" w:rsidRPr="004F4170">
        <w:rPr>
          <w:rFonts w:ascii="Simplified Arabic" w:hAnsi="Simplified Arabic" w:cs="Simplified Arabic" w:hint="cs"/>
          <w:sz w:val="26"/>
          <w:szCs w:val="26"/>
          <w:rtl/>
        </w:rPr>
        <w:t>والأرز بنسبة 1.09%</w:t>
      </w:r>
      <w:r w:rsidR="00505FB6" w:rsidRPr="004F4170">
        <w:rPr>
          <w:rFonts w:ascii="Simplified Arabic" w:hAnsi="Simplified Arabic" w:cs="Simplified Arabic" w:hint="cs"/>
          <w:sz w:val="26"/>
          <w:szCs w:val="26"/>
          <w:rtl/>
          <w:lang w:bidi="ar-JO"/>
        </w:rPr>
        <w:t>.</w:t>
      </w:r>
    </w:p>
    <w:p w:rsidR="00864B18" w:rsidRPr="004F4170" w:rsidRDefault="00864B18" w:rsidP="00864B18">
      <w:pPr>
        <w:jc w:val="both"/>
        <w:rPr>
          <w:rFonts w:ascii="Simplified Arabic" w:hAnsi="Simplified Arabic" w:cs="Simplified Arabic" w:hint="cs"/>
          <w:sz w:val="26"/>
          <w:szCs w:val="26"/>
          <w:rtl/>
          <w:lang w:bidi="ar-JO"/>
        </w:rPr>
      </w:pPr>
    </w:p>
    <w:p w:rsidR="0077588E" w:rsidRPr="004F4170" w:rsidRDefault="00864B18" w:rsidP="001E3575">
      <w:pPr>
        <w:ind w:right="-18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سجلت مجموعة المشروبات الكحولية والتبغ ارتفاعاً نسبته </w:t>
      </w:r>
      <w:r w:rsidR="0077588E"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14.11</w:t>
      </w:r>
      <w:r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</w:t>
      </w:r>
      <w:r w:rsidRPr="004F4170">
        <w:rPr>
          <w:rFonts w:ascii="Simplified Arabic" w:hAnsi="Simplified Arabic" w:cs="Simplified Arabic" w:hint="cs"/>
          <w:sz w:val="26"/>
          <w:szCs w:val="26"/>
          <w:rtl/>
        </w:rPr>
        <w:t>، حيث ارتفعت أسعار السجائر</w:t>
      </w:r>
      <w:r w:rsidR="00505FB6" w:rsidRPr="004F4170">
        <w:rPr>
          <w:rFonts w:ascii="Simplified Arabic" w:hAnsi="Simplified Arabic" w:cs="Simplified Arabic" w:hint="cs"/>
          <w:sz w:val="26"/>
          <w:szCs w:val="26"/>
          <w:rtl/>
        </w:rPr>
        <w:t xml:space="preserve"> المستوردة</w:t>
      </w:r>
      <w:r w:rsidRPr="004F4170">
        <w:rPr>
          <w:rFonts w:ascii="Simplified Arabic" w:hAnsi="Simplified Arabic" w:cs="Simplified Arabic" w:hint="cs"/>
          <w:sz w:val="26"/>
          <w:szCs w:val="26"/>
          <w:rtl/>
        </w:rPr>
        <w:t xml:space="preserve"> بنسبة </w:t>
      </w:r>
      <w:r w:rsidR="0077588E" w:rsidRPr="004F4170">
        <w:rPr>
          <w:rFonts w:ascii="Simplified Arabic" w:hAnsi="Simplified Arabic" w:cs="Simplified Arabic" w:hint="cs"/>
          <w:sz w:val="26"/>
          <w:szCs w:val="26"/>
          <w:rtl/>
        </w:rPr>
        <w:t>14.35</w:t>
      </w:r>
      <w:r w:rsidRPr="004F4170">
        <w:rPr>
          <w:rFonts w:ascii="Simplified Arabic" w:hAnsi="Simplified Arabic" w:cs="Simplified Arabic" w:hint="cs"/>
          <w:sz w:val="26"/>
          <w:szCs w:val="26"/>
          <w:rtl/>
        </w:rPr>
        <w:t>%.</w:t>
      </w:r>
      <w:r w:rsidR="001E3575" w:rsidRPr="004F4170">
        <w:rPr>
          <w:rFonts w:ascii="Simplified Arabic" w:hAnsi="Simplified Arabic" w:cs="Simplified Arabic"/>
          <w:sz w:val="26"/>
          <w:szCs w:val="26"/>
        </w:rPr>
        <w:t xml:space="preserve"> </w:t>
      </w:r>
      <w:r w:rsidR="0077588E" w:rsidRPr="004F4170">
        <w:rPr>
          <w:rFonts w:ascii="Simplified Arabic" w:hAnsi="Simplified Arabic" w:cs="Simplified Arabic" w:hint="cs"/>
          <w:sz w:val="26"/>
          <w:szCs w:val="26"/>
          <w:rtl/>
        </w:rPr>
        <w:t xml:space="preserve">وسجلت أسعار </w:t>
      </w:r>
      <w:r w:rsidR="0077588E" w:rsidRPr="004F417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مجموعة المسكن والمياه والكهرباء والغاز وغيرها من الوقود ارتفاعاً نسبته 0.49%</w:t>
      </w:r>
      <w:r w:rsidR="0077588E" w:rsidRPr="004F4170">
        <w:rPr>
          <w:rFonts w:ascii="Simplified Arabic" w:hAnsi="Simplified Arabic" w:cs="Simplified Arabic" w:hint="cs"/>
          <w:sz w:val="26"/>
          <w:szCs w:val="26"/>
          <w:rtl/>
        </w:rPr>
        <w:t>، حيث ارتفع سعر الغاز بنسبة 5.03%</w:t>
      </w:r>
      <w:r w:rsidR="0077588E" w:rsidRPr="004F417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. </w:t>
      </w:r>
    </w:p>
    <w:p w:rsidR="000B475C" w:rsidRDefault="000B475C" w:rsidP="0077588E">
      <w:pPr>
        <w:ind w:right="-180"/>
        <w:jc w:val="both"/>
        <w:rPr>
          <w:rFonts w:ascii="Simplified Arabic" w:hAnsi="Simplified Arabic" w:cs="Simplified Arabic"/>
          <w:b/>
          <w:bCs/>
          <w:rtl/>
        </w:rPr>
      </w:pPr>
    </w:p>
    <w:p w:rsidR="00864B18" w:rsidRDefault="00864B18" w:rsidP="0077588E">
      <w:pPr>
        <w:ind w:right="-180"/>
        <w:jc w:val="both"/>
        <w:rPr>
          <w:rFonts w:ascii="Simplified Arabic" w:hAnsi="Simplified Arabic" w:cs="Simplified Arabic"/>
          <w:b/>
          <w:bCs/>
          <w:rtl/>
        </w:rPr>
      </w:pPr>
      <w:r w:rsidRPr="00BE3A10">
        <w:rPr>
          <w:rFonts w:ascii="Simplified Arabic" w:hAnsi="Simplified Arabic" w:cs="Simplified Arabic" w:hint="cs"/>
          <w:b/>
          <w:bCs/>
          <w:rtl/>
        </w:rPr>
        <w:t xml:space="preserve">الجدول التالي يوضح حركة متوسطات أسعار المستهلك في القدس </w:t>
      </w:r>
      <w:r w:rsidRPr="00BE3A10">
        <w:rPr>
          <w:rFonts w:ascii="Simplified Arabic" w:hAnsi="Simplified Arabic" w:cs="Simplified Arabic"/>
          <w:b/>
          <w:bCs/>
        </w:rPr>
        <w:t>J1</w:t>
      </w:r>
      <w:r w:rsidRPr="00BE3A10">
        <w:rPr>
          <w:rFonts w:ascii="Simplified Arabic" w:hAnsi="Simplified Arabic" w:cs="Simplified Arabic" w:hint="cs"/>
          <w:b/>
          <w:bCs/>
          <w:rtl/>
        </w:rPr>
        <w:t xml:space="preserve">* لبعض السلع المهمة خلال العام </w:t>
      </w:r>
      <w:r w:rsidR="0077588E">
        <w:rPr>
          <w:rFonts w:ascii="Simplified Arabic" w:hAnsi="Simplified Arabic" w:cs="Simplified Arabic" w:hint="cs"/>
          <w:b/>
          <w:bCs/>
          <w:rtl/>
        </w:rPr>
        <w:t>2025</w:t>
      </w:r>
      <w:r w:rsidRPr="00BE3A10">
        <w:rPr>
          <w:rFonts w:ascii="Simplified Arabic" w:hAnsi="Simplified Arabic" w:cs="Simplified Arabic" w:hint="cs"/>
          <w:b/>
          <w:bCs/>
          <w:rtl/>
        </w:rPr>
        <w:t xml:space="preserve"> مقارنة بالعام </w:t>
      </w:r>
      <w:r w:rsidR="0077588E">
        <w:rPr>
          <w:rFonts w:ascii="Simplified Arabic" w:hAnsi="Simplified Arabic" w:cs="Simplified Arabic" w:hint="cs"/>
          <w:b/>
          <w:bCs/>
          <w:rtl/>
        </w:rPr>
        <w:t>2024</w:t>
      </w:r>
      <w:r w:rsidRPr="00BE3A10">
        <w:rPr>
          <w:rFonts w:ascii="Simplified Arabic" w:hAnsi="Simplified Arabic" w:cs="Simplified Arabic" w:hint="cs"/>
          <w:b/>
          <w:bCs/>
          <w:rtl/>
        </w:rPr>
        <w:t>:</w:t>
      </w:r>
    </w:p>
    <w:p w:rsidR="004F4170" w:rsidRPr="00BE3A10" w:rsidRDefault="004F4170" w:rsidP="0077588E">
      <w:pPr>
        <w:ind w:right="-180"/>
        <w:jc w:val="both"/>
        <w:rPr>
          <w:rFonts w:ascii="Simplified Arabic" w:hAnsi="Simplified Arabic" w:cs="Simplified Arabic"/>
          <w:b/>
          <w:bCs/>
          <w:rtl/>
        </w:rPr>
      </w:pPr>
    </w:p>
    <w:p w:rsidR="00864B18" w:rsidRPr="004F4170" w:rsidRDefault="00864B18" w:rsidP="00864B18">
      <w:pPr>
        <w:ind w:right="-180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4F4170">
        <w:rPr>
          <w:rFonts w:ascii="Simplified Arabic" w:hAnsi="Simplified Arabic" w:cs="Simplified Arabic" w:hint="cs"/>
          <w:b/>
          <w:bCs/>
          <w:sz w:val="20"/>
          <w:szCs w:val="20"/>
          <w:rtl/>
        </w:rPr>
        <w:t>الأسعار بالشيقل الاسرائيلي الجديد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2250"/>
        <w:gridCol w:w="2520"/>
      </w:tblGrid>
      <w:tr w:rsidR="00864B18" w:rsidRPr="004F4170" w:rsidTr="004F4170">
        <w:trPr>
          <w:tblHeader/>
        </w:trPr>
        <w:tc>
          <w:tcPr>
            <w:tcW w:w="2588" w:type="dxa"/>
            <w:shd w:val="clear" w:color="auto" w:fill="auto"/>
            <w:vAlign w:val="center"/>
          </w:tcPr>
          <w:p w:rsidR="00864B18" w:rsidRPr="004F4170" w:rsidRDefault="00864B18" w:rsidP="000B1B86">
            <w:pPr>
              <w:ind w:right="-180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السلعة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64B18" w:rsidRPr="004F4170" w:rsidRDefault="00864B18" w:rsidP="00513374">
            <w:pPr>
              <w:ind w:right="-180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متوسط السعر خلال العام </w:t>
            </w:r>
            <w:r w:rsidR="00513374" w:rsidRPr="004F417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2024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64B18" w:rsidRPr="004F4170" w:rsidRDefault="00864B18" w:rsidP="00513374">
            <w:pPr>
              <w:ind w:right="-180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متوسط السعر خلال العام </w:t>
            </w:r>
            <w:r w:rsidR="00513374" w:rsidRPr="004F417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2025</w:t>
            </w:r>
          </w:p>
        </w:tc>
      </w:tr>
      <w:tr w:rsidR="00513374" w:rsidRPr="004F4170" w:rsidTr="004F4170">
        <w:tc>
          <w:tcPr>
            <w:tcW w:w="2588" w:type="dxa"/>
            <w:shd w:val="clear" w:color="auto" w:fill="auto"/>
            <w:vAlign w:val="bottom"/>
          </w:tcPr>
          <w:p w:rsidR="00513374" w:rsidRPr="004F4170" w:rsidRDefault="00513374" w:rsidP="00513374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lang w:eastAsia="en-US"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أرز حبة قصيرة/25كغم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513374" w:rsidRPr="004F4170" w:rsidRDefault="00513374" w:rsidP="00513374">
            <w:pPr>
              <w:bidi w:val="0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  <w:lang w:eastAsia="en-US"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513374" w:rsidRPr="004F4170" w:rsidRDefault="00513374" w:rsidP="00513374">
            <w:pPr>
              <w:bidi w:val="0"/>
              <w:jc w:val="right"/>
              <w:rPr>
                <w:rFonts w:ascii="Simplified Arabic" w:hAnsi="Simplified Arabic" w:cs="Simplified Arabic"/>
                <w:sz w:val="22"/>
                <w:szCs w:val="22"/>
                <w:lang w:eastAsia="en-US"/>
              </w:rPr>
            </w:pPr>
            <w:r w:rsidRPr="004F4170">
              <w:rPr>
                <w:rFonts w:ascii="Simplified Arabic" w:hAnsi="Simplified Arabic" w:cs="Simplified Arabic"/>
                <w:sz w:val="22"/>
                <w:szCs w:val="22"/>
              </w:rPr>
              <w:t>164</w:t>
            </w:r>
          </w:p>
        </w:tc>
      </w:tr>
      <w:tr w:rsidR="00513374" w:rsidRPr="004F4170" w:rsidTr="004F4170">
        <w:tc>
          <w:tcPr>
            <w:tcW w:w="2588" w:type="dxa"/>
            <w:shd w:val="clear" w:color="auto" w:fill="auto"/>
            <w:vAlign w:val="bottom"/>
          </w:tcPr>
          <w:p w:rsidR="00513374" w:rsidRPr="004F4170" w:rsidRDefault="00513374" w:rsidP="00513374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طحين أبيض/60كغم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513374" w:rsidRPr="004F4170" w:rsidRDefault="00513374" w:rsidP="00513374">
            <w:pPr>
              <w:bidi w:val="0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513374" w:rsidRPr="004F4170" w:rsidRDefault="00513374" w:rsidP="00513374">
            <w:pPr>
              <w:bidi w:val="0"/>
              <w:jc w:val="right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4F4170">
              <w:rPr>
                <w:rFonts w:ascii="Simplified Arabic" w:hAnsi="Simplified Arabic" w:cs="Simplified Arabic"/>
                <w:sz w:val="22"/>
                <w:szCs w:val="22"/>
              </w:rPr>
              <w:t>175</w:t>
            </w:r>
          </w:p>
        </w:tc>
      </w:tr>
      <w:tr w:rsidR="00513374" w:rsidRPr="004F4170" w:rsidTr="004F4170">
        <w:tc>
          <w:tcPr>
            <w:tcW w:w="2588" w:type="dxa"/>
            <w:shd w:val="clear" w:color="auto" w:fill="auto"/>
            <w:vAlign w:val="bottom"/>
          </w:tcPr>
          <w:p w:rsidR="00513374" w:rsidRPr="004F4170" w:rsidRDefault="00513374" w:rsidP="00513374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لحم غنم مع العظم/1كغم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513374" w:rsidRPr="004F4170" w:rsidRDefault="00513374" w:rsidP="00513374">
            <w:pPr>
              <w:bidi w:val="0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513374" w:rsidRPr="004F4170" w:rsidRDefault="00513374" w:rsidP="00513374">
            <w:pPr>
              <w:bidi w:val="0"/>
              <w:jc w:val="right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4F4170">
              <w:rPr>
                <w:rFonts w:ascii="Simplified Arabic" w:hAnsi="Simplified Arabic" w:cs="Simplified Arabic"/>
                <w:sz w:val="22"/>
                <w:szCs w:val="22"/>
              </w:rPr>
              <w:t>119</w:t>
            </w:r>
          </w:p>
        </w:tc>
      </w:tr>
      <w:tr w:rsidR="00513374" w:rsidRPr="004F4170" w:rsidTr="004F4170">
        <w:tc>
          <w:tcPr>
            <w:tcW w:w="2588" w:type="dxa"/>
            <w:shd w:val="clear" w:color="auto" w:fill="auto"/>
            <w:vAlign w:val="bottom"/>
          </w:tcPr>
          <w:p w:rsidR="00513374" w:rsidRPr="004F4170" w:rsidRDefault="00513374" w:rsidP="00513374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لحم عجل طازج/1كغم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513374" w:rsidRPr="004F4170" w:rsidRDefault="00513374" w:rsidP="00513374">
            <w:pPr>
              <w:bidi w:val="0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513374" w:rsidRPr="004F4170" w:rsidRDefault="00513374" w:rsidP="00513374">
            <w:pPr>
              <w:bidi w:val="0"/>
              <w:jc w:val="right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4F4170">
              <w:rPr>
                <w:rFonts w:ascii="Simplified Arabic" w:hAnsi="Simplified Arabic" w:cs="Simplified Arabic"/>
                <w:sz w:val="22"/>
                <w:szCs w:val="22"/>
              </w:rPr>
              <w:t>73</w:t>
            </w:r>
          </w:p>
        </w:tc>
      </w:tr>
      <w:tr w:rsidR="00513374" w:rsidRPr="004F4170" w:rsidTr="004F4170">
        <w:tc>
          <w:tcPr>
            <w:tcW w:w="2588" w:type="dxa"/>
            <w:shd w:val="clear" w:color="auto" w:fill="auto"/>
            <w:vAlign w:val="bottom"/>
          </w:tcPr>
          <w:p w:rsidR="00513374" w:rsidRPr="004F4170" w:rsidRDefault="00513374" w:rsidP="00513374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زيت ذرة/3لتر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513374" w:rsidRPr="004F4170" w:rsidRDefault="00513374" w:rsidP="00513374">
            <w:pPr>
              <w:bidi w:val="0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513374" w:rsidRPr="004F4170" w:rsidRDefault="00513374" w:rsidP="00513374">
            <w:pPr>
              <w:bidi w:val="0"/>
              <w:jc w:val="right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4F4170">
              <w:rPr>
                <w:rFonts w:ascii="Simplified Arabic" w:hAnsi="Simplified Arabic" w:cs="Simplified Arabic"/>
                <w:sz w:val="22"/>
                <w:szCs w:val="22"/>
              </w:rPr>
              <w:t>38</w:t>
            </w:r>
          </w:p>
        </w:tc>
      </w:tr>
      <w:tr w:rsidR="00513374" w:rsidRPr="004F4170" w:rsidTr="004F4170">
        <w:tc>
          <w:tcPr>
            <w:tcW w:w="2588" w:type="dxa"/>
            <w:shd w:val="clear" w:color="auto" w:fill="auto"/>
            <w:vAlign w:val="bottom"/>
          </w:tcPr>
          <w:p w:rsidR="00513374" w:rsidRPr="004F4170" w:rsidRDefault="00513374" w:rsidP="00513374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موز/1كغم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513374" w:rsidRPr="004F4170" w:rsidRDefault="00513374" w:rsidP="00513374">
            <w:pPr>
              <w:bidi w:val="0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513374" w:rsidRPr="004F4170" w:rsidRDefault="00513374" w:rsidP="00513374">
            <w:pPr>
              <w:bidi w:val="0"/>
              <w:jc w:val="right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4F4170">
              <w:rPr>
                <w:rFonts w:ascii="Simplified Arabic" w:hAnsi="Simplified Arabic" w:cs="Simplified Arabic"/>
                <w:sz w:val="22"/>
                <w:szCs w:val="22"/>
              </w:rPr>
              <w:t>9</w:t>
            </w:r>
          </w:p>
        </w:tc>
      </w:tr>
      <w:tr w:rsidR="00513374" w:rsidRPr="004F4170" w:rsidTr="004F4170">
        <w:tc>
          <w:tcPr>
            <w:tcW w:w="2588" w:type="dxa"/>
            <w:shd w:val="clear" w:color="auto" w:fill="auto"/>
            <w:vAlign w:val="bottom"/>
          </w:tcPr>
          <w:p w:rsidR="00513374" w:rsidRPr="004F4170" w:rsidRDefault="00513374" w:rsidP="00513374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افوكادو/1كغم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513374" w:rsidRPr="004F4170" w:rsidRDefault="00513374" w:rsidP="00513374">
            <w:pPr>
              <w:bidi w:val="0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513374" w:rsidRPr="004F4170" w:rsidRDefault="00513374" w:rsidP="0092315D">
            <w:pPr>
              <w:bidi w:val="0"/>
              <w:jc w:val="right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4F4170">
              <w:rPr>
                <w:rFonts w:ascii="Simplified Arabic" w:hAnsi="Simplified Arabic" w:cs="Simplified Arabic"/>
                <w:sz w:val="22"/>
                <w:szCs w:val="22"/>
              </w:rPr>
              <w:t>1</w:t>
            </w:r>
            <w:r w:rsidR="0092315D" w:rsidRPr="004F4170">
              <w:rPr>
                <w:rFonts w:ascii="Simplified Arabic" w:hAnsi="Simplified Arabic" w:cs="Simplified Arabic"/>
                <w:sz w:val="22"/>
                <w:szCs w:val="22"/>
                <w:rtl/>
              </w:rPr>
              <w:t>3</w:t>
            </w:r>
          </w:p>
        </w:tc>
      </w:tr>
      <w:tr w:rsidR="00513374" w:rsidRPr="004F4170" w:rsidTr="004F4170">
        <w:tc>
          <w:tcPr>
            <w:tcW w:w="2588" w:type="dxa"/>
            <w:shd w:val="clear" w:color="auto" w:fill="auto"/>
            <w:vAlign w:val="bottom"/>
          </w:tcPr>
          <w:p w:rsidR="00513374" w:rsidRPr="004F4170" w:rsidRDefault="00513374" w:rsidP="00513374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قهوة مطحونة/1كغم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513374" w:rsidRPr="004F4170" w:rsidRDefault="00513374" w:rsidP="00513374">
            <w:pPr>
              <w:bidi w:val="0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513374" w:rsidRPr="004F4170" w:rsidRDefault="0035488D" w:rsidP="00513374">
            <w:pPr>
              <w:bidi w:val="0"/>
              <w:jc w:val="right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4F4170">
              <w:rPr>
                <w:rFonts w:ascii="Simplified Arabic" w:hAnsi="Simplified Arabic" w:cs="Simplified Arabic"/>
                <w:sz w:val="22"/>
                <w:szCs w:val="22"/>
              </w:rPr>
              <w:t>73</w:t>
            </w:r>
          </w:p>
        </w:tc>
      </w:tr>
      <w:tr w:rsidR="00513374" w:rsidRPr="004F4170" w:rsidTr="004F4170">
        <w:tc>
          <w:tcPr>
            <w:tcW w:w="2588" w:type="dxa"/>
            <w:shd w:val="clear" w:color="auto" w:fill="auto"/>
            <w:vAlign w:val="bottom"/>
          </w:tcPr>
          <w:p w:rsidR="00513374" w:rsidRPr="004F4170" w:rsidRDefault="00513374" w:rsidP="00513374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سجائر مارلبورو/ 20سيجارة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513374" w:rsidRPr="004F4170" w:rsidRDefault="00513374" w:rsidP="00513374">
            <w:pPr>
              <w:bidi w:val="0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513374" w:rsidRPr="004F4170" w:rsidRDefault="00513374" w:rsidP="00513374">
            <w:pPr>
              <w:bidi w:val="0"/>
              <w:jc w:val="right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4F4170">
              <w:rPr>
                <w:rFonts w:ascii="Simplified Arabic" w:hAnsi="Simplified Arabic" w:cs="Simplified Arabic"/>
                <w:sz w:val="22"/>
                <w:szCs w:val="22"/>
              </w:rPr>
              <w:t>41</w:t>
            </w:r>
          </w:p>
        </w:tc>
      </w:tr>
      <w:tr w:rsidR="00513374" w:rsidRPr="004F4170" w:rsidTr="004F4170">
        <w:tc>
          <w:tcPr>
            <w:tcW w:w="2588" w:type="dxa"/>
            <w:shd w:val="clear" w:color="auto" w:fill="auto"/>
            <w:vAlign w:val="bottom"/>
          </w:tcPr>
          <w:p w:rsidR="00513374" w:rsidRPr="004F4170" w:rsidRDefault="00513374" w:rsidP="00513374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اسطوانة غاز/12كغم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513374" w:rsidRPr="004F4170" w:rsidRDefault="00513374" w:rsidP="00513374">
            <w:pPr>
              <w:bidi w:val="0"/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513374" w:rsidRPr="004F4170" w:rsidRDefault="00513374" w:rsidP="00513374">
            <w:pPr>
              <w:bidi w:val="0"/>
              <w:jc w:val="right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4F4170">
              <w:rPr>
                <w:rFonts w:ascii="Simplified Arabic" w:hAnsi="Simplified Arabic" w:cs="Simplified Arabic"/>
                <w:sz w:val="22"/>
                <w:szCs w:val="22"/>
              </w:rPr>
              <w:t>126</w:t>
            </w:r>
          </w:p>
        </w:tc>
      </w:tr>
    </w:tbl>
    <w:p w:rsidR="00D57EF7" w:rsidRDefault="00D57EF7" w:rsidP="00D57EF7">
      <w:pPr>
        <w:jc w:val="both"/>
        <w:rPr>
          <w:rFonts w:ascii="Simplified Arabic" w:hAnsi="Simplified Arabic" w:cs="Simplified Arabic"/>
          <w:b/>
          <w:bCs/>
          <w:rtl/>
        </w:rPr>
      </w:pPr>
    </w:p>
    <w:p w:rsidR="00914188" w:rsidRDefault="00914188" w:rsidP="00D57EF7">
      <w:pPr>
        <w:jc w:val="both"/>
        <w:rPr>
          <w:rFonts w:ascii="Simplified Arabic" w:hAnsi="Simplified Arabic" w:cs="Simplified Arabic"/>
          <w:b/>
          <w:bCs/>
          <w:rtl/>
        </w:rPr>
      </w:pPr>
    </w:p>
    <w:p w:rsidR="00914188" w:rsidRDefault="00914188" w:rsidP="00D57EF7">
      <w:pPr>
        <w:jc w:val="both"/>
        <w:rPr>
          <w:rFonts w:ascii="Simplified Arabic" w:hAnsi="Simplified Arabic" w:cs="Simplified Arabic"/>
          <w:b/>
          <w:bCs/>
          <w:rtl/>
        </w:rPr>
      </w:pPr>
    </w:p>
    <w:p w:rsidR="00986394" w:rsidRPr="008C7B94" w:rsidRDefault="0077588E" w:rsidP="0077588E">
      <w:pPr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8C7B94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0.11</w:t>
      </w:r>
      <w:r w:rsidR="00986394" w:rsidRPr="008C7B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% </w:t>
      </w:r>
      <w:r w:rsidRPr="008C7B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انخفاض</w:t>
      </w:r>
      <w:r w:rsidR="00986394" w:rsidRPr="008C7B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مؤشر غلاء المعيشة في الضفة الغربية** خلال العام </w:t>
      </w:r>
      <w:r w:rsidRPr="008C7B94">
        <w:rPr>
          <w:rFonts w:ascii="Simplified Arabic" w:hAnsi="Simplified Arabic" w:cs="Simplified Arabic"/>
          <w:b/>
          <w:bCs/>
          <w:sz w:val="28"/>
          <w:szCs w:val="28"/>
        </w:rPr>
        <w:t>2025</w:t>
      </w:r>
      <w:r w:rsidR="00986394" w:rsidRPr="008C7B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مقارنة بالعام </w:t>
      </w:r>
      <w:r w:rsidRPr="008C7B94">
        <w:rPr>
          <w:rFonts w:ascii="Simplified Arabic" w:hAnsi="Simplified Arabic" w:cs="Simplified Arabic"/>
          <w:b/>
          <w:bCs/>
          <w:sz w:val="28"/>
          <w:szCs w:val="28"/>
        </w:rPr>
        <w:t>2024</w:t>
      </w:r>
    </w:p>
    <w:p w:rsidR="00986394" w:rsidRPr="008C7B94" w:rsidRDefault="00986394" w:rsidP="00FC64E0">
      <w:pPr>
        <w:ind w:right="-180"/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</w:pPr>
      <w:r w:rsidRPr="008C7B94">
        <w:rPr>
          <w:rFonts w:ascii="Simplified Arabic" w:hAnsi="Simplified Arabic" w:cs="Simplified Arabic" w:hint="cs"/>
          <w:sz w:val="26"/>
          <w:szCs w:val="26"/>
          <w:rtl/>
        </w:rPr>
        <w:t xml:space="preserve">يعود هذا </w:t>
      </w:r>
      <w:r w:rsidR="0077588E" w:rsidRPr="008C7B94">
        <w:rPr>
          <w:rFonts w:ascii="Simplified Arabic" w:hAnsi="Simplified Arabic" w:cs="Simplified Arabic" w:hint="cs"/>
          <w:sz w:val="26"/>
          <w:szCs w:val="26"/>
          <w:rtl/>
        </w:rPr>
        <w:t>الانخفاض</w:t>
      </w:r>
      <w:r w:rsidRPr="008C7B9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338B8" w:rsidRPr="008C7B94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Pr="008C7B9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7588E" w:rsidRPr="008C7B94">
        <w:rPr>
          <w:rFonts w:ascii="Simplified Arabic" w:hAnsi="Simplified Arabic" w:cs="Simplified Arabic" w:hint="cs"/>
          <w:sz w:val="26"/>
          <w:szCs w:val="26"/>
          <w:rtl/>
        </w:rPr>
        <w:t>انخفاض</w:t>
      </w:r>
      <w:r w:rsidRPr="008C7B94">
        <w:rPr>
          <w:rFonts w:ascii="Simplified Arabic" w:hAnsi="Simplified Arabic" w:cs="Simplified Arabic" w:hint="cs"/>
          <w:sz w:val="26"/>
          <w:szCs w:val="26"/>
          <w:rtl/>
        </w:rPr>
        <w:t xml:space="preserve"> أسعار </w:t>
      </w:r>
      <w:r w:rsidRPr="008C7B9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مجموعة المواد الغذائية والمشروبات غير الكحولية </w:t>
      </w:r>
      <w:r w:rsidR="0077588E" w:rsidRPr="008C7B9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بمقدار</w:t>
      </w:r>
      <w:r w:rsidRPr="008C7B9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77588E" w:rsidRPr="008C7B9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1.82</w:t>
      </w:r>
      <w:r w:rsidRPr="008C7B9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</w:t>
      </w:r>
      <w:r w:rsidRPr="008C7B94">
        <w:rPr>
          <w:rFonts w:ascii="Simplified Arabic" w:hAnsi="Simplified Arabic" w:cs="Simplified Arabic" w:hint="cs"/>
          <w:sz w:val="26"/>
          <w:szCs w:val="26"/>
          <w:rtl/>
        </w:rPr>
        <w:t xml:space="preserve">، حيث </w:t>
      </w:r>
      <w:r w:rsidR="0077588E" w:rsidRPr="008C7B94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8C7B94">
        <w:rPr>
          <w:rFonts w:ascii="Simplified Arabic" w:hAnsi="Simplified Arabic" w:cs="Simplified Arabic" w:hint="cs"/>
          <w:sz w:val="26"/>
          <w:szCs w:val="26"/>
          <w:rtl/>
        </w:rPr>
        <w:t xml:space="preserve"> أسعار كل من؛ </w:t>
      </w:r>
      <w:r w:rsidR="002A170C" w:rsidRPr="008C7B94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البطاطا بمقدار 36.64%، و</w:t>
      </w:r>
      <w:r w:rsidR="002A170C" w:rsidRPr="008C7B94">
        <w:rPr>
          <w:rFonts w:ascii="Simplified Arabic" w:hAnsi="Simplified Arabic" w:cs="Simplified Arabic" w:hint="cs"/>
          <w:sz w:val="26"/>
          <w:szCs w:val="26"/>
          <w:rtl/>
        </w:rPr>
        <w:t xml:space="preserve">الخضروات المجففة بمقدار 27.78%، </w:t>
      </w:r>
      <w:r w:rsidR="0077588E" w:rsidRPr="008C7B94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والخضروات الطازجة بمقدار 15.</w:t>
      </w:r>
      <w:r w:rsidR="002A170C" w:rsidRPr="008C7B94">
        <w:rPr>
          <w:rFonts w:ascii="Simplified Arabic" w:hAnsi="Simplified Arabic" w:cs="Simplified Arabic" w:hint="cs"/>
          <w:sz w:val="26"/>
          <w:szCs w:val="26"/>
          <w:rtl/>
          <w:lang w:bidi="ar-JO"/>
        </w:rPr>
        <w:t>23</w:t>
      </w:r>
      <w:r w:rsidR="0077588E" w:rsidRPr="008C7B94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%، </w:t>
      </w:r>
      <w:r w:rsidR="002A170C" w:rsidRPr="008C7B94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والسكر </w:t>
      </w:r>
      <w:r w:rsidR="00FC64E0" w:rsidRPr="008C7B94">
        <w:rPr>
          <w:rFonts w:ascii="Simplified Arabic" w:hAnsi="Simplified Arabic" w:cs="Simplified Arabic" w:hint="cs"/>
          <w:sz w:val="26"/>
          <w:szCs w:val="26"/>
          <w:rtl/>
          <w:lang w:bidi="ar-JO"/>
        </w:rPr>
        <w:t>بمقدار</w:t>
      </w:r>
      <w:r w:rsidR="002A170C" w:rsidRPr="008C7B94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10.41%، </w:t>
      </w:r>
      <w:r w:rsidR="0077588E" w:rsidRPr="008C7B94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</w:t>
      </w:r>
      <w:r w:rsidR="0077588E" w:rsidRPr="008C7B94">
        <w:rPr>
          <w:rFonts w:ascii="Simplified Arabic" w:hAnsi="Simplified Arabic" w:cs="Simplified Arabic" w:hint="cs"/>
          <w:sz w:val="26"/>
          <w:szCs w:val="26"/>
          <w:rtl/>
        </w:rPr>
        <w:t xml:space="preserve">الدجاج الطازج بمقدار 10.31%، </w:t>
      </w:r>
      <w:r w:rsidR="007B48EC" w:rsidRPr="008C7B94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والدقيق الأبيض</w:t>
      </w:r>
      <w:r w:rsidR="00FC64E0" w:rsidRPr="008C7B94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بمقدار</w:t>
      </w:r>
      <w:r w:rsidR="007B48EC" w:rsidRPr="008C7B94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1.53</w:t>
      </w:r>
      <w:r w:rsidR="00FC64E0" w:rsidRPr="008C7B94">
        <w:rPr>
          <w:rFonts w:ascii="Simplified Arabic" w:hAnsi="Simplified Arabic" w:cs="Simplified Arabic" w:hint="cs"/>
          <w:sz w:val="26"/>
          <w:szCs w:val="26"/>
          <w:rtl/>
          <w:lang w:bidi="ar-JO"/>
        </w:rPr>
        <w:t>%</w:t>
      </w:r>
      <w:r w:rsidR="006765B0" w:rsidRPr="008C7B94">
        <w:rPr>
          <w:rFonts w:ascii="Simplified Arabic" w:hAnsi="Simplified Arabic" w:cs="Simplified Arabic" w:hint="cs"/>
          <w:sz w:val="26"/>
          <w:szCs w:val="26"/>
          <w:rtl/>
          <w:lang w:bidi="ar-JO"/>
        </w:rPr>
        <w:t>.</w:t>
      </w:r>
    </w:p>
    <w:p w:rsidR="00986394" w:rsidRPr="008C7B94" w:rsidRDefault="00986394" w:rsidP="00986394">
      <w:pPr>
        <w:ind w:right="-180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:rsidR="00E20994" w:rsidRPr="008C7B94" w:rsidRDefault="002A170C" w:rsidP="002A170C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8C7B94">
        <w:rPr>
          <w:rFonts w:ascii="Simplified Arabic" w:hAnsi="Simplified Arabic" w:cs="Simplified Arabic" w:hint="cs"/>
          <w:sz w:val="26"/>
          <w:szCs w:val="26"/>
          <w:rtl/>
        </w:rPr>
        <w:t xml:space="preserve">بينما سجلت أسعار </w:t>
      </w:r>
      <w:r w:rsidRPr="008C7B9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مجموعة المشروبات الكحولية والتبغ ارتفاعاً نسبته </w:t>
      </w:r>
      <w:r w:rsidRPr="008C7B94">
        <w:rPr>
          <w:rFonts w:ascii="Simplified Arabic" w:hAnsi="Simplified Arabic" w:cs="Simplified Arabic"/>
          <w:b/>
          <w:bCs/>
          <w:sz w:val="26"/>
          <w:szCs w:val="26"/>
        </w:rPr>
        <w:t>5.12</w:t>
      </w:r>
      <w:r w:rsidRPr="008C7B9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</w:t>
      </w:r>
      <w:r w:rsidRPr="008C7B94">
        <w:rPr>
          <w:rFonts w:ascii="Simplified Arabic" w:hAnsi="Simplified Arabic" w:cs="Simplified Arabic" w:hint="cs"/>
          <w:sz w:val="26"/>
          <w:szCs w:val="26"/>
          <w:rtl/>
        </w:rPr>
        <w:t xml:space="preserve">، حيث ارتفعت أسعار السجائر المستوردة بنسبة </w:t>
      </w:r>
      <w:r w:rsidRPr="008C7B94">
        <w:rPr>
          <w:rFonts w:ascii="Simplified Arabic" w:hAnsi="Simplified Arabic" w:cs="Simplified Arabic"/>
          <w:sz w:val="26"/>
          <w:szCs w:val="26"/>
        </w:rPr>
        <w:t>5.99</w:t>
      </w:r>
      <w:r w:rsidRPr="008C7B94">
        <w:rPr>
          <w:rFonts w:ascii="Simplified Arabic" w:hAnsi="Simplified Arabic" w:cs="Simplified Arabic" w:hint="cs"/>
          <w:sz w:val="26"/>
          <w:szCs w:val="26"/>
          <w:rtl/>
        </w:rPr>
        <w:t xml:space="preserve">%. </w:t>
      </w:r>
    </w:p>
    <w:p w:rsidR="00513374" w:rsidRPr="008C7B94" w:rsidRDefault="00513374" w:rsidP="00986394">
      <w:pPr>
        <w:ind w:right="-180"/>
        <w:jc w:val="both"/>
        <w:rPr>
          <w:rFonts w:cs="Simplified Arabic"/>
          <w:color w:val="FF0000"/>
          <w:sz w:val="26"/>
          <w:szCs w:val="26"/>
          <w:rtl/>
        </w:rPr>
      </w:pPr>
    </w:p>
    <w:p w:rsidR="006F4FB4" w:rsidRPr="008C7B94" w:rsidRDefault="00986394" w:rsidP="00914188">
      <w:pPr>
        <w:ind w:right="-180" w:hanging="55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8C7B9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الجدول التالي يوضح حركة متوسطات أسعار المستهلك في الضفة الغربية** لبعض السلع المهمة خلال العام </w:t>
      </w:r>
      <w:r w:rsidR="002A170C" w:rsidRPr="008C7B9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2025</w:t>
      </w:r>
      <w:r w:rsidRPr="008C7B9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مقارنة بالعام </w:t>
      </w:r>
      <w:r w:rsidR="002A170C" w:rsidRPr="008C7B9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2024</w:t>
      </w:r>
      <w:r w:rsidRPr="008C7B9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:</w:t>
      </w:r>
    </w:p>
    <w:p w:rsidR="004F4170" w:rsidRPr="00C97ACD" w:rsidRDefault="004F4170" w:rsidP="002A170C">
      <w:pPr>
        <w:ind w:right="-180"/>
        <w:jc w:val="both"/>
        <w:rPr>
          <w:rFonts w:ascii="Simplified Arabic" w:hAnsi="Simplified Arabic" w:cs="Simplified Arabic"/>
          <w:b/>
          <w:bCs/>
          <w:rtl/>
        </w:rPr>
      </w:pPr>
    </w:p>
    <w:p w:rsidR="00986394" w:rsidRPr="004F4170" w:rsidRDefault="00986394" w:rsidP="00986394">
      <w:pPr>
        <w:ind w:right="-180"/>
        <w:jc w:val="both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  <w:r w:rsidRPr="004F4170">
        <w:rPr>
          <w:rFonts w:ascii="Simplified Arabic" w:hAnsi="Simplified Arabic" w:cs="Simplified Arabic" w:hint="cs"/>
          <w:b/>
          <w:bCs/>
          <w:sz w:val="20"/>
          <w:szCs w:val="20"/>
          <w:rtl/>
        </w:rPr>
        <w:t>الأسعار بالشيقل الاسرائيلي الجديد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1779"/>
        <w:gridCol w:w="2610"/>
      </w:tblGrid>
      <w:tr w:rsidR="00986394" w:rsidRPr="004F4170" w:rsidTr="004F4170">
        <w:trPr>
          <w:tblHeader/>
        </w:trPr>
        <w:tc>
          <w:tcPr>
            <w:tcW w:w="2241" w:type="dxa"/>
            <w:shd w:val="clear" w:color="auto" w:fill="auto"/>
            <w:vAlign w:val="center"/>
          </w:tcPr>
          <w:p w:rsidR="00986394" w:rsidRPr="004F4170" w:rsidRDefault="00986394" w:rsidP="00AE4FFC">
            <w:pPr>
              <w:ind w:right="-180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السلعة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986394" w:rsidRPr="004F4170" w:rsidRDefault="00986394" w:rsidP="00FC64E0">
            <w:pPr>
              <w:ind w:right="-180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متوسط السعر خلال العام </w:t>
            </w:r>
            <w:r w:rsidR="00FC64E0" w:rsidRPr="004F417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2024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C2BEC" w:rsidRDefault="00986394" w:rsidP="00FC64E0">
            <w:pPr>
              <w:ind w:right="-180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متوسط السعر </w:t>
            </w:r>
          </w:p>
          <w:p w:rsidR="00986394" w:rsidRPr="004F4170" w:rsidRDefault="00986394" w:rsidP="00FC64E0">
            <w:pPr>
              <w:ind w:right="-180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خلال العام </w:t>
            </w:r>
            <w:r w:rsidR="00FC64E0" w:rsidRPr="004F417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2025</w:t>
            </w:r>
          </w:p>
        </w:tc>
      </w:tr>
      <w:tr w:rsidR="00FC64E0" w:rsidRPr="004F4170" w:rsidTr="004F4170">
        <w:tc>
          <w:tcPr>
            <w:tcW w:w="2241" w:type="dxa"/>
            <w:shd w:val="clear" w:color="auto" w:fill="auto"/>
            <w:vAlign w:val="bottom"/>
          </w:tcPr>
          <w:p w:rsidR="00FC64E0" w:rsidRPr="004F4170" w:rsidRDefault="00FC64E0" w:rsidP="00FC64E0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lang w:eastAsia="en-US"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دجاج طازج/1كغم</w:t>
            </w:r>
          </w:p>
        </w:tc>
        <w:tc>
          <w:tcPr>
            <w:tcW w:w="1779" w:type="dxa"/>
            <w:shd w:val="clear" w:color="auto" w:fill="auto"/>
            <w:vAlign w:val="bottom"/>
          </w:tcPr>
          <w:p w:rsidR="00FC64E0" w:rsidRPr="004F4170" w:rsidRDefault="00FC64E0" w:rsidP="00FC64E0">
            <w:pPr>
              <w:ind w:right="-180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16</w:t>
            </w:r>
          </w:p>
        </w:tc>
        <w:tc>
          <w:tcPr>
            <w:tcW w:w="2610" w:type="dxa"/>
            <w:shd w:val="clear" w:color="auto" w:fill="auto"/>
            <w:vAlign w:val="bottom"/>
          </w:tcPr>
          <w:p w:rsidR="00FC64E0" w:rsidRPr="004F4170" w:rsidRDefault="00FC64E0" w:rsidP="00FC64E0">
            <w:pPr>
              <w:ind w:right="-180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14</w:t>
            </w:r>
          </w:p>
        </w:tc>
      </w:tr>
      <w:tr w:rsidR="00FC64E0" w:rsidRPr="004F4170" w:rsidTr="004F4170">
        <w:tc>
          <w:tcPr>
            <w:tcW w:w="2241" w:type="dxa"/>
            <w:shd w:val="clear" w:color="auto" w:fill="auto"/>
            <w:vAlign w:val="bottom"/>
          </w:tcPr>
          <w:p w:rsidR="00FC64E0" w:rsidRPr="004F4170" w:rsidRDefault="00FC64E0" w:rsidP="00FC64E0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بندوره/1كغم</w:t>
            </w:r>
          </w:p>
        </w:tc>
        <w:tc>
          <w:tcPr>
            <w:tcW w:w="1779" w:type="dxa"/>
            <w:shd w:val="clear" w:color="auto" w:fill="auto"/>
            <w:vAlign w:val="bottom"/>
          </w:tcPr>
          <w:p w:rsidR="00FC64E0" w:rsidRPr="004F4170" w:rsidRDefault="00FC64E0" w:rsidP="00FC64E0">
            <w:pPr>
              <w:ind w:right="-180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8</w:t>
            </w:r>
          </w:p>
        </w:tc>
        <w:tc>
          <w:tcPr>
            <w:tcW w:w="2610" w:type="dxa"/>
            <w:shd w:val="clear" w:color="auto" w:fill="auto"/>
            <w:vAlign w:val="bottom"/>
          </w:tcPr>
          <w:p w:rsidR="00FC64E0" w:rsidRPr="004F4170" w:rsidRDefault="00FC64E0" w:rsidP="00FC64E0">
            <w:pPr>
              <w:ind w:right="-180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5</w:t>
            </w:r>
          </w:p>
        </w:tc>
      </w:tr>
      <w:tr w:rsidR="00FC64E0" w:rsidRPr="004F4170" w:rsidTr="004F4170">
        <w:tc>
          <w:tcPr>
            <w:tcW w:w="2241" w:type="dxa"/>
            <w:shd w:val="clear" w:color="auto" w:fill="auto"/>
            <w:vAlign w:val="bottom"/>
          </w:tcPr>
          <w:p w:rsidR="00FC64E0" w:rsidRPr="004F4170" w:rsidRDefault="00FC64E0" w:rsidP="00FC64E0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زهرة بيضاء/1كغم</w:t>
            </w:r>
          </w:p>
        </w:tc>
        <w:tc>
          <w:tcPr>
            <w:tcW w:w="1779" w:type="dxa"/>
            <w:shd w:val="clear" w:color="auto" w:fill="auto"/>
            <w:vAlign w:val="bottom"/>
          </w:tcPr>
          <w:p w:rsidR="00FC64E0" w:rsidRPr="004F4170" w:rsidRDefault="00FC64E0" w:rsidP="00FC64E0">
            <w:pPr>
              <w:ind w:right="-180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5</w:t>
            </w:r>
          </w:p>
        </w:tc>
        <w:tc>
          <w:tcPr>
            <w:tcW w:w="2610" w:type="dxa"/>
            <w:shd w:val="clear" w:color="auto" w:fill="auto"/>
            <w:vAlign w:val="bottom"/>
          </w:tcPr>
          <w:p w:rsidR="00FC64E0" w:rsidRPr="004F4170" w:rsidRDefault="00FC64E0" w:rsidP="00FC64E0">
            <w:pPr>
              <w:ind w:right="-180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4</w:t>
            </w:r>
          </w:p>
        </w:tc>
      </w:tr>
      <w:tr w:rsidR="00FC64E0" w:rsidRPr="004F4170" w:rsidTr="004F4170">
        <w:tc>
          <w:tcPr>
            <w:tcW w:w="2241" w:type="dxa"/>
            <w:shd w:val="clear" w:color="auto" w:fill="auto"/>
            <w:vAlign w:val="bottom"/>
          </w:tcPr>
          <w:p w:rsidR="00FC64E0" w:rsidRPr="004F4170" w:rsidRDefault="00FC64E0" w:rsidP="00FC64E0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بصل ناشف/1كغم</w:t>
            </w:r>
          </w:p>
        </w:tc>
        <w:tc>
          <w:tcPr>
            <w:tcW w:w="1779" w:type="dxa"/>
            <w:shd w:val="clear" w:color="auto" w:fill="auto"/>
            <w:vAlign w:val="bottom"/>
          </w:tcPr>
          <w:p w:rsidR="00FC64E0" w:rsidRPr="004F4170" w:rsidRDefault="00FC64E0" w:rsidP="00FC64E0">
            <w:pPr>
              <w:ind w:right="-180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5</w:t>
            </w:r>
          </w:p>
        </w:tc>
        <w:tc>
          <w:tcPr>
            <w:tcW w:w="2610" w:type="dxa"/>
            <w:shd w:val="clear" w:color="auto" w:fill="auto"/>
            <w:vAlign w:val="bottom"/>
          </w:tcPr>
          <w:p w:rsidR="00FC64E0" w:rsidRPr="004F4170" w:rsidRDefault="00FC64E0" w:rsidP="00FC64E0">
            <w:pPr>
              <w:ind w:right="-180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3</w:t>
            </w:r>
          </w:p>
        </w:tc>
      </w:tr>
      <w:tr w:rsidR="00FC64E0" w:rsidRPr="004F4170" w:rsidTr="004F4170">
        <w:tc>
          <w:tcPr>
            <w:tcW w:w="2241" w:type="dxa"/>
            <w:shd w:val="clear" w:color="auto" w:fill="auto"/>
            <w:vAlign w:val="bottom"/>
          </w:tcPr>
          <w:p w:rsidR="00FC64E0" w:rsidRPr="004F4170" w:rsidRDefault="00FC64E0" w:rsidP="00FC64E0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ثوم ناشف/1كغم</w:t>
            </w:r>
          </w:p>
        </w:tc>
        <w:tc>
          <w:tcPr>
            <w:tcW w:w="1779" w:type="dxa"/>
            <w:shd w:val="clear" w:color="auto" w:fill="auto"/>
            <w:vAlign w:val="bottom"/>
          </w:tcPr>
          <w:p w:rsidR="00FC64E0" w:rsidRPr="004F4170" w:rsidRDefault="00FC64E0" w:rsidP="00FC64E0">
            <w:pPr>
              <w:ind w:right="-180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19</w:t>
            </w:r>
          </w:p>
        </w:tc>
        <w:tc>
          <w:tcPr>
            <w:tcW w:w="2610" w:type="dxa"/>
            <w:shd w:val="clear" w:color="auto" w:fill="auto"/>
            <w:vAlign w:val="bottom"/>
          </w:tcPr>
          <w:p w:rsidR="00FC64E0" w:rsidRPr="004F4170" w:rsidRDefault="00FC64E0" w:rsidP="00FC64E0">
            <w:pPr>
              <w:ind w:right="-180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17</w:t>
            </w:r>
          </w:p>
        </w:tc>
      </w:tr>
      <w:tr w:rsidR="00FC64E0" w:rsidRPr="004F4170" w:rsidTr="004F4170">
        <w:tc>
          <w:tcPr>
            <w:tcW w:w="2241" w:type="dxa"/>
            <w:shd w:val="clear" w:color="auto" w:fill="auto"/>
            <w:vAlign w:val="bottom"/>
          </w:tcPr>
          <w:p w:rsidR="00FC64E0" w:rsidRPr="004F4170" w:rsidRDefault="00FC64E0" w:rsidP="00FC64E0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بطاطا/1كغم</w:t>
            </w:r>
          </w:p>
        </w:tc>
        <w:tc>
          <w:tcPr>
            <w:tcW w:w="1779" w:type="dxa"/>
            <w:shd w:val="clear" w:color="auto" w:fill="auto"/>
            <w:vAlign w:val="bottom"/>
          </w:tcPr>
          <w:p w:rsidR="00FC64E0" w:rsidRPr="004F4170" w:rsidRDefault="00FC64E0" w:rsidP="00FC64E0">
            <w:pPr>
              <w:ind w:right="-180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5</w:t>
            </w:r>
          </w:p>
        </w:tc>
        <w:tc>
          <w:tcPr>
            <w:tcW w:w="2610" w:type="dxa"/>
            <w:shd w:val="clear" w:color="auto" w:fill="auto"/>
            <w:vAlign w:val="bottom"/>
          </w:tcPr>
          <w:p w:rsidR="00FC64E0" w:rsidRPr="004F4170" w:rsidRDefault="00FC64E0" w:rsidP="00FC64E0">
            <w:pPr>
              <w:ind w:right="-180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3</w:t>
            </w:r>
          </w:p>
        </w:tc>
      </w:tr>
      <w:tr w:rsidR="00FC64E0" w:rsidRPr="004F4170" w:rsidTr="004F4170">
        <w:tc>
          <w:tcPr>
            <w:tcW w:w="2241" w:type="dxa"/>
            <w:shd w:val="clear" w:color="auto" w:fill="auto"/>
            <w:vAlign w:val="bottom"/>
          </w:tcPr>
          <w:p w:rsidR="00FC64E0" w:rsidRPr="004F4170" w:rsidRDefault="00FC64E0" w:rsidP="00FC64E0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سكر/1</w:t>
            </w:r>
            <w:r w:rsidR="00AD1D99"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0</w:t>
            </w: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كغم</w:t>
            </w:r>
          </w:p>
        </w:tc>
        <w:tc>
          <w:tcPr>
            <w:tcW w:w="1779" w:type="dxa"/>
            <w:shd w:val="clear" w:color="auto" w:fill="auto"/>
            <w:vAlign w:val="bottom"/>
          </w:tcPr>
          <w:p w:rsidR="00FC64E0" w:rsidRPr="004F4170" w:rsidRDefault="00AD1D99" w:rsidP="00FC64E0">
            <w:pPr>
              <w:ind w:right="-180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42</w:t>
            </w:r>
          </w:p>
        </w:tc>
        <w:tc>
          <w:tcPr>
            <w:tcW w:w="2610" w:type="dxa"/>
            <w:shd w:val="clear" w:color="auto" w:fill="auto"/>
            <w:vAlign w:val="bottom"/>
          </w:tcPr>
          <w:p w:rsidR="00FC64E0" w:rsidRPr="004F4170" w:rsidRDefault="00AD1D99" w:rsidP="00FC64E0">
            <w:pPr>
              <w:ind w:right="-180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  <w:rtl/>
              </w:rPr>
              <w:t>36</w:t>
            </w:r>
          </w:p>
        </w:tc>
      </w:tr>
      <w:tr w:rsidR="00C97ACD" w:rsidRPr="004F4170" w:rsidTr="004F4170">
        <w:tc>
          <w:tcPr>
            <w:tcW w:w="2241" w:type="dxa"/>
            <w:shd w:val="clear" w:color="auto" w:fill="auto"/>
          </w:tcPr>
          <w:p w:rsidR="00C97ACD" w:rsidRPr="004F4170" w:rsidRDefault="00FC64E0" w:rsidP="00FC64E0">
            <w:pPr>
              <w:ind w:right="-180"/>
              <w:jc w:val="both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طحين أبيض/60كغم</w:t>
            </w:r>
          </w:p>
        </w:tc>
        <w:tc>
          <w:tcPr>
            <w:tcW w:w="1779" w:type="dxa"/>
            <w:shd w:val="clear" w:color="auto" w:fill="auto"/>
          </w:tcPr>
          <w:p w:rsidR="00C97ACD" w:rsidRPr="004F4170" w:rsidRDefault="00FC64E0" w:rsidP="00FC64E0">
            <w:pPr>
              <w:ind w:right="-18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184</w:t>
            </w:r>
          </w:p>
        </w:tc>
        <w:tc>
          <w:tcPr>
            <w:tcW w:w="2610" w:type="dxa"/>
            <w:shd w:val="clear" w:color="auto" w:fill="auto"/>
          </w:tcPr>
          <w:p w:rsidR="00C97ACD" w:rsidRPr="004F4170" w:rsidRDefault="00FC64E0" w:rsidP="00FC64E0">
            <w:pPr>
              <w:ind w:right="-18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4F4170">
              <w:rPr>
                <w:rFonts w:ascii="Simplified Arabic" w:hAnsi="Simplified Arabic" w:cs="Simplified Arabic"/>
                <w:sz w:val="18"/>
                <w:szCs w:val="18"/>
              </w:rPr>
              <w:t>179</w:t>
            </w:r>
          </w:p>
        </w:tc>
      </w:tr>
    </w:tbl>
    <w:p w:rsidR="0098663E" w:rsidRPr="00AF6CB9" w:rsidRDefault="0098663E" w:rsidP="00176953">
      <w:pPr>
        <w:pStyle w:val="BodyText2"/>
        <w:spacing w:after="0" w:line="240" w:lineRule="auto"/>
        <w:rPr>
          <w:rFonts w:cs="Simplified Arabic"/>
          <w:b/>
          <w:bCs/>
          <w:sz w:val="12"/>
          <w:szCs w:val="12"/>
          <w:lang w:val="en-US"/>
        </w:rPr>
      </w:pPr>
    </w:p>
    <w:p w:rsidR="007744D1" w:rsidRPr="00E87B5C" w:rsidRDefault="007744D1" w:rsidP="007744D1">
      <w:pPr>
        <w:pStyle w:val="BodyText2"/>
        <w:spacing w:after="0" w:line="240" w:lineRule="auto"/>
        <w:rPr>
          <w:rFonts w:cs="Simplified Arabic"/>
          <w:b/>
          <w:bCs/>
          <w:sz w:val="8"/>
          <w:szCs w:val="8"/>
          <w:rtl/>
        </w:rPr>
      </w:pPr>
    </w:p>
    <w:p w:rsidR="007744D1" w:rsidRPr="0012173A" w:rsidRDefault="007744D1" w:rsidP="007744D1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r w:rsidRPr="0012173A">
        <w:rPr>
          <w:rFonts w:cs="Simplified Arabic" w:hint="cs"/>
          <w:b/>
          <w:bCs/>
          <w:sz w:val="20"/>
          <w:szCs w:val="20"/>
          <w:rtl/>
        </w:rPr>
        <w:t>ملاحظات:</w:t>
      </w:r>
    </w:p>
    <w:p w:rsidR="007744D1" w:rsidRPr="0012173A" w:rsidRDefault="007744D1" w:rsidP="007744D1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12173A">
        <w:rPr>
          <w:rFonts w:cs="Simplified Arabic" w:hint="cs"/>
          <w:rtl/>
        </w:rPr>
        <w:t>*</w:t>
      </w:r>
      <w:r w:rsidRPr="0012173A">
        <w:rPr>
          <w:rFonts w:cs="Simplified Arabic" w:hint="cs"/>
          <w:sz w:val="20"/>
          <w:szCs w:val="20"/>
          <w:rtl/>
        </w:rPr>
        <w:t xml:space="preserve">البيانات تمثل </w:t>
      </w:r>
      <w:r w:rsidRPr="0012173A">
        <w:rPr>
          <w:rFonts w:cs="Simplified Arabic"/>
          <w:sz w:val="20"/>
          <w:szCs w:val="20"/>
          <w:rtl/>
        </w:rPr>
        <w:t xml:space="preserve">ذلك الجزء من محافظة القدس </w:t>
      </w:r>
      <w:r w:rsidRPr="0012173A">
        <w:rPr>
          <w:rFonts w:cs="Simplified Arabic" w:hint="cs"/>
          <w:sz w:val="20"/>
          <w:szCs w:val="20"/>
          <w:rtl/>
        </w:rPr>
        <w:t>و</w:t>
      </w:r>
      <w:r w:rsidRPr="0012173A">
        <w:rPr>
          <w:rFonts w:cs="Simplified Arabic"/>
          <w:sz w:val="20"/>
          <w:szCs w:val="20"/>
          <w:rtl/>
        </w:rPr>
        <w:t>الذي ضم</w:t>
      </w:r>
      <w:r w:rsidRPr="0012173A">
        <w:rPr>
          <w:rFonts w:cs="Simplified Arabic" w:hint="cs"/>
          <w:sz w:val="20"/>
          <w:szCs w:val="20"/>
          <w:rtl/>
        </w:rPr>
        <w:t>ه الاحتلال</w:t>
      </w:r>
      <w:r w:rsidRPr="0012173A">
        <w:rPr>
          <w:rFonts w:cs="Simplified Arabic"/>
          <w:sz w:val="20"/>
          <w:szCs w:val="20"/>
          <w:rtl/>
        </w:rPr>
        <w:t xml:space="preserve"> </w:t>
      </w:r>
      <w:r w:rsidRPr="0012173A">
        <w:rPr>
          <w:rFonts w:cs="Simplified Arabic" w:hint="cs"/>
          <w:sz w:val="20"/>
          <w:szCs w:val="20"/>
          <w:rtl/>
        </w:rPr>
        <w:t>الإسرائيل</w:t>
      </w:r>
      <w:r w:rsidRPr="0012173A">
        <w:rPr>
          <w:rFonts w:cs="Simplified Arabic" w:hint="eastAsia"/>
          <w:sz w:val="20"/>
          <w:szCs w:val="20"/>
          <w:rtl/>
        </w:rPr>
        <w:t>ي</w:t>
      </w:r>
      <w:r w:rsidRPr="0012173A">
        <w:rPr>
          <w:rFonts w:cs="Simplified Arabic"/>
          <w:sz w:val="20"/>
          <w:szCs w:val="20"/>
          <w:rtl/>
        </w:rPr>
        <w:t xml:space="preserve"> </w:t>
      </w:r>
      <w:r w:rsidRPr="0012173A">
        <w:rPr>
          <w:rFonts w:cs="Simplified Arabic" w:hint="cs"/>
          <w:sz w:val="20"/>
          <w:szCs w:val="20"/>
          <w:rtl/>
        </w:rPr>
        <w:t xml:space="preserve">إليه </w:t>
      </w:r>
      <w:r w:rsidRPr="0012173A">
        <w:rPr>
          <w:rFonts w:cs="Simplified Arabic"/>
          <w:sz w:val="20"/>
          <w:szCs w:val="20"/>
          <w:rtl/>
        </w:rPr>
        <w:t>عنوة بعيد احتلاله للضفة الغربية عام</w:t>
      </w:r>
      <w:r w:rsidRPr="0012173A">
        <w:rPr>
          <w:rFonts w:cs="Simplified Arabic" w:hint="cs"/>
          <w:sz w:val="20"/>
          <w:szCs w:val="20"/>
          <w:rtl/>
        </w:rPr>
        <w:t xml:space="preserve"> </w:t>
      </w:r>
      <w:r w:rsidRPr="0012173A">
        <w:rPr>
          <w:rFonts w:cs="Simplified Arabic"/>
          <w:sz w:val="20"/>
          <w:szCs w:val="20"/>
          <w:rtl/>
        </w:rPr>
        <w:t>1967.</w:t>
      </w:r>
    </w:p>
    <w:p w:rsidR="007744D1" w:rsidRDefault="007744D1" w:rsidP="007744D1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  <w:bookmarkStart w:id="1" w:name="OLE_LINK7"/>
      <w:bookmarkStart w:id="2" w:name="OLE_LINK8"/>
      <w:r w:rsidRPr="0012173A">
        <w:rPr>
          <w:rFonts w:cs="Simplified Arabic" w:hint="cs"/>
          <w:rtl/>
        </w:rPr>
        <w:t>**</w:t>
      </w:r>
      <w:r w:rsidRPr="0012173A">
        <w:rPr>
          <w:rFonts w:cs="Simplified Arabic" w:hint="cs"/>
          <w:sz w:val="20"/>
          <w:szCs w:val="20"/>
          <w:rtl/>
        </w:rPr>
        <w:t xml:space="preserve">البيانات </w:t>
      </w:r>
      <w:r w:rsidRPr="0012173A">
        <w:rPr>
          <w:rFonts w:cs="Simplified Arabic"/>
          <w:sz w:val="20"/>
          <w:szCs w:val="20"/>
          <w:rtl/>
        </w:rPr>
        <w:t>لا</w:t>
      </w:r>
      <w:r w:rsidRPr="0012173A">
        <w:rPr>
          <w:rFonts w:cs="Simplified Arabic" w:hint="cs"/>
          <w:sz w:val="20"/>
          <w:szCs w:val="20"/>
          <w:rtl/>
        </w:rPr>
        <w:t xml:space="preserve"> </w:t>
      </w:r>
      <w:bookmarkEnd w:id="1"/>
      <w:bookmarkEnd w:id="2"/>
      <w:r w:rsidRPr="0012173A">
        <w:rPr>
          <w:rFonts w:cs="Simplified Arabic" w:hint="cs"/>
          <w:sz w:val="20"/>
          <w:szCs w:val="20"/>
          <w:rtl/>
        </w:rPr>
        <w:t xml:space="preserve">تشمل </w:t>
      </w:r>
      <w:r w:rsidRPr="0012173A">
        <w:rPr>
          <w:rFonts w:cs="Simplified Arabic"/>
          <w:sz w:val="20"/>
          <w:szCs w:val="20"/>
          <w:rtl/>
        </w:rPr>
        <w:t xml:space="preserve">ذلك الجزء من محافظة القدس </w:t>
      </w:r>
      <w:r w:rsidRPr="0012173A">
        <w:rPr>
          <w:rFonts w:cs="Simplified Arabic" w:hint="cs"/>
          <w:sz w:val="20"/>
          <w:szCs w:val="20"/>
          <w:rtl/>
        </w:rPr>
        <w:t>و</w:t>
      </w:r>
      <w:r w:rsidRPr="0012173A">
        <w:rPr>
          <w:rFonts w:cs="Simplified Arabic"/>
          <w:sz w:val="20"/>
          <w:szCs w:val="20"/>
          <w:rtl/>
        </w:rPr>
        <w:t>الذي ضم</w:t>
      </w:r>
      <w:r w:rsidRPr="0012173A">
        <w:rPr>
          <w:rFonts w:cs="Simplified Arabic" w:hint="cs"/>
          <w:sz w:val="20"/>
          <w:szCs w:val="20"/>
          <w:rtl/>
        </w:rPr>
        <w:t>ه الاحتلال</w:t>
      </w:r>
      <w:r w:rsidRPr="0012173A">
        <w:rPr>
          <w:rFonts w:cs="Simplified Arabic"/>
          <w:sz w:val="20"/>
          <w:szCs w:val="20"/>
          <w:rtl/>
        </w:rPr>
        <w:t xml:space="preserve"> </w:t>
      </w:r>
      <w:r w:rsidRPr="0012173A">
        <w:rPr>
          <w:rFonts w:cs="Simplified Arabic" w:hint="cs"/>
          <w:sz w:val="20"/>
          <w:szCs w:val="20"/>
          <w:rtl/>
        </w:rPr>
        <w:t>الإسرائيلي</w:t>
      </w:r>
      <w:r w:rsidRPr="0012173A">
        <w:rPr>
          <w:rFonts w:cs="Simplified Arabic"/>
          <w:sz w:val="20"/>
          <w:szCs w:val="20"/>
          <w:rtl/>
        </w:rPr>
        <w:t xml:space="preserve"> </w:t>
      </w:r>
      <w:r w:rsidRPr="0012173A">
        <w:rPr>
          <w:rFonts w:cs="Simplified Arabic" w:hint="cs"/>
          <w:sz w:val="20"/>
          <w:szCs w:val="20"/>
          <w:rtl/>
        </w:rPr>
        <w:t xml:space="preserve">إليه </w:t>
      </w:r>
      <w:r w:rsidRPr="0012173A">
        <w:rPr>
          <w:rFonts w:cs="Simplified Arabic"/>
          <w:sz w:val="20"/>
          <w:szCs w:val="20"/>
          <w:rtl/>
        </w:rPr>
        <w:t>عنوة بعيد احتلاله للضفة الغربية عام</w:t>
      </w:r>
      <w:r w:rsidRPr="0012173A">
        <w:rPr>
          <w:rFonts w:cs="Simplified Arabic" w:hint="cs"/>
          <w:sz w:val="20"/>
          <w:szCs w:val="20"/>
          <w:rtl/>
        </w:rPr>
        <w:t xml:space="preserve"> </w:t>
      </w:r>
      <w:r w:rsidRPr="0012173A">
        <w:rPr>
          <w:rFonts w:cs="Simplified Arabic"/>
          <w:sz w:val="20"/>
          <w:szCs w:val="20"/>
          <w:rtl/>
        </w:rPr>
        <w:t>1967.</w:t>
      </w:r>
    </w:p>
    <w:p w:rsidR="009E7775" w:rsidRDefault="009E7775" w:rsidP="007744D1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</w:p>
    <w:p w:rsidR="0005399E" w:rsidRDefault="0005399E" w:rsidP="00DD3E23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  <w:r w:rsidRPr="000F6B9A">
        <w:rPr>
          <w:rFonts w:cs="Simplified Arabic"/>
          <w:sz w:val="20"/>
          <w:szCs w:val="20"/>
          <w:rtl/>
        </w:rPr>
        <w:t>تم استخدام الشي</w:t>
      </w:r>
      <w:r w:rsidRPr="000F6B9A">
        <w:rPr>
          <w:rFonts w:cs="Simplified Arabic" w:hint="cs"/>
          <w:sz w:val="20"/>
          <w:szCs w:val="20"/>
          <w:rtl/>
        </w:rPr>
        <w:t>ق</w:t>
      </w:r>
      <w:r w:rsidRPr="000F6B9A">
        <w:rPr>
          <w:rFonts w:cs="Simplified Arabic"/>
          <w:sz w:val="20"/>
          <w:szCs w:val="20"/>
          <w:rtl/>
        </w:rPr>
        <w:t xml:space="preserve">ل الإسرائيلي في تسعير السلع والخدمات. وقد بلغ </w:t>
      </w:r>
      <w:r w:rsidRPr="000F6B9A">
        <w:rPr>
          <w:rFonts w:cs="Simplified Arabic" w:hint="cs"/>
          <w:sz w:val="20"/>
          <w:szCs w:val="20"/>
          <w:rtl/>
        </w:rPr>
        <w:t xml:space="preserve">المعدل </w:t>
      </w:r>
      <w:r>
        <w:rPr>
          <w:rFonts w:cs="Simplified Arabic" w:hint="cs"/>
          <w:sz w:val="20"/>
          <w:szCs w:val="20"/>
          <w:rtl/>
        </w:rPr>
        <w:t>السنوي</w:t>
      </w:r>
      <w:r w:rsidRPr="000F6B9A">
        <w:rPr>
          <w:rFonts w:cs="Simplified Arabic" w:hint="cs"/>
          <w:sz w:val="20"/>
          <w:szCs w:val="20"/>
          <w:rtl/>
        </w:rPr>
        <w:t xml:space="preserve"> ل</w:t>
      </w:r>
      <w:r w:rsidRPr="000F6B9A">
        <w:rPr>
          <w:rFonts w:cs="Simplified Arabic"/>
          <w:sz w:val="20"/>
          <w:szCs w:val="20"/>
          <w:rtl/>
        </w:rPr>
        <w:t>سعر صرف الدولار</w:t>
      </w:r>
      <w:r w:rsidRPr="000F6B9A">
        <w:rPr>
          <w:rFonts w:cs="Simplified Arabic" w:hint="cs"/>
          <w:sz w:val="20"/>
          <w:szCs w:val="20"/>
          <w:rtl/>
        </w:rPr>
        <w:t xml:space="preserve"> الأمريكي </w:t>
      </w:r>
      <w:r w:rsidRPr="000F6B9A">
        <w:rPr>
          <w:rFonts w:cs="Simplified Arabic"/>
          <w:sz w:val="20"/>
          <w:szCs w:val="20"/>
          <w:rtl/>
        </w:rPr>
        <w:t>مقاب</w:t>
      </w:r>
      <w:r w:rsidRPr="0005399E">
        <w:rPr>
          <w:rFonts w:cs="Simplified Arabic"/>
          <w:sz w:val="20"/>
          <w:szCs w:val="20"/>
          <w:rtl/>
        </w:rPr>
        <w:t>ل الشي</w:t>
      </w:r>
      <w:r w:rsidRPr="0005399E">
        <w:rPr>
          <w:rFonts w:cs="Simplified Arabic" w:hint="cs"/>
          <w:sz w:val="20"/>
          <w:szCs w:val="20"/>
          <w:rtl/>
        </w:rPr>
        <w:t>ق</w:t>
      </w:r>
      <w:r w:rsidRPr="0005399E">
        <w:rPr>
          <w:rFonts w:cs="Simplified Arabic"/>
          <w:sz w:val="20"/>
          <w:szCs w:val="20"/>
          <w:rtl/>
        </w:rPr>
        <w:t>ل</w:t>
      </w:r>
      <w:r w:rsidRPr="0005399E">
        <w:rPr>
          <w:rFonts w:cs="Simplified Arabic" w:hint="cs"/>
          <w:sz w:val="20"/>
          <w:szCs w:val="20"/>
          <w:rtl/>
        </w:rPr>
        <w:t xml:space="preserve"> للعام </w:t>
      </w:r>
      <w:r w:rsidR="002A170C">
        <w:rPr>
          <w:rFonts w:cs="Simplified Arabic" w:hint="cs"/>
          <w:sz w:val="20"/>
          <w:szCs w:val="20"/>
          <w:rtl/>
        </w:rPr>
        <w:t>2025</w:t>
      </w:r>
      <w:r w:rsidRPr="0005399E">
        <w:rPr>
          <w:rFonts w:cs="Simplified Arabic" w:hint="cs"/>
          <w:sz w:val="20"/>
          <w:szCs w:val="20"/>
          <w:rtl/>
        </w:rPr>
        <w:t xml:space="preserve"> (</w:t>
      </w:r>
      <w:r w:rsidR="00176953">
        <w:rPr>
          <w:rFonts w:cs="Simplified Arabic" w:hint="cs"/>
          <w:sz w:val="20"/>
          <w:szCs w:val="20"/>
          <w:rtl/>
        </w:rPr>
        <w:t>3.</w:t>
      </w:r>
      <w:r w:rsidR="00DD3E23">
        <w:rPr>
          <w:rFonts w:cs="Simplified Arabic" w:hint="cs"/>
          <w:sz w:val="20"/>
          <w:szCs w:val="20"/>
          <w:rtl/>
        </w:rPr>
        <w:t>45</w:t>
      </w:r>
      <w:r w:rsidRPr="0005399E">
        <w:rPr>
          <w:rFonts w:cs="Simplified Arabic" w:hint="cs"/>
          <w:sz w:val="20"/>
          <w:szCs w:val="20"/>
          <w:rtl/>
        </w:rPr>
        <w:t xml:space="preserve"> شيقل/دولار).</w:t>
      </w:r>
    </w:p>
    <w:p w:rsidR="009E7775" w:rsidRDefault="009E7775" w:rsidP="00176953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</w:p>
    <w:p w:rsidR="00DE44BA" w:rsidRDefault="00DE44BA" w:rsidP="002A170C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  <w:r>
        <w:rPr>
          <w:rFonts w:cs="Simplified Arabic" w:hint="cs"/>
          <w:sz w:val="20"/>
          <w:szCs w:val="20"/>
          <w:rtl/>
        </w:rPr>
        <w:t xml:space="preserve">تم جمع بيانات العام </w:t>
      </w:r>
      <w:r w:rsidR="002A170C">
        <w:rPr>
          <w:rFonts w:cs="Simplified Arabic" w:hint="cs"/>
          <w:sz w:val="20"/>
          <w:szCs w:val="20"/>
          <w:rtl/>
        </w:rPr>
        <w:t>2025</w:t>
      </w:r>
      <w:r>
        <w:rPr>
          <w:rFonts w:cs="Simplified Arabic" w:hint="cs"/>
          <w:sz w:val="20"/>
          <w:szCs w:val="20"/>
          <w:rtl/>
        </w:rPr>
        <w:t xml:space="preserve"> لقطاع غزة من خلال التواصل الهاتفي المباشر من قبل إدارة المشروع مع الباحثين الميدانيين في القطاع وتسجيل الأسعار </w:t>
      </w:r>
      <w:r w:rsidRPr="003B2B48">
        <w:rPr>
          <w:rFonts w:cs="Simplified Arabic" w:hint="cs"/>
          <w:sz w:val="20"/>
          <w:szCs w:val="20"/>
          <w:rtl/>
        </w:rPr>
        <w:t xml:space="preserve">للسلع الأساسية </w:t>
      </w:r>
      <w:r>
        <w:rPr>
          <w:rFonts w:cs="Simplified Arabic" w:hint="cs"/>
          <w:sz w:val="20"/>
          <w:szCs w:val="20"/>
          <w:rtl/>
        </w:rPr>
        <w:t>المشتراة من قبلهم و</w:t>
      </w:r>
      <w:r w:rsidRPr="003B2B48">
        <w:rPr>
          <w:rFonts w:cs="Simplified Arabic" w:hint="cs"/>
          <w:sz w:val="20"/>
          <w:szCs w:val="20"/>
          <w:rtl/>
        </w:rPr>
        <w:t xml:space="preserve">ذات الأهمية النسبية المرتفعة ضمن مجموعات الإنفاق الرئيسية في الرقم القياسي لأسعار المستهلك </w:t>
      </w:r>
      <w:r>
        <w:rPr>
          <w:rFonts w:cs="Simplified Arabic" w:hint="cs"/>
          <w:sz w:val="20"/>
          <w:szCs w:val="20"/>
          <w:rtl/>
        </w:rPr>
        <w:t xml:space="preserve">وذلك بسبب </w:t>
      </w:r>
      <w:r w:rsidRPr="003B2B48">
        <w:rPr>
          <w:rFonts w:cs="Simplified Arabic" w:hint="cs"/>
          <w:sz w:val="20"/>
          <w:szCs w:val="20"/>
          <w:rtl/>
        </w:rPr>
        <w:t xml:space="preserve">عدوان </w:t>
      </w:r>
      <w:r>
        <w:rPr>
          <w:rFonts w:cs="Simplified Arabic" w:hint="cs"/>
          <w:sz w:val="20"/>
          <w:szCs w:val="20"/>
          <w:rtl/>
        </w:rPr>
        <w:t xml:space="preserve">الاحتلال </w:t>
      </w:r>
      <w:r w:rsidRPr="003B2B48">
        <w:rPr>
          <w:rFonts w:cs="Simplified Arabic" w:hint="cs"/>
          <w:sz w:val="20"/>
          <w:szCs w:val="20"/>
          <w:rtl/>
        </w:rPr>
        <w:t xml:space="preserve">الإسرائيلي على قطاع غزة </w:t>
      </w:r>
      <w:r>
        <w:rPr>
          <w:rFonts w:cs="Simplified Arabic" w:hint="cs"/>
          <w:sz w:val="20"/>
          <w:szCs w:val="20"/>
          <w:rtl/>
        </w:rPr>
        <w:t>منذ السابع من أكتوبر</w:t>
      </w:r>
      <w:r w:rsidRPr="003B2B48">
        <w:rPr>
          <w:rFonts w:cs="Simplified Arabic" w:hint="cs"/>
          <w:sz w:val="20"/>
          <w:szCs w:val="20"/>
          <w:rtl/>
        </w:rPr>
        <w:t xml:space="preserve"> 2023.</w:t>
      </w:r>
    </w:p>
    <w:p w:rsidR="009E7775" w:rsidRDefault="009E7775" w:rsidP="00AD1D99">
      <w:pPr>
        <w:pStyle w:val="BodyText2"/>
        <w:spacing w:after="0" w:line="240" w:lineRule="auto"/>
        <w:jc w:val="both"/>
        <w:rPr>
          <w:rFonts w:cs="Simplified Arabic"/>
          <w:sz w:val="20"/>
          <w:szCs w:val="20"/>
          <w:rtl/>
        </w:rPr>
      </w:pPr>
    </w:p>
    <w:p w:rsidR="00DE44BA" w:rsidRPr="000E2B44" w:rsidRDefault="000E2B44" w:rsidP="00DE44BA">
      <w:pPr>
        <w:pStyle w:val="BodyText2"/>
        <w:spacing w:after="0" w:line="240" w:lineRule="auto"/>
        <w:ind w:left="-1"/>
        <w:jc w:val="both"/>
        <w:rPr>
          <w:rFonts w:cs="Simplified Arabic" w:hint="cs"/>
          <w:sz w:val="20"/>
          <w:szCs w:val="20"/>
          <w:rtl/>
          <w:lang w:val="en-US"/>
        </w:rPr>
      </w:pPr>
      <w:r>
        <w:rPr>
          <w:rFonts w:cs="Simplified Arabic" w:hint="cs"/>
          <w:sz w:val="20"/>
          <w:szCs w:val="20"/>
          <w:rtl/>
        </w:rPr>
        <w:t xml:space="preserve">مؤشر غلاء المعيشة لفلسطين موزون بحسب نسب إنفاق واستهلاك الاسر للعام 2016 </w:t>
      </w:r>
      <w:r>
        <w:rPr>
          <w:rFonts w:cs="Simplified Arabic"/>
          <w:sz w:val="20"/>
          <w:szCs w:val="20"/>
          <w:rtl/>
        </w:rPr>
        <w:t>–</w:t>
      </w:r>
      <w:r>
        <w:rPr>
          <w:rFonts w:cs="Simplified Arabic" w:hint="cs"/>
          <w:sz w:val="20"/>
          <w:szCs w:val="20"/>
          <w:rtl/>
        </w:rPr>
        <w:t xml:space="preserve"> 2017 على مستوى المناطق الفلسطينية ك</w:t>
      </w:r>
      <w:r w:rsidR="00472E19">
        <w:rPr>
          <w:rFonts w:cs="Simplified Arabic" w:hint="cs"/>
          <w:sz w:val="20"/>
          <w:szCs w:val="20"/>
          <w:rtl/>
        </w:rPr>
        <w:t>الاتي؛ (0.66</w:t>
      </w:r>
      <w:r w:rsidR="002A0254">
        <w:rPr>
          <w:rFonts w:cs="Simplified Arabic" w:hint="cs"/>
          <w:sz w:val="20"/>
          <w:szCs w:val="20"/>
          <w:rtl/>
        </w:rPr>
        <w:t>%</w:t>
      </w:r>
      <w:r w:rsidR="00AD1D99">
        <w:rPr>
          <w:rFonts w:cs="Simplified Arabic" w:hint="cs"/>
          <w:sz w:val="20"/>
          <w:szCs w:val="20"/>
          <w:rtl/>
        </w:rPr>
        <w:t xml:space="preserve"> للضفة الغربية**، و</w:t>
      </w:r>
      <w:r>
        <w:rPr>
          <w:rFonts w:cs="Simplified Arabic" w:hint="cs"/>
          <w:sz w:val="20"/>
          <w:szCs w:val="20"/>
          <w:rtl/>
        </w:rPr>
        <w:t>0.21</w:t>
      </w:r>
      <w:r w:rsidR="002A0254">
        <w:rPr>
          <w:rFonts w:cs="Simplified Arabic" w:hint="cs"/>
          <w:sz w:val="20"/>
          <w:szCs w:val="20"/>
          <w:rtl/>
        </w:rPr>
        <w:t>%</w:t>
      </w:r>
      <w:r w:rsidR="00AD1D99">
        <w:rPr>
          <w:rFonts w:cs="Simplified Arabic" w:hint="cs"/>
          <w:sz w:val="20"/>
          <w:szCs w:val="20"/>
          <w:rtl/>
        </w:rPr>
        <w:t xml:space="preserve"> لقطاع غزة، و</w:t>
      </w:r>
      <w:r>
        <w:rPr>
          <w:rFonts w:cs="Simplified Arabic" w:hint="cs"/>
          <w:sz w:val="20"/>
          <w:szCs w:val="20"/>
          <w:rtl/>
        </w:rPr>
        <w:t>0.13</w:t>
      </w:r>
      <w:r w:rsidR="002A0254">
        <w:rPr>
          <w:rFonts w:cs="Simplified Arabic" w:hint="cs"/>
          <w:sz w:val="20"/>
          <w:szCs w:val="20"/>
          <w:rtl/>
        </w:rPr>
        <w:t>%</w:t>
      </w:r>
      <w:r>
        <w:rPr>
          <w:rFonts w:cs="Simplified Arabic" w:hint="cs"/>
          <w:sz w:val="20"/>
          <w:szCs w:val="20"/>
          <w:rtl/>
        </w:rPr>
        <w:t xml:space="preserve"> للقدس </w:t>
      </w:r>
      <w:r>
        <w:rPr>
          <w:rFonts w:cs="Simplified Arabic"/>
          <w:sz w:val="20"/>
          <w:szCs w:val="20"/>
          <w:lang w:val="en-US"/>
        </w:rPr>
        <w:t>J1</w:t>
      </w:r>
      <w:r>
        <w:rPr>
          <w:rFonts w:cs="Simplified Arabic" w:hint="cs"/>
          <w:sz w:val="20"/>
          <w:szCs w:val="20"/>
          <w:rtl/>
          <w:lang w:val="en-US"/>
        </w:rPr>
        <w:t>*).</w:t>
      </w:r>
    </w:p>
    <w:p w:rsidR="00512E8D" w:rsidRPr="00446E13" w:rsidRDefault="00512E8D" w:rsidP="00512E8D">
      <w:pPr>
        <w:pStyle w:val="BodyText2"/>
        <w:spacing w:after="0" w:line="240" w:lineRule="auto"/>
        <w:jc w:val="both"/>
        <w:rPr>
          <w:rFonts w:cs="Simplified Arabic"/>
          <w:sz w:val="8"/>
          <w:szCs w:val="8"/>
          <w:rtl/>
        </w:rPr>
      </w:pPr>
    </w:p>
    <w:p w:rsidR="009E2AC1" w:rsidRPr="007744D1" w:rsidRDefault="009E2AC1" w:rsidP="00E87B5C">
      <w:pPr>
        <w:pStyle w:val="BodyText2"/>
        <w:spacing w:after="0" w:line="240" w:lineRule="auto"/>
        <w:jc w:val="both"/>
        <w:rPr>
          <w:rFonts w:cs="Simplified Arabic" w:hint="cs"/>
          <w:b/>
          <w:bCs/>
          <w:sz w:val="20"/>
          <w:szCs w:val="20"/>
          <w:rtl/>
          <w:lang w:val="en-US"/>
        </w:rPr>
      </w:pPr>
    </w:p>
    <w:sectPr w:rsidR="009E2AC1" w:rsidRPr="007744D1" w:rsidSect="00CC08A8">
      <w:footerReference w:type="even" r:id="rId11"/>
      <w:footerReference w:type="default" r:id="rId12"/>
      <w:pgSz w:w="11907" w:h="16840" w:code="9"/>
      <w:pgMar w:top="1134" w:right="851" w:bottom="567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3F3" w:rsidRDefault="007203F3">
      <w:r>
        <w:separator/>
      </w:r>
    </w:p>
  </w:endnote>
  <w:endnote w:type="continuationSeparator" w:id="0">
    <w:p w:rsidR="007203F3" w:rsidRDefault="0072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A63" w:rsidRDefault="002A7A63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A7A63" w:rsidRDefault="002A7A63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A63" w:rsidRDefault="002A7A6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0D66">
      <w:rPr>
        <w:noProof/>
        <w:rtl/>
      </w:rPr>
      <w:t>5</w:t>
    </w:r>
    <w:r>
      <w:fldChar w:fldCharType="end"/>
    </w:r>
  </w:p>
  <w:p w:rsidR="002A7A63" w:rsidRDefault="002A7A63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3F3" w:rsidRDefault="007203F3">
      <w:r>
        <w:separator/>
      </w:r>
    </w:p>
  </w:footnote>
  <w:footnote w:type="continuationSeparator" w:id="0">
    <w:p w:rsidR="007203F3" w:rsidRDefault="00720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7CB"/>
    <w:rsid w:val="0000614B"/>
    <w:rsid w:val="00006306"/>
    <w:rsid w:val="00006763"/>
    <w:rsid w:val="0001067D"/>
    <w:rsid w:val="00010ECE"/>
    <w:rsid w:val="0001352C"/>
    <w:rsid w:val="0001358B"/>
    <w:rsid w:val="00013896"/>
    <w:rsid w:val="00013F45"/>
    <w:rsid w:val="0001407E"/>
    <w:rsid w:val="0001574B"/>
    <w:rsid w:val="000178A7"/>
    <w:rsid w:val="000203D8"/>
    <w:rsid w:val="00020C50"/>
    <w:rsid w:val="000236DC"/>
    <w:rsid w:val="0002696E"/>
    <w:rsid w:val="0002776B"/>
    <w:rsid w:val="00027EE9"/>
    <w:rsid w:val="00031BFA"/>
    <w:rsid w:val="00035419"/>
    <w:rsid w:val="0003558C"/>
    <w:rsid w:val="000375D1"/>
    <w:rsid w:val="00040080"/>
    <w:rsid w:val="000401EF"/>
    <w:rsid w:val="0004115C"/>
    <w:rsid w:val="00042B6E"/>
    <w:rsid w:val="00042D93"/>
    <w:rsid w:val="000459AE"/>
    <w:rsid w:val="000462AD"/>
    <w:rsid w:val="00050809"/>
    <w:rsid w:val="00051412"/>
    <w:rsid w:val="000517B6"/>
    <w:rsid w:val="0005399E"/>
    <w:rsid w:val="0005409F"/>
    <w:rsid w:val="00055BF4"/>
    <w:rsid w:val="000568F4"/>
    <w:rsid w:val="000578B6"/>
    <w:rsid w:val="00060589"/>
    <w:rsid w:val="00062F37"/>
    <w:rsid w:val="000632C3"/>
    <w:rsid w:val="000642E7"/>
    <w:rsid w:val="000643EC"/>
    <w:rsid w:val="0006539C"/>
    <w:rsid w:val="00066015"/>
    <w:rsid w:val="00066231"/>
    <w:rsid w:val="00070970"/>
    <w:rsid w:val="00070AD1"/>
    <w:rsid w:val="00071362"/>
    <w:rsid w:val="0007161C"/>
    <w:rsid w:val="00071DBF"/>
    <w:rsid w:val="000722A3"/>
    <w:rsid w:val="00074D1F"/>
    <w:rsid w:val="000766B6"/>
    <w:rsid w:val="00077188"/>
    <w:rsid w:val="00077269"/>
    <w:rsid w:val="0008020D"/>
    <w:rsid w:val="00080277"/>
    <w:rsid w:val="00080B3E"/>
    <w:rsid w:val="00082130"/>
    <w:rsid w:val="000826DA"/>
    <w:rsid w:val="00083C8C"/>
    <w:rsid w:val="00083E3B"/>
    <w:rsid w:val="00084BEA"/>
    <w:rsid w:val="000866FA"/>
    <w:rsid w:val="00086787"/>
    <w:rsid w:val="00086933"/>
    <w:rsid w:val="00086A4F"/>
    <w:rsid w:val="00086CCE"/>
    <w:rsid w:val="00086FE0"/>
    <w:rsid w:val="00087CA8"/>
    <w:rsid w:val="00087D3E"/>
    <w:rsid w:val="000901F8"/>
    <w:rsid w:val="000924DF"/>
    <w:rsid w:val="000928AB"/>
    <w:rsid w:val="000934C0"/>
    <w:rsid w:val="000934FC"/>
    <w:rsid w:val="00093A01"/>
    <w:rsid w:val="00093F95"/>
    <w:rsid w:val="00095E76"/>
    <w:rsid w:val="000968B1"/>
    <w:rsid w:val="00096B23"/>
    <w:rsid w:val="00096BD5"/>
    <w:rsid w:val="000A0EAC"/>
    <w:rsid w:val="000A2FA2"/>
    <w:rsid w:val="000A3E1F"/>
    <w:rsid w:val="000A4168"/>
    <w:rsid w:val="000A4D7D"/>
    <w:rsid w:val="000A67F5"/>
    <w:rsid w:val="000A7C05"/>
    <w:rsid w:val="000B1B35"/>
    <w:rsid w:val="000B1B86"/>
    <w:rsid w:val="000B1E7D"/>
    <w:rsid w:val="000B43D2"/>
    <w:rsid w:val="000B475C"/>
    <w:rsid w:val="000B5242"/>
    <w:rsid w:val="000B6038"/>
    <w:rsid w:val="000C1039"/>
    <w:rsid w:val="000C1C82"/>
    <w:rsid w:val="000C1F3D"/>
    <w:rsid w:val="000C2D03"/>
    <w:rsid w:val="000C2DC0"/>
    <w:rsid w:val="000C3846"/>
    <w:rsid w:val="000C3E34"/>
    <w:rsid w:val="000C525D"/>
    <w:rsid w:val="000C662B"/>
    <w:rsid w:val="000C6793"/>
    <w:rsid w:val="000C710C"/>
    <w:rsid w:val="000C7956"/>
    <w:rsid w:val="000D2548"/>
    <w:rsid w:val="000D3465"/>
    <w:rsid w:val="000D520E"/>
    <w:rsid w:val="000D52B3"/>
    <w:rsid w:val="000D612C"/>
    <w:rsid w:val="000D7ED4"/>
    <w:rsid w:val="000E0B85"/>
    <w:rsid w:val="000E0FEF"/>
    <w:rsid w:val="000E1BAC"/>
    <w:rsid w:val="000E2B44"/>
    <w:rsid w:val="000E30E3"/>
    <w:rsid w:val="000E3C80"/>
    <w:rsid w:val="000E4177"/>
    <w:rsid w:val="000E4B82"/>
    <w:rsid w:val="000E4BBF"/>
    <w:rsid w:val="000E4E0D"/>
    <w:rsid w:val="000E7D2B"/>
    <w:rsid w:val="000E7E44"/>
    <w:rsid w:val="000F0AC4"/>
    <w:rsid w:val="000F1BCE"/>
    <w:rsid w:val="000F2FB5"/>
    <w:rsid w:val="000F4F63"/>
    <w:rsid w:val="000F58A2"/>
    <w:rsid w:val="000F5EAD"/>
    <w:rsid w:val="000F6C0C"/>
    <w:rsid w:val="000F732D"/>
    <w:rsid w:val="0010000E"/>
    <w:rsid w:val="00100A6F"/>
    <w:rsid w:val="00101F0E"/>
    <w:rsid w:val="001035EB"/>
    <w:rsid w:val="00105A85"/>
    <w:rsid w:val="00105E29"/>
    <w:rsid w:val="0010797D"/>
    <w:rsid w:val="00110C8C"/>
    <w:rsid w:val="00111139"/>
    <w:rsid w:val="0011367B"/>
    <w:rsid w:val="00113B22"/>
    <w:rsid w:val="00115879"/>
    <w:rsid w:val="00115951"/>
    <w:rsid w:val="00115BDD"/>
    <w:rsid w:val="00116447"/>
    <w:rsid w:val="00116C7D"/>
    <w:rsid w:val="00120119"/>
    <w:rsid w:val="00120A02"/>
    <w:rsid w:val="00121990"/>
    <w:rsid w:val="00121AEE"/>
    <w:rsid w:val="00121BCD"/>
    <w:rsid w:val="00122ADD"/>
    <w:rsid w:val="00122EDB"/>
    <w:rsid w:val="00122FC7"/>
    <w:rsid w:val="001236E6"/>
    <w:rsid w:val="00123D8D"/>
    <w:rsid w:val="001245A3"/>
    <w:rsid w:val="00124D0B"/>
    <w:rsid w:val="00124E6D"/>
    <w:rsid w:val="001256E9"/>
    <w:rsid w:val="00125A87"/>
    <w:rsid w:val="0012672E"/>
    <w:rsid w:val="0012726A"/>
    <w:rsid w:val="0012784F"/>
    <w:rsid w:val="00131C9F"/>
    <w:rsid w:val="00131FF7"/>
    <w:rsid w:val="00132C19"/>
    <w:rsid w:val="00133B30"/>
    <w:rsid w:val="001348FC"/>
    <w:rsid w:val="001355A5"/>
    <w:rsid w:val="00135694"/>
    <w:rsid w:val="00135C91"/>
    <w:rsid w:val="0013707E"/>
    <w:rsid w:val="001403EB"/>
    <w:rsid w:val="001407AF"/>
    <w:rsid w:val="00140D98"/>
    <w:rsid w:val="00140DAD"/>
    <w:rsid w:val="001410D7"/>
    <w:rsid w:val="00141E2F"/>
    <w:rsid w:val="00144AA1"/>
    <w:rsid w:val="00144E3C"/>
    <w:rsid w:val="00147041"/>
    <w:rsid w:val="0014791D"/>
    <w:rsid w:val="00150C49"/>
    <w:rsid w:val="00151251"/>
    <w:rsid w:val="00151290"/>
    <w:rsid w:val="001515E6"/>
    <w:rsid w:val="001530F6"/>
    <w:rsid w:val="00153F02"/>
    <w:rsid w:val="00154060"/>
    <w:rsid w:val="001548AB"/>
    <w:rsid w:val="00155443"/>
    <w:rsid w:val="00155B61"/>
    <w:rsid w:val="00155E5A"/>
    <w:rsid w:val="00156A9D"/>
    <w:rsid w:val="00156B98"/>
    <w:rsid w:val="00156DCB"/>
    <w:rsid w:val="00156ED5"/>
    <w:rsid w:val="00157DBC"/>
    <w:rsid w:val="001609C1"/>
    <w:rsid w:val="001617C7"/>
    <w:rsid w:val="00161B7C"/>
    <w:rsid w:val="00161BD5"/>
    <w:rsid w:val="001648E5"/>
    <w:rsid w:val="00164C88"/>
    <w:rsid w:val="00164E99"/>
    <w:rsid w:val="001657A1"/>
    <w:rsid w:val="00166453"/>
    <w:rsid w:val="00166B4E"/>
    <w:rsid w:val="00167E22"/>
    <w:rsid w:val="00170EA3"/>
    <w:rsid w:val="00171D3A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76953"/>
    <w:rsid w:val="0017721E"/>
    <w:rsid w:val="00177A86"/>
    <w:rsid w:val="0018035A"/>
    <w:rsid w:val="00181B11"/>
    <w:rsid w:val="00181E5D"/>
    <w:rsid w:val="001836FD"/>
    <w:rsid w:val="001844F7"/>
    <w:rsid w:val="00185B15"/>
    <w:rsid w:val="001901E2"/>
    <w:rsid w:val="00192D2B"/>
    <w:rsid w:val="00193557"/>
    <w:rsid w:val="001941C1"/>
    <w:rsid w:val="00194640"/>
    <w:rsid w:val="00194CAC"/>
    <w:rsid w:val="00194DCF"/>
    <w:rsid w:val="00194E5F"/>
    <w:rsid w:val="00194EC3"/>
    <w:rsid w:val="001952D4"/>
    <w:rsid w:val="00195C2D"/>
    <w:rsid w:val="001970D4"/>
    <w:rsid w:val="001A0A69"/>
    <w:rsid w:val="001A1AA8"/>
    <w:rsid w:val="001A308B"/>
    <w:rsid w:val="001A398C"/>
    <w:rsid w:val="001A5006"/>
    <w:rsid w:val="001A5A9D"/>
    <w:rsid w:val="001A5BFE"/>
    <w:rsid w:val="001A628B"/>
    <w:rsid w:val="001A717E"/>
    <w:rsid w:val="001B100A"/>
    <w:rsid w:val="001B12A3"/>
    <w:rsid w:val="001B141E"/>
    <w:rsid w:val="001B1FC8"/>
    <w:rsid w:val="001B260F"/>
    <w:rsid w:val="001B29F9"/>
    <w:rsid w:val="001B2E16"/>
    <w:rsid w:val="001B2F63"/>
    <w:rsid w:val="001B331F"/>
    <w:rsid w:val="001B4E13"/>
    <w:rsid w:val="001B5E6B"/>
    <w:rsid w:val="001B62AE"/>
    <w:rsid w:val="001B7096"/>
    <w:rsid w:val="001C01BB"/>
    <w:rsid w:val="001C0242"/>
    <w:rsid w:val="001C0E94"/>
    <w:rsid w:val="001C0F1F"/>
    <w:rsid w:val="001C1E28"/>
    <w:rsid w:val="001C31F2"/>
    <w:rsid w:val="001C645C"/>
    <w:rsid w:val="001C6AF5"/>
    <w:rsid w:val="001C75B8"/>
    <w:rsid w:val="001D00EB"/>
    <w:rsid w:val="001D0268"/>
    <w:rsid w:val="001D0736"/>
    <w:rsid w:val="001D233E"/>
    <w:rsid w:val="001D2E00"/>
    <w:rsid w:val="001D361C"/>
    <w:rsid w:val="001D3D86"/>
    <w:rsid w:val="001D3E58"/>
    <w:rsid w:val="001D45D4"/>
    <w:rsid w:val="001D463C"/>
    <w:rsid w:val="001D5E54"/>
    <w:rsid w:val="001D65D8"/>
    <w:rsid w:val="001D7491"/>
    <w:rsid w:val="001D7E51"/>
    <w:rsid w:val="001D7E65"/>
    <w:rsid w:val="001D7F0C"/>
    <w:rsid w:val="001E027B"/>
    <w:rsid w:val="001E0AF6"/>
    <w:rsid w:val="001E118C"/>
    <w:rsid w:val="001E1281"/>
    <w:rsid w:val="001E16C3"/>
    <w:rsid w:val="001E1A67"/>
    <w:rsid w:val="001E1A6E"/>
    <w:rsid w:val="001E3575"/>
    <w:rsid w:val="001E3E81"/>
    <w:rsid w:val="001E4474"/>
    <w:rsid w:val="001E6154"/>
    <w:rsid w:val="001E73AF"/>
    <w:rsid w:val="001E7512"/>
    <w:rsid w:val="001E7CB9"/>
    <w:rsid w:val="001F02B2"/>
    <w:rsid w:val="001F1B3A"/>
    <w:rsid w:val="001F2BE1"/>
    <w:rsid w:val="001F3D7D"/>
    <w:rsid w:val="001F3D91"/>
    <w:rsid w:val="001F4912"/>
    <w:rsid w:val="00200BC8"/>
    <w:rsid w:val="00200DE0"/>
    <w:rsid w:val="002010B3"/>
    <w:rsid w:val="00201466"/>
    <w:rsid w:val="002059DE"/>
    <w:rsid w:val="00206C0E"/>
    <w:rsid w:val="00207CA9"/>
    <w:rsid w:val="00210B41"/>
    <w:rsid w:val="00210DD0"/>
    <w:rsid w:val="00211365"/>
    <w:rsid w:val="00211E14"/>
    <w:rsid w:val="0021232F"/>
    <w:rsid w:val="00212A22"/>
    <w:rsid w:val="00212F68"/>
    <w:rsid w:val="002138B5"/>
    <w:rsid w:val="00214DF7"/>
    <w:rsid w:val="002151FF"/>
    <w:rsid w:val="0021596C"/>
    <w:rsid w:val="002165DF"/>
    <w:rsid w:val="00217805"/>
    <w:rsid w:val="0022161E"/>
    <w:rsid w:val="00221984"/>
    <w:rsid w:val="0022246B"/>
    <w:rsid w:val="00222E33"/>
    <w:rsid w:val="002259FB"/>
    <w:rsid w:val="002303C0"/>
    <w:rsid w:val="00230831"/>
    <w:rsid w:val="00230B12"/>
    <w:rsid w:val="00233A0A"/>
    <w:rsid w:val="00233FFF"/>
    <w:rsid w:val="002348D0"/>
    <w:rsid w:val="002350EA"/>
    <w:rsid w:val="002359F7"/>
    <w:rsid w:val="00237FD1"/>
    <w:rsid w:val="002415C8"/>
    <w:rsid w:val="002429F9"/>
    <w:rsid w:val="00242B4E"/>
    <w:rsid w:val="00243614"/>
    <w:rsid w:val="0024368D"/>
    <w:rsid w:val="00244547"/>
    <w:rsid w:val="00245D90"/>
    <w:rsid w:val="00245FB9"/>
    <w:rsid w:val="00246405"/>
    <w:rsid w:val="0024675B"/>
    <w:rsid w:val="00246E6E"/>
    <w:rsid w:val="002503D6"/>
    <w:rsid w:val="002510C0"/>
    <w:rsid w:val="0025131B"/>
    <w:rsid w:val="00252355"/>
    <w:rsid w:val="0025250D"/>
    <w:rsid w:val="00252A17"/>
    <w:rsid w:val="00252A65"/>
    <w:rsid w:val="0025334B"/>
    <w:rsid w:val="0025354D"/>
    <w:rsid w:val="002544F2"/>
    <w:rsid w:val="0025450A"/>
    <w:rsid w:val="0025542E"/>
    <w:rsid w:val="00255950"/>
    <w:rsid w:val="00256185"/>
    <w:rsid w:val="00257104"/>
    <w:rsid w:val="00261388"/>
    <w:rsid w:val="002614C4"/>
    <w:rsid w:val="00261720"/>
    <w:rsid w:val="00262077"/>
    <w:rsid w:val="00262952"/>
    <w:rsid w:val="0026330C"/>
    <w:rsid w:val="00263744"/>
    <w:rsid w:val="002639AA"/>
    <w:rsid w:val="002653B6"/>
    <w:rsid w:val="00265EDE"/>
    <w:rsid w:val="00267D6C"/>
    <w:rsid w:val="00272099"/>
    <w:rsid w:val="00275973"/>
    <w:rsid w:val="00275BAE"/>
    <w:rsid w:val="00276A44"/>
    <w:rsid w:val="00276D5A"/>
    <w:rsid w:val="002779B2"/>
    <w:rsid w:val="00277ACB"/>
    <w:rsid w:val="002813D3"/>
    <w:rsid w:val="00283418"/>
    <w:rsid w:val="002843B8"/>
    <w:rsid w:val="00285547"/>
    <w:rsid w:val="00285834"/>
    <w:rsid w:val="00285962"/>
    <w:rsid w:val="00285DF6"/>
    <w:rsid w:val="00286D09"/>
    <w:rsid w:val="0029014D"/>
    <w:rsid w:val="00290ACE"/>
    <w:rsid w:val="002916EA"/>
    <w:rsid w:val="00292191"/>
    <w:rsid w:val="00293C44"/>
    <w:rsid w:val="00294226"/>
    <w:rsid w:val="00296F30"/>
    <w:rsid w:val="00297FDE"/>
    <w:rsid w:val="002A0254"/>
    <w:rsid w:val="002A170C"/>
    <w:rsid w:val="002A1898"/>
    <w:rsid w:val="002A1B84"/>
    <w:rsid w:val="002A26D7"/>
    <w:rsid w:val="002A2C5F"/>
    <w:rsid w:val="002A2FA1"/>
    <w:rsid w:val="002A3F61"/>
    <w:rsid w:val="002A61BC"/>
    <w:rsid w:val="002A74DC"/>
    <w:rsid w:val="002A7995"/>
    <w:rsid w:val="002A7A63"/>
    <w:rsid w:val="002B0D3E"/>
    <w:rsid w:val="002B3E30"/>
    <w:rsid w:val="002B48E4"/>
    <w:rsid w:val="002B5ECD"/>
    <w:rsid w:val="002B6B6A"/>
    <w:rsid w:val="002C0C08"/>
    <w:rsid w:val="002C4E13"/>
    <w:rsid w:val="002C53F6"/>
    <w:rsid w:val="002C5A58"/>
    <w:rsid w:val="002D0283"/>
    <w:rsid w:val="002D09E5"/>
    <w:rsid w:val="002D0D4A"/>
    <w:rsid w:val="002D1600"/>
    <w:rsid w:val="002D1850"/>
    <w:rsid w:val="002D1A27"/>
    <w:rsid w:val="002D2194"/>
    <w:rsid w:val="002D2DC7"/>
    <w:rsid w:val="002D36D8"/>
    <w:rsid w:val="002D3F5B"/>
    <w:rsid w:val="002D49E8"/>
    <w:rsid w:val="002D4A59"/>
    <w:rsid w:val="002D5D70"/>
    <w:rsid w:val="002D6A95"/>
    <w:rsid w:val="002D6F44"/>
    <w:rsid w:val="002D7037"/>
    <w:rsid w:val="002D7928"/>
    <w:rsid w:val="002E0968"/>
    <w:rsid w:val="002E105C"/>
    <w:rsid w:val="002E1987"/>
    <w:rsid w:val="002E256E"/>
    <w:rsid w:val="002E5814"/>
    <w:rsid w:val="002E5CE6"/>
    <w:rsid w:val="002E65D9"/>
    <w:rsid w:val="002E6969"/>
    <w:rsid w:val="002E6C13"/>
    <w:rsid w:val="002F1339"/>
    <w:rsid w:val="002F3813"/>
    <w:rsid w:val="002F4B06"/>
    <w:rsid w:val="002F7117"/>
    <w:rsid w:val="003001F4"/>
    <w:rsid w:val="00301E69"/>
    <w:rsid w:val="00303D06"/>
    <w:rsid w:val="00304449"/>
    <w:rsid w:val="00305E33"/>
    <w:rsid w:val="00306F89"/>
    <w:rsid w:val="00310A93"/>
    <w:rsid w:val="00310B33"/>
    <w:rsid w:val="00310F91"/>
    <w:rsid w:val="00312F0B"/>
    <w:rsid w:val="00314949"/>
    <w:rsid w:val="00314C95"/>
    <w:rsid w:val="00315608"/>
    <w:rsid w:val="00315F83"/>
    <w:rsid w:val="00316C37"/>
    <w:rsid w:val="00320216"/>
    <w:rsid w:val="0032062C"/>
    <w:rsid w:val="00321730"/>
    <w:rsid w:val="003234C4"/>
    <w:rsid w:val="003308D4"/>
    <w:rsid w:val="00331639"/>
    <w:rsid w:val="003334D6"/>
    <w:rsid w:val="00333AE9"/>
    <w:rsid w:val="00334E66"/>
    <w:rsid w:val="003351AA"/>
    <w:rsid w:val="003351D9"/>
    <w:rsid w:val="00335446"/>
    <w:rsid w:val="00335FAF"/>
    <w:rsid w:val="00336B0B"/>
    <w:rsid w:val="003371E7"/>
    <w:rsid w:val="003377DA"/>
    <w:rsid w:val="00337E86"/>
    <w:rsid w:val="00340DEE"/>
    <w:rsid w:val="00340E37"/>
    <w:rsid w:val="00340EC4"/>
    <w:rsid w:val="003423FC"/>
    <w:rsid w:val="003436BB"/>
    <w:rsid w:val="003455EC"/>
    <w:rsid w:val="0034676D"/>
    <w:rsid w:val="003473F1"/>
    <w:rsid w:val="003478FA"/>
    <w:rsid w:val="00347BED"/>
    <w:rsid w:val="00350E9F"/>
    <w:rsid w:val="00350EE3"/>
    <w:rsid w:val="003510BF"/>
    <w:rsid w:val="0035177B"/>
    <w:rsid w:val="003518D4"/>
    <w:rsid w:val="0035488D"/>
    <w:rsid w:val="0035553D"/>
    <w:rsid w:val="00355911"/>
    <w:rsid w:val="00355BD5"/>
    <w:rsid w:val="00356F47"/>
    <w:rsid w:val="0035785D"/>
    <w:rsid w:val="0036068F"/>
    <w:rsid w:val="003609BB"/>
    <w:rsid w:val="00363112"/>
    <w:rsid w:val="003634BA"/>
    <w:rsid w:val="00363E46"/>
    <w:rsid w:val="00364F3A"/>
    <w:rsid w:val="00367C8E"/>
    <w:rsid w:val="003705AE"/>
    <w:rsid w:val="00370C40"/>
    <w:rsid w:val="003713DE"/>
    <w:rsid w:val="00372CDA"/>
    <w:rsid w:val="0037395B"/>
    <w:rsid w:val="00373AEA"/>
    <w:rsid w:val="003740C3"/>
    <w:rsid w:val="0037462A"/>
    <w:rsid w:val="003758FC"/>
    <w:rsid w:val="0038041F"/>
    <w:rsid w:val="00380965"/>
    <w:rsid w:val="003809BF"/>
    <w:rsid w:val="00380E38"/>
    <w:rsid w:val="003821ED"/>
    <w:rsid w:val="0038612C"/>
    <w:rsid w:val="00386A32"/>
    <w:rsid w:val="00387C54"/>
    <w:rsid w:val="0039036E"/>
    <w:rsid w:val="00390677"/>
    <w:rsid w:val="00390F7C"/>
    <w:rsid w:val="003918AB"/>
    <w:rsid w:val="00391C21"/>
    <w:rsid w:val="003929E4"/>
    <w:rsid w:val="00393C95"/>
    <w:rsid w:val="00393D0D"/>
    <w:rsid w:val="00393E0F"/>
    <w:rsid w:val="00395BFE"/>
    <w:rsid w:val="00395C2B"/>
    <w:rsid w:val="003964D8"/>
    <w:rsid w:val="003974C9"/>
    <w:rsid w:val="003A04BD"/>
    <w:rsid w:val="003A0CD0"/>
    <w:rsid w:val="003A2B94"/>
    <w:rsid w:val="003A3E79"/>
    <w:rsid w:val="003A7C11"/>
    <w:rsid w:val="003B0477"/>
    <w:rsid w:val="003B064B"/>
    <w:rsid w:val="003B0F15"/>
    <w:rsid w:val="003B1479"/>
    <w:rsid w:val="003B149E"/>
    <w:rsid w:val="003B14EF"/>
    <w:rsid w:val="003B1644"/>
    <w:rsid w:val="003B7081"/>
    <w:rsid w:val="003B799A"/>
    <w:rsid w:val="003B7C90"/>
    <w:rsid w:val="003C2419"/>
    <w:rsid w:val="003C242C"/>
    <w:rsid w:val="003C292E"/>
    <w:rsid w:val="003C4615"/>
    <w:rsid w:val="003C4E7B"/>
    <w:rsid w:val="003D2AA2"/>
    <w:rsid w:val="003D33E0"/>
    <w:rsid w:val="003D366A"/>
    <w:rsid w:val="003D36AD"/>
    <w:rsid w:val="003D5947"/>
    <w:rsid w:val="003D61EC"/>
    <w:rsid w:val="003E1D96"/>
    <w:rsid w:val="003E460F"/>
    <w:rsid w:val="003E50E7"/>
    <w:rsid w:val="003E5650"/>
    <w:rsid w:val="003E5F53"/>
    <w:rsid w:val="003E66B3"/>
    <w:rsid w:val="003E6996"/>
    <w:rsid w:val="003E70D9"/>
    <w:rsid w:val="003E7EF9"/>
    <w:rsid w:val="003F0615"/>
    <w:rsid w:val="003F2348"/>
    <w:rsid w:val="003F36E1"/>
    <w:rsid w:val="003F397E"/>
    <w:rsid w:val="003F42FE"/>
    <w:rsid w:val="003F433F"/>
    <w:rsid w:val="003F531A"/>
    <w:rsid w:val="003F7187"/>
    <w:rsid w:val="003F7C82"/>
    <w:rsid w:val="00401ED7"/>
    <w:rsid w:val="00401F73"/>
    <w:rsid w:val="004030DA"/>
    <w:rsid w:val="004031DD"/>
    <w:rsid w:val="00403431"/>
    <w:rsid w:val="004060F4"/>
    <w:rsid w:val="0040638D"/>
    <w:rsid w:val="004065E3"/>
    <w:rsid w:val="0041041E"/>
    <w:rsid w:val="00410653"/>
    <w:rsid w:val="004138C5"/>
    <w:rsid w:val="0041392F"/>
    <w:rsid w:val="00413B40"/>
    <w:rsid w:val="0041426B"/>
    <w:rsid w:val="00414A1D"/>
    <w:rsid w:val="004151C8"/>
    <w:rsid w:val="004159D8"/>
    <w:rsid w:val="004162F7"/>
    <w:rsid w:val="00417101"/>
    <w:rsid w:val="004178C8"/>
    <w:rsid w:val="004200E1"/>
    <w:rsid w:val="004206D1"/>
    <w:rsid w:val="0042170F"/>
    <w:rsid w:val="00421B43"/>
    <w:rsid w:val="00421F0C"/>
    <w:rsid w:val="0042357E"/>
    <w:rsid w:val="00423DCC"/>
    <w:rsid w:val="00424A10"/>
    <w:rsid w:val="004252A5"/>
    <w:rsid w:val="00426368"/>
    <w:rsid w:val="00427053"/>
    <w:rsid w:val="00427145"/>
    <w:rsid w:val="004277B2"/>
    <w:rsid w:val="00432744"/>
    <w:rsid w:val="00432D38"/>
    <w:rsid w:val="004338AA"/>
    <w:rsid w:val="00433972"/>
    <w:rsid w:val="00433D5E"/>
    <w:rsid w:val="00434396"/>
    <w:rsid w:val="004355E4"/>
    <w:rsid w:val="004368E9"/>
    <w:rsid w:val="004378B4"/>
    <w:rsid w:val="00437D74"/>
    <w:rsid w:val="00441941"/>
    <w:rsid w:val="004420AC"/>
    <w:rsid w:val="004420D4"/>
    <w:rsid w:val="00443A80"/>
    <w:rsid w:val="00443C25"/>
    <w:rsid w:val="00443EE9"/>
    <w:rsid w:val="0044478E"/>
    <w:rsid w:val="00444B97"/>
    <w:rsid w:val="004450C6"/>
    <w:rsid w:val="00445714"/>
    <w:rsid w:val="00446949"/>
    <w:rsid w:val="00446B0D"/>
    <w:rsid w:val="00446E31"/>
    <w:rsid w:val="004479B4"/>
    <w:rsid w:val="004479E9"/>
    <w:rsid w:val="004505B8"/>
    <w:rsid w:val="00450619"/>
    <w:rsid w:val="004509EB"/>
    <w:rsid w:val="004518B9"/>
    <w:rsid w:val="00451B7C"/>
    <w:rsid w:val="00451BF7"/>
    <w:rsid w:val="00452766"/>
    <w:rsid w:val="00452844"/>
    <w:rsid w:val="0045297A"/>
    <w:rsid w:val="004531AE"/>
    <w:rsid w:val="00453E4B"/>
    <w:rsid w:val="00455695"/>
    <w:rsid w:val="004606C7"/>
    <w:rsid w:val="00460ED9"/>
    <w:rsid w:val="004611D1"/>
    <w:rsid w:val="004614C1"/>
    <w:rsid w:val="00463447"/>
    <w:rsid w:val="00465416"/>
    <w:rsid w:val="004660FF"/>
    <w:rsid w:val="004670F4"/>
    <w:rsid w:val="00470A0B"/>
    <w:rsid w:val="00470A13"/>
    <w:rsid w:val="00471AF7"/>
    <w:rsid w:val="00471B12"/>
    <w:rsid w:val="00472083"/>
    <w:rsid w:val="00472E19"/>
    <w:rsid w:val="00475275"/>
    <w:rsid w:val="0047570B"/>
    <w:rsid w:val="00476479"/>
    <w:rsid w:val="00476816"/>
    <w:rsid w:val="004813D1"/>
    <w:rsid w:val="004820F6"/>
    <w:rsid w:val="00482BCA"/>
    <w:rsid w:val="00482F04"/>
    <w:rsid w:val="004832F3"/>
    <w:rsid w:val="004836F3"/>
    <w:rsid w:val="004844C3"/>
    <w:rsid w:val="00485036"/>
    <w:rsid w:val="00487D38"/>
    <w:rsid w:val="00487F80"/>
    <w:rsid w:val="004902E6"/>
    <w:rsid w:val="00492F28"/>
    <w:rsid w:val="00493B0B"/>
    <w:rsid w:val="004940E9"/>
    <w:rsid w:val="00494466"/>
    <w:rsid w:val="004949E9"/>
    <w:rsid w:val="00495013"/>
    <w:rsid w:val="0049578D"/>
    <w:rsid w:val="00497F3D"/>
    <w:rsid w:val="004A11BE"/>
    <w:rsid w:val="004A1C58"/>
    <w:rsid w:val="004A2879"/>
    <w:rsid w:val="004A2EC1"/>
    <w:rsid w:val="004A4415"/>
    <w:rsid w:val="004A4435"/>
    <w:rsid w:val="004A62A0"/>
    <w:rsid w:val="004A68DA"/>
    <w:rsid w:val="004A6BD0"/>
    <w:rsid w:val="004A7806"/>
    <w:rsid w:val="004B0826"/>
    <w:rsid w:val="004B0A45"/>
    <w:rsid w:val="004B0B0D"/>
    <w:rsid w:val="004B2C61"/>
    <w:rsid w:val="004B2DC3"/>
    <w:rsid w:val="004B2DCF"/>
    <w:rsid w:val="004B3D12"/>
    <w:rsid w:val="004B43C0"/>
    <w:rsid w:val="004B55FC"/>
    <w:rsid w:val="004B5997"/>
    <w:rsid w:val="004B5D28"/>
    <w:rsid w:val="004C3352"/>
    <w:rsid w:val="004C4A37"/>
    <w:rsid w:val="004C5F3C"/>
    <w:rsid w:val="004C6F44"/>
    <w:rsid w:val="004D0F08"/>
    <w:rsid w:val="004D0F0F"/>
    <w:rsid w:val="004D1568"/>
    <w:rsid w:val="004D16A8"/>
    <w:rsid w:val="004D5058"/>
    <w:rsid w:val="004D6664"/>
    <w:rsid w:val="004D77D0"/>
    <w:rsid w:val="004E0491"/>
    <w:rsid w:val="004E1A6D"/>
    <w:rsid w:val="004E1C96"/>
    <w:rsid w:val="004E3814"/>
    <w:rsid w:val="004E59F7"/>
    <w:rsid w:val="004E7AC6"/>
    <w:rsid w:val="004E7C54"/>
    <w:rsid w:val="004F0886"/>
    <w:rsid w:val="004F3373"/>
    <w:rsid w:val="004F3527"/>
    <w:rsid w:val="004F4170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1042"/>
    <w:rsid w:val="005019CA"/>
    <w:rsid w:val="005033BC"/>
    <w:rsid w:val="00505FB6"/>
    <w:rsid w:val="00507B8E"/>
    <w:rsid w:val="00512490"/>
    <w:rsid w:val="00512723"/>
    <w:rsid w:val="00512E8D"/>
    <w:rsid w:val="00513374"/>
    <w:rsid w:val="00513A2B"/>
    <w:rsid w:val="005148C1"/>
    <w:rsid w:val="005151F1"/>
    <w:rsid w:val="00515D9C"/>
    <w:rsid w:val="0051675F"/>
    <w:rsid w:val="005171A3"/>
    <w:rsid w:val="00517366"/>
    <w:rsid w:val="00517D58"/>
    <w:rsid w:val="00520450"/>
    <w:rsid w:val="00520D48"/>
    <w:rsid w:val="005211AB"/>
    <w:rsid w:val="0052147B"/>
    <w:rsid w:val="00521E00"/>
    <w:rsid w:val="00521E76"/>
    <w:rsid w:val="00522985"/>
    <w:rsid w:val="00522A30"/>
    <w:rsid w:val="00522FB5"/>
    <w:rsid w:val="005231CF"/>
    <w:rsid w:val="0052334B"/>
    <w:rsid w:val="00524E7D"/>
    <w:rsid w:val="005254B8"/>
    <w:rsid w:val="00525EDE"/>
    <w:rsid w:val="00526B9D"/>
    <w:rsid w:val="005271BC"/>
    <w:rsid w:val="0053062F"/>
    <w:rsid w:val="00532C9C"/>
    <w:rsid w:val="00532CCF"/>
    <w:rsid w:val="00537441"/>
    <w:rsid w:val="00537CBC"/>
    <w:rsid w:val="005419E3"/>
    <w:rsid w:val="00541D81"/>
    <w:rsid w:val="00541F99"/>
    <w:rsid w:val="005429BA"/>
    <w:rsid w:val="00542CF4"/>
    <w:rsid w:val="00542D07"/>
    <w:rsid w:val="005436F5"/>
    <w:rsid w:val="005438CF"/>
    <w:rsid w:val="00544A83"/>
    <w:rsid w:val="00544C75"/>
    <w:rsid w:val="00545B98"/>
    <w:rsid w:val="00545C2E"/>
    <w:rsid w:val="005471E4"/>
    <w:rsid w:val="00547B5E"/>
    <w:rsid w:val="005501E3"/>
    <w:rsid w:val="00551254"/>
    <w:rsid w:val="00552FAA"/>
    <w:rsid w:val="00553775"/>
    <w:rsid w:val="005539FB"/>
    <w:rsid w:val="0055469D"/>
    <w:rsid w:val="0055578C"/>
    <w:rsid w:val="00555B21"/>
    <w:rsid w:val="00555E05"/>
    <w:rsid w:val="00556701"/>
    <w:rsid w:val="00557590"/>
    <w:rsid w:val="005577B9"/>
    <w:rsid w:val="00557B91"/>
    <w:rsid w:val="00560702"/>
    <w:rsid w:val="0056080F"/>
    <w:rsid w:val="0056095B"/>
    <w:rsid w:val="005611AB"/>
    <w:rsid w:val="0056152D"/>
    <w:rsid w:val="00561ECD"/>
    <w:rsid w:val="005625E4"/>
    <w:rsid w:val="00563E8C"/>
    <w:rsid w:val="00563F88"/>
    <w:rsid w:val="00567CF7"/>
    <w:rsid w:val="00570DFD"/>
    <w:rsid w:val="00571DF8"/>
    <w:rsid w:val="00571F23"/>
    <w:rsid w:val="00573A70"/>
    <w:rsid w:val="00574F2D"/>
    <w:rsid w:val="00575033"/>
    <w:rsid w:val="005774F8"/>
    <w:rsid w:val="00577688"/>
    <w:rsid w:val="00577850"/>
    <w:rsid w:val="00577E72"/>
    <w:rsid w:val="0058067C"/>
    <w:rsid w:val="0058076F"/>
    <w:rsid w:val="00581BA0"/>
    <w:rsid w:val="005823E8"/>
    <w:rsid w:val="00582516"/>
    <w:rsid w:val="00583C4D"/>
    <w:rsid w:val="00583F49"/>
    <w:rsid w:val="00585FC8"/>
    <w:rsid w:val="0059004C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96D9D"/>
    <w:rsid w:val="005A0341"/>
    <w:rsid w:val="005A0500"/>
    <w:rsid w:val="005A21DA"/>
    <w:rsid w:val="005A3532"/>
    <w:rsid w:val="005A3F71"/>
    <w:rsid w:val="005A5892"/>
    <w:rsid w:val="005A6004"/>
    <w:rsid w:val="005A7765"/>
    <w:rsid w:val="005A7E7F"/>
    <w:rsid w:val="005B0706"/>
    <w:rsid w:val="005B0DF4"/>
    <w:rsid w:val="005B19F7"/>
    <w:rsid w:val="005B23AD"/>
    <w:rsid w:val="005B30AB"/>
    <w:rsid w:val="005B38C5"/>
    <w:rsid w:val="005B3D4A"/>
    <w:rsid w:val="005B3EF9"/>
    <w:rsid w:val="005B3F12"/>
    <w:rsid w:val="005B426C"/>
    <w:rsid w:val="005B4AA0"/>
    <w:rsid w:val="005B4B69"/>
    <w:rsid w:val="005B5409"/>
    <w:rsid w:val="005B5E12"/>
    <w:rsid w:val="005B6242"/>
    <w:rsid w:val="005B6A83"/>
    <w:rsid w:val="005C1A32"/>
    <w:rsid w:val="005C3674"/>
    <w:rsid w:val="005C3686"/>
    <w:rsid w:val="005C3EA0"/>
    <w:rsid w:val="005C40B2"/>
    <w:rsid w:val="005C48E4"/>
    <w:rsid w:val="005C5491"/>
    <w:rsid w:val="005C58E1"/>
    <w:rsid w:val="005C5B8B"/>
    <w:rsid w:val="005C689F"/>
    <w:rsid w:val="005C6EDF"/>
    <w:rsid w:val="005C7EEC"/>
    <w:rsid w:val="005C7F9D"/>
    <w:rsid w:val="005D0295"/>
    <w:rsid w:val="005D1DF1"/>
    <w:rsid w:val="005D2B22"/>
    <w:rsid w:val="005D2C96"/>
    <w:rsid w:val="005D316E"/>
    <w:rsid w:val="005D32B2"/>
    <w:rsid w:val="005D3963"/>
    <w:rsid w:val="005D3C2D"/>
    <w:rsid w:val="005D50F1"/>
    <w:rsid w:val="005D570C"/>
    <w:rsid w:val="005D5E0B"/>
    <w:rsid w:val="005D765B"/>
    <w:rsid w:val="005D7B8C"/>
    <w:rsid w:val="005E0E8D"/>
    <w:rsid w:val="005E283C"/>
    <w:rsid w:val="005E2C5C"/>
    <w:rsid w:val="005E2C84"/>
    <w:rsid w:val="005E3FB7"/>
    <w:rsid w:val="005E3FC3"/>
    <w:rsid w:val="005E401D"/>
    <w:rsid w:val="005E4B52"/>
    <w:rsid w:val="005E526E"/>
    <w:rsid w:val="005E6174"/>
    <w:rsid w:val="005E76E5"/>
    <w:rsid w:val="005E7B2E"/>
    <w:rsid w:val="005E7DD4"/>
    <w:rsid w:val="005F045D"/>
    <w:rsid w:val="005F1695"/>
    <w:rsid w:val="005F19AD"/>
    <w:rsid w:val="005F1F64"/>
    <w:rsid w:val="005F2290"/>
    <w:rsid w:val="005F30AD"/>
    <w:rsid w:val="005F3BC7"/>
    <w:rsid w:val="005F3CBB"/>
    <w:rsid w:val="005F4C21"/>
    <w:rsid w:val="005F696F"/>
    <w:rsid w:val="0060009E"/>
    <w:rsid w:val="00601727"/>
    <w:rsid w:val="006028CA"/>
    <w:rsid w:val="0060328F"/>
    <w:rsid w:val="006039B6"/>
    <w:rsid w:val="0060536A"/>
    <w:rsid w:val="0060563E"/>
    <w:rsid w:val="006074D7"/>
    <w:rsid w:val="0061095A"/>
    <w:rsid w:val="0061100E"/>
    <w:rsid w:val="0061169F"/>
    <w:rsid w:val="00611C1E"/>
    <w:rsid w:val="006121FA"/>
    <w:rsid w:val="00613850"/>
    <w:rsid w:val="00614E35"/>
    <w:rsid w:val="006152FC"/>
    <w:rsid w:val="0061703E"/>
    <w:rsid w:val="006178A5"/>
    <w:rsid w:val="006203CD"/>
    <w:rsid w:val="00620409"/>
    <w:rsid w:val="0062090A"/>
    <w:rsid w:val="0062195C"/>
    <w:rsid w:val="0062248B"/>
    <w:rsid w:val="00622621"/>
    <w:rsid w:val="00622725"/>
    <w:rsid w:val="00623281"/>
    <w:rsid w:val="0062404B"/>
    <w:rsid w:val="00624109"/>
    <w:rsid w:val="006241A6"/>
    <w:rsid w:val="006251CE"/>
    <w:rsid w:val="00626690"/>
    <w:rsid w:val="00626EE2"/>
    <w:rsid w:val="00627A15"/>
    <w:rsid w:val="00627C5B"/>
    <w:rsid w:val="0063010B"/>
    <w:rsid w:val="0063080F"/>
    <w:rsid w:val="00630EF9"/>
    <w:rsid w:val="006311CE"/>
    <w:rsid w:val="0063178B"/>
    <w:rsid w:val="00632196"/>
    <w:rsid w:val="0063241F"/>
    <w:rsid w:val="006332D0"/>
    <w:rsid w:val="00633404"/>
    <w:rsid w:val="0063370A"/>
    <w:rsid w:val="006343C2"/>
    <w:rsid w:val="00634B18"/>
    <w:rsid w:val="00636C41"/>
    <w:rsid w:val="00642440"/>
    <w:rsid w:val="00642EB6"/>
    <w:rsid w:val="00643F6E"/>
    <w:rsid w:val="0064464B"/>
    <w:rsid w:val="0064646C"/>
    <w:rsid w:val="00646BD9"/>
    <w:rsid w:val="00647049"/>
    <w:rsid w:val="0064767A"/>
    <w:rsid w:val="00647C35"/>
    <w:rsid w:val="006509E7"/>
    <w:rsid w:val="0065321F"/>
    <w:rsid w:val="006545C8"/>
    <w:rsid w:val="00654729"/>
    <w:rsid w:val="00654CC8"/>
    <w:rsid w:val="00656B5D"/>
    <w:rsid w:val="00657A1D"/>
    <w:rsid w:val="00657BF3"/>
    <w:rsid w:val="00661CC6"/>
    <w:rsid w:val="00662A6E"/>
    <w:rsid w:val="00664400"/>
    <w:rsid w:val="00664857"/>
    <w:rsid w:val="00666685"/>
    <w:rsid w:val="00666C33"/>
    <w:rsid w:val="006670D1"/>
    <w:rsid w:val="00672EA0"/>
    <w:rsid w:val="006765B0"/>
    <w:rsid w:val="00676A54"/>
    <w:rsid w:val="00677021"/>
    <w:rsid w:val="00677864"/>
    <w:rsid w:val="00677C21"/>
    <w:rsid w:val="00680743"/>
    <w:rsid w:val="006815A5"/>
    <w:rsid w:val="00681D4A"/>
    <w:rsid w:val="00681DFD"/>
    <w:rsid w:val="00681F18"/>
    <w:rsid w:val="0068202C"/>
    <w:rsid w:val="0068599D"/>
    <w:rsid w:val="00685F34"/>
    <w:rsid w:val="006900B0"/>
    <w:rsid w:val="00690840"/>
    <w:rsid w:val="00691809"/>
    <w:rsid w:val="006921FE"/>
    <w:rsid w:val="006926F6"/>
    <w:rsid w:val="00692AF7"/>
    <w:rsid w:val="00694682"/>
    <w:rsid w:val="00694EB7"/>
    <w:rsid w:val="006953B0"/>
    <w:rsid w:val="00696AD6"/>
    <w:rsid w:val="006A001A"/>
    <w:rsid w:val="006A07DB"/>
    <w:rsid w:val="006A0BE8"/>
    <w:rsid w:val="006A2E5C"/>
    <w:rsid w:val="006A35BA"/>
    <w:rsid w:val="006A399B"/>
    <w:rsid w:val="006A5040"/>
    <w:rsid w:val="006A5F9C"/>
    <w:rsid w:val="006A7D01"/>
    <w:rsid w:val="006B05D7"/>
    <w:rsid w:val="006B1E71"/>
    <w:rsid w:val="006B34A6"/>
    <w:rsid w:val="006B36AA"/>
    <w:rsid w:val="006B3858"/>
    <w:rsid w:val="006B3E3D"/>
    <w:rsid w:val="006B5AA9"/>
    <w:rsid w:val="006B737E"/>
    <w:rsid w:val="006B7543"/>
    <w:rsid w:val="006B7B09"/>
    <w:rsid w:val="006B7EAF"/>
    <w:rsid w:val="006C00A9"/>
    <w:rsid w:val="006C2385"/>
    <w:rsid w:val="006C268E"/>
    <w:rsid w:val="006C36D0"/>
    <w:rsid w:val="006C48E9"/>
    <w:rsid w:val="006C502E"/>
    <w:rsid w:val="006C54BD"/>
    <w:rsid w:val="006C5FCA"/>
    <w:rsid w:val="006C6006"/>
    <w:rsid w:val="006C6942"/>
    <w:rsid w:val="006D1851"/>
    <w:rsid w:val="006D2232"/>
    <w:rsid w:val="006D2667"/>
    <w:rsid w:val="006D28DB"/>
    <w:rsid w:val="006D3430"/>
    <w:rsid w:val="006D386E"/>
    <w:rsid w:val="006D50A8"/>
    <w:rsid w:val="006D58CD"/>
    <w:rsid w:val="006D5C6E"/>
    <w:rsid w:val="006D6094"/>
    <w:rsid w:val="006D6188"/>
    <w:rsid w:val="006D688F"/>
    <w:rsid w:val="006D6CBB"/>
    <w:rsid w:val="006D745D"/>
    <w:rsid w:val="006E0271"/>
    <w:rsid w:val="006E0E56"/>
    <w:rsid w:val="006E339A"/>
    <w:rsid w:val="006E3F3F"/>
    <w:rsid w:val="006E4299"/>
    <w:rsid w:val="006E4A55"/>
    <w:rsid w:val="006E51E2"/>
    <w:rsid w:val="006E5943"/>
    <w:rsid w:val="006E62EB"/>
    <w:rsid w:val="006E6A30"/>
    <w:rsid w:val="006E6BA3"/>
    <w:rsid w:val="006E6D98"/>
    <w:rsid w:val="006E6FA1"/>
    <w:rsid w:val="006E7764"/>
    <w:rsid w:val="006F024A"/>
    <w:rsid w:val="006F2DB0"/>
    <w:rsid w:val="006F31A4"/>
    <w:rsid w:val="006F3D8C"/>
    <w:rsid w:val="006F4FB4"/>
    <w:rsid w:val="006F4FBC"/>
    <w:rsid w:val="006F5B9F"/>
    <w:rsid w:val="006F6174"/>
    <w:rsid w:val="006F6981"/>
    <w:rsid w:val="00701A7B"/>
    <w:rsid w:val="00702063"/>
    <w:rsid w:val="007026C5"/>
    <w:rsid w:val="00702E1B"/>
    <w:rsid w:val="007033EC"/>
    <w:rsid w:val="00703D40"/>
    <w:rsid w:val="00704094"/>
    <w:rsid w:val="007040EB"/>
    <w:rsid w:val="00706358"/>
    <w:rsid w:val="00706F9F"/>
    <w:rsid w:val="00710B24"/>
    <w:rsid w:val="00711027"/>
    <w:rsid w:val="00711627"/>
    <w:rsid w:val="00711B09"/>
    <w:rsid w:val="00711C13"/>
    <w:rsid w:val="00711C3E"/>
    <w:rsid w:val="007135D4"/>
    <w:rsid w:val="007142C0"/>
    <w:rsid w:val="00714AEA"/>
    <w:rsid w:val="007152F1"/>
    <w:rsid w:val="00715C67"/>
    <w:rsid w:val="007169AF"/>
    <w:rsid w:val="00716E24"/>
    <w:rsid w:val="00717177"/>
    <w:rsid w:val="0071784D"/>
    <w:rsid w:val="00717900"/>
    <w:rsid w:val="007203F3"/>
    <w:rsid w:val="00720AE0"/>
    <w:rsid w:val="0072275E"/>
    <w:rsid w:val="00722EBB"/>
    <w:rsid w:val="007230D8"/>
    <w:rsid w:val="00725B2F"/>
    <w:rsid w:val="007270D1"/>
    <w:rsid w:val="0072772D"/>
    <w:rsid w:val="00727AC9"/>
    <w:rsid w:val="00727C99"/>
    <w:rsid w:val="007306FD"/>
    <w:rsid w:val="0073078C"/>
    <w:rsid w:val="0073195D"/>
    <w:rsid w:val="00731EC3"/>
    <w:rsid w:val="007328A0"/>
    <w:rsid w:val="007333D0"/>
    <w:rsid w:val="0073473B"/>
    <w:rsid w:val="007358B6"/>
    <w:rsid w:val="0074008F"/>
    <w:rsid w:val="00741DC1"/>
    <w:rsid w:val="00742854"/>
    <w:rsid w:val="0074413F"/>
    <w:rsid w:val="00744DC4"/>
    <w:rsid w:val="00744FCC"/>
    <w:rsid w:val="0074565C"/>
    <w:rsid w:val="007478C3"/>
    <w:rsid w:val="00747A44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4153"/>
    <w:rsid w:val="00755EA4"/>
    <w:rsid w:val="00756921"/>
    <w:rsid w:val="00756DEA"/>
    <w:rsid w:val="00756DF8"/>
    <w:rsid w:val="007574E4"/>
    <w:rsid w:val="00757AE8"/>
    <w:rsid w:val="007603A8"/>
    <w:rsid w:val="00760BF6"/>
    <w:rsid w:val="00761E80"/>
    <w:rsid w:val="00762393"/>
    <w:rsid w:val="00762ED8"/>
    <w:rsid w:val="007644C6"/>
    <w:rsid w:val="00765FFA"/>
    <w:rsid w:val="007660B0"/>
    <w:rsid w:val="00766CCB"/>
    <w:rsid w:val="00766D34"/>
    <w:rsid w:val="00767AE5"/>
    <w:rsid w:val="00767E4D"/>
    <w:rsid w:val="00770CAE"/>
    <w:rsid w:val="0077199C"/>
    <w:rsid w:val="007744D1"/>
    <w:rsid w:val="0077585F"/>
    <w:rsid w:val="0077588E"/>
    <w:rsid w:val="00777471"/>
    <w:rsid w:val="00780A64"/>
    <w:rsid w:val="0078337D"/>
    <w:rsid w:val="007838CE"/>
    <w:rsid w:val="00784113"/>
    <w:rsid w:val="0078426E"/>
    <w:rsid w:val="00784621"/>
    <w:rsid w:val="00784A0D"/>
    <w:rsid w:val="00784EBA"/>
    <w:rsid w:val="00784F28"/>
    <w:rsid w:val="00785BB2"/>
    <w:rsid w:val="00787601"/>
    <w:rsid w:val="00787F93"/>
    <w:rsid w:val="00792364"/>
    <w:rsid w:val="00792373"/>
    <w:rsid w:val="00793511"/>
    <w:rsid w:val="007943F9"/>
    <w:rsid w:val="007947B7"/>
    <w:rsid w:val="00795E0B"/>
    <w:rsid w:val="00796CEF"/>
    <w:rsid w:val="007A1461"/>
    <w:rsid w:val="007A1A0C"/>
    <w:rsid w:val="007A1B46"/>
    <w:rsid w:val="007A2CB1"/>
    <w:rsid w:val="007A30D6"/>
    <w:rsid w:val="007A599C"/>
    <w:rsid w:val="007A6F6C"/>
    <w:rsid w:val="007A7894"/>
    <w:rsid w:val="007B1038"/>
    <w:rsid w:val="007B107B"/>
    <w:rsid w:val="007B10D9"/>
    <w:rsid w:val="007B1329"/>
    <w:rsid w:val="007B2661"/>
    <w:rsid w:val="007B3F62"/>
    <w:rsid w:val="007B4279"/>
    <w:rsid w:val="007B48EC"/>
    <w:rsid w:val="007B4E3F"/>
    <w:rsid w:val="007B64D2"/>
    <w:rsid w:val="007B6838"/>
    <w:rsid w:val="007B6DBE"/>
    <w:rsid w:val="007B719E"/>
    <w:rsid w:val="007B7CE4"/>
    <w:rsid w:val="007C411D"/>
    <w:rsid w:val="007C6BA8"/>
    <w:rsid w:val="007D1C69"/>
    <w:rsid w:val="007D239F"/>
    <w:rsid w:val="007D296E"/>
    <w:rsid w:val="007D47AB"/>
    <w:rsid w:val="007E1935"/>
    <w:rsid w:val="007E2439"/>
    <w:rsid w:val="007E3870"/>
    <w:rsid w:val="007E4488"/>
    <w:rsid w:val="007E4DB0"/>
    <w:rsid w:val="007E5B0A"/>
    <w:rsid w:val="007E692E"/>
    <w:rsid w:val="007E6F76"/>
    <w:rsid w:val="007E7FE0"/>
    <w:rsid w:val="007F03B5"/>
    <w:rsid w:val="007F082D"/>
    <w:rsid w:val="007F24AF"/>
    <w:rsid w:val="007F4DD2"/>
    <w:rsid w:val="007F5F92"/>
    <w:rsid w:val="008003BE"/>
    <w:rsid w:val="008007EB"/>
    <w:rsid w:val="00802C2A"/>
    <w:rsid w:val="00802D14"/>
    <w:rsid w:val="008049D3"/>
    <w:rsid w:val="00805486"/>
    <w:rsid w:val="008065A9"/>
    <w:rsid w:val="00812090"/>
    <w:rsid w:val="008127F1"/>
    <w:rsid w:val="00812925"/>
    <w:rsid w:val="00812D77"/>
    <w:rsid w:val="00814F6A"/>
    <w:rsid w:val="00816207"/>
    <w:rsid w:val="008165E6"/>
    <w:rsid w:val="00816842"/>
    <w:rsid w:val="008178F8"/>
    <w:rsid w:val="00817EF5"/>
    <w:rsid w:val="0082303B"/>
    <w:rsid w:val="008243A2"/>
    <w:rsid w:val="0082529C"/>
    <w:rsid w:val="0082581A"/>
    <w:rsid w:val="00826513"/>
    <w:rsid w:val="00827642"/>
    <w:rsid w:val="008307AA"/>
    <w:rsid w:val="00830BBC"/>
    <w:rsid w:val="00830D06"/>
    <w:rsid w:val="00832022"/>
    <w:rsid w:val="00832276"/>
    <w:rsid w:val="00832B3B"/>
    <w:rsid w:val="0083300C"/>
    <w:rsid w:val="00834098"/>
    <w:rsid w:val="0083522F"/>
    <w:rsid w:val="00835B44"/>
    <w:rsid w:val="008360FF"/>
    <w:rsid w:val="0084054C"/>
    <w:rsid w:val="00841315"/>
    <w:rsid w:val="0084155C"/>
    <w:rsid w:val="00841900"/>
    <w:rsid w:val="00842A61"/>
    <w:rsid w:val="00842B58"/>
    <w:rsid w:val="00843420"/>
    <w:rsid w:val="00843B07"/>
    <w:rsid w:val="00844084"/>
    <w:rsid w:val="00844AF0"/>
    <w:rsid w:val="008469F4"/>
    <w:rsid w:val="00847B7F"/>
    <w:rsid w:val="00850010"/>
    <w:rsid w:val="00853325"/>
    <w:rsid w:val="00853D20"/>
    <w:rsid w:val="00854635"/>
    <w:rsid w:val="00854A03"/>
    <w:rsid w:val="00855140"/>
    <w:rsid w:val="00855AC9"/>
    <w:rsid w:val="00856BB9"/>
    <w:rsid w:val="008570E3"/>
    <w:rsid w:val="008576CE"/>
    <w:rsid w:val="00857869"/>
    <w:rsid w:val="008604D3"/>
    <w:rsid w:val="00860861"/>
    <w:rsid w:val="00860D66"/>
    <w:rsid w:val="008618ED"/>
    <w:rsid w:val="0086374C"/>
    <w:rsid w:val="00864B18"/>
    <w:rsid w:val="00865DC2"/>
    <w:rsid w:val="008662A1"/>
    <w:rsid w:val="00867913"/>
    <w:rsid w:val="0087175A"/>
    <w:rsid w:val="008721E1"/>
    <w:rsid w:val="00872D26"/>
    <w:rsid w:val="00872DA9"/>
    <w:rsid w:val="00873F30"/>
    <w:rsid w:val="00876C59"/>
    <w:rsid w:val="00880CA4"/>
    <w:rsid w:val="0088192A"/>
    <w:rsid w:val="008832A6"/>
    <w:rsid w:val="00883D54"/>
    <w:rsid w:val="00884129"/>
    <w:rsid w:val="00884317"/>
    <w:rsid w:val="00884628"/>
    <w:rsid w:val="00885464"/>
    <w:rsid w:val="008861A1"/>
    <w:rsid w:val="0088671C"/>
    <w:rsid w:val="00887CB5"/>
    <w:rsid w:val="00887E54"/>
    <w:rsid w:val="00890955"/>
    <w:rsid w:val="00891D75"/>
    <w:rsid w:val="00893016"/>
    <w:rsid w:val="008935B9"/>
    <w:rsid w:val="00893E4E"/>
    <w:rsid w:val="0089579C"/>
    <w:rsid w:val="00895D51"/>
    <w:rsid w:val="008A03E4"/>
    <w:rsid w:val="008A1041"/>
    <w:rsid w:val="008A1356"/>
    <w:rsid w:val="008A13D0"/>
    <w:rsid w:val="008A1B0B"/>
    <w:rsid w:val="008A21E9"/>
    <w:rsid w:val="008A30DB"/>
    <w:rsid w:val="008A3D73"/>
    <w:rsid w:val="008A4D5C"/>
    <w:rsid w:val="008A6B08"/>
    <w:rsid w:val="008A77C2"/>
    <w:rsid w:val="008B069C"/>
    <w:rsid w:val="008B0910"/>
    <w:rsid w:val="008B098A"/>
    <w:rsid w:val="008B1B85"/>
    <w:rsid w:val="008B4C58"/>
    <w:rsid w:val="008B5275"/>
    <w:rsid w:val="008B69B0"/>
    <w:rsid w:val="008B7B49"/>
    <w:rsid w:val="008C0AE0"/>
    <w:rsid w:val="008C1255"/>
    <w:rsid w:val="008C1690"/>
    <w:rsid w:val="008C3237"/>
    <w:rsid w:val="008C32A5"/>
    <w:rsid w:val="008C3DBF"/>
    <w:rsid w:val="008C58CD"/>
    <w:rsid w:val="008C5969"/>
    <w:rsid w:val="008C663F"/>
    <w:rsid w:val="008C7B94"/>
    <w:rsid w:val="008D2D61"/>
    <w:rsid w:val="008D30E5"/>
    <w:rsid w:val="008D3AA1"/>
    <w:rsid w:val="008D40B4"/>
    <w:rsid w:val="008D5068"/>
    <w:rsid w:val="008D5999"/>
    <w:rsid w:val="008D5B03"/>
    <w:rsid w:val="008D63F4"/>
    <w:rsid w:val="008E031F"/>
    <w:rsid w:val="008E08D2"/>
    <w:rsid w:val="008E1019"/>
    <w:rsid w:val="008E117F"/>
    <w:rsid w:val="008E19FE"/>
    <w:rsid w:val="008E1D1C"/>
    <w:rsid w:val="008E2961"/>
    <w:rsid w:val="008E409F"/>
    <w:rsid w:val="008E6C99"/>
    <w:rsid w:val="008F0511"/>
    <w:rsid w:val="008F0BA5"/>
    <w:rsid w:val="008F0E0F"/>
    <w:rsid w:val="008F0F6F"/>
    <w:rsid w:val="008F1F07"/>
    <w:rsid w:val="008F2A45"/>
    <w:rsid w:val="008F3231"/>
    <w:rsid w:val="008F3A16"/>
    <w:rsid w:val="008F4942"/>
    <w:rsid w:val="008F6151"/>
    <w:rsid w:val="00901001"/>
    <w:rsid w:val="00902E62"/>
    <w:rsid w:val="00903139"/>
    <w:rsid w:val="00903D83"/>
    <w:rsid w:val="009042D3"/>
    <w:rsid w:val="00904917"/>
    <w:rsid w:val="00905666"/>
    <w:rsid w:val="00906036"/>
    <w:rsid w:val="00910530"/>
    <w:rsid w:val="00913596"/>
    <w:rsid w:val="00914188"/>
    <w:rsid w:val="009142E5"/>
    <w:rsid w:val="009144BF"/>
    <w:rsid w:val="00914A26"/>
    <w:rsid w:val="00914D04"/>
    <w:rsid w:val="009156EF"/>
    <w:rsid w:val="00916243"/>
    <w:rsid w:val="009167BE"/>
    <w:rsid w:val="009168FE"/>
    <w:rsid w:val="009172B5"/>
    <w:rsid w:val="009203C2"/>
    <w:rsid w:val="009205B8"/>
    <w:rsid w:val="0092210F"/>
    <w:rsid w:val="0092315D"/>
    <w:rsid w:val="00924B11"/>
    <w:rsid w:val="00924D86"/>
    <w:rsid w:val="00925746"/>
    <w:rsid w:val="00925C34"/>
    <w:rsid w:val="0092784A"/>
    <w:rsid w:val="00927AF6"/>
    <w:rsid w:val="009305BC"/>
    <w:rsid w:val="009312F4"/>
    <w:rsid w:val="00931AC3"/>
    <w:rsid w:val="00932C24"/>
    <w:rsid w:val="009353C5"/>
    <w:rsid w:val="00937515"/>
    <w:rsid w:val="009376D8"/>
    <w:rsid w:val="00940084"/>
    <w:rsid w:val="00940D4E"/>
    <w:rsid w:val="0094161A"/>
    <w:rsid w:val="00941AD7"/>
    <w:rsid w:val="00943629"/>
    <w:rsid w:val="00945B17"/>
    <w:rsid w:val="00945F11"/>
    <w:rsid w:val="009466E5"/>
    <w:rsid w:val="00946BF0"/>
    <w:rsid w:val="00947C61"/>
    <w:rsid w:val="009503B2"/>
    <w:rsid w:val="009540E8"/>
    <w:rsid w:val="00954318"/>
    <w:rsid w:val="00956F29"/>
    <w:rsid w:val="00961A24"/>
    <w:rsid w:val="00961B24"/>
    <w:rsid w:val="009628AF"/>
    <w:rsid w:val="00962C78"/>
    <w:rsid w:val="00962D23"/>
    <w:rsid w:val="00963024"/>
    <w:rsid w:val="009630DD"/>
    <w:rsid w:val="00963557"/>
    <w:rsid w:val="009636D7"/>
    <w:rsid w:val="009649FC"/>
    <w:rsid w:val="0096543B"/>
    <w:rsid w:val="00965587"/>
    <w:rsid w:val="009674E2"/>
    <w:rsid w:val="009702DE"/>
    <w:rsid w:val="00971F09"/>
    <w:rsid w:val="00972556"/>
    <w:rsid w:val="00972C96"/>
    <w:rsid w:val="00974A9D"/>
    <w:rsid w:val="00975297"/>
    <w:rsid w:val="009755CB"/>
    <w:rsid w:val="00977398"/>
    <w:rsid w:val="009808FD"/>
    <w:rsid w:val="00981102"/>
    <w:rsid w:val="009813D0"/>
    <w:rsid w:val="009816B7"/>
    <w:rsid w:val="00981FDF"/>
    <w:rsid w:val="0098249E"/>
    <w:rsid w:val="009825B0"/>
    <w:rsid w:val="009852DE"/>
    <w:rsid w:val="00986394"/>
    <w:rsid w:val="0098663E"/>
    <w:rsid w:val="0098675E"/>
    <w:rsid w:val="009878FD"/>
    <w:rsid w:val="009911C4"/>
    <w:rsid w:val="0099157B"/>
    <w:rsid w:val="00992526"/>
    <w:rsid w:val="00993C2B"/>
    <w:rsid w:val="009A07FA"/>
    <w:rsid w:val="009A1080"/>
    <w:rsid w:val="009A17B4"/>
    <w:rsid w:val="009A2084"/>
    <w:rsid w:val="009A2B2E"/>
    <w:rsid w:val="009A2CA1"/>
    <w:rsid w:val="009A423F"/>
    <w:rsid w:val="009A4F26"/>
    <w:rsid w:val="009A6E5E"/>
    <w:rsid w:val="009A75F0"/>
    <w:rsid w:val="009A7EE8"/>
    <w:rsid w:val="009B026C"/>
    <w:rsid w:val="009B0543"/>
    <w:rsid w:val="009B062D"/>
    <w:rsid w:val="009B13F5"/>
    <w:rsid w:val="009B1B53"/>
    <w:rsid w:val="009B2158"/>
    <w:rsid w:val="009B25CF"/>
    <w:rsid w:val="009B3BC7"/>
    <w:rsid w:val="009B6711"/>
    <w:rsid w:val="009B6F68"/>
    <w:rsid w:val="009B773A"/>
    <w:rsid w:val="009C0AA5"/>
    <w:rsid w:val="009C0E87"/>
    <w:rsid w:val="009C0EDF"/>
    <w:rsid w:val="009C14D0"/>
    <w:rsid w:val="009C18AC"/>
    <w:rsid w:val="009C26BE"/>
    <w:rsid w:val="009C2BEC"/>
    <w:rsid w:val="009C3077"/>
    <w:rsid w:val="009C3081"/>
    <w:rsid w:val="009C3C40"/>
    <w:rsid w:val="009C4D54"/>
    <w:rsid w:val="009C4E26"/>
    <w:rsid w:val="009C5390"/>
    <w:rsid w:val="009C5C97"/>
    <w:rsid w:val="009C7DEE"/>
    <w:rsid w:val="009C7E41"/>
    <w:rsid w:val="009D07BD"/>
    <w:rsid w:val="009D121F"/>
    <w:rsid w:val="009D1860"/>
    <w:rsid w:val="009D3496"/>
    <w:rsid w:val="009D3B3B"/>
    <w:rsid w:val="009D532A"/>
    <w:rsid w:val="009D5D87"/>
    <w:rsid w:val="009E02FA"/>
    <w:rsid w:val="009E0728"/>
    <w:rsid w:val="009E1B07"/>
    <w:rsid w:val="009E2AC1"/>
    <w:rsid w:val="009E2F16"/>
    <w:rsid w:val="009E2F7E"/>
    <w:rsid w:val="009E315F"/>
    <w:rsid w:val="009E3721"/>
    <w:rsid w:val="009E4041"/>
    <w:rsid w:val="009E49D5"/>
    <w:rsid w:val="009E50AB"/>
    <w:rsid w:val="009E5504"/>
    <w:rsid w:val="009E669C"/>
    <w:rsid w:val="009E7775"/>
    <w:rsid w:val="009E7C0B"/>
    <w:rsid w:val="009F0F17"/>
    <w:rsid w:val="009F1984"/>
    <w:rsid w:val="009F4072"/>
    <w:rsid w:val="009F47E2"/>
    <w:rsid w:val="009F4FB2"/>
    <w:rsid w:val="009F6A84"/>
    <w:rsid w:val="009F7CB6"/>
    <w:rsid w:val="00A00016"/>
    <w:rsid w:val="00A006A8"/>
    <w:rsid w:val="00A00844"/>
    <w:rsid w:val="00A00934"/>
    <w:rsid w:val="00A01580"/>
    <w:rsid w:val="00A03C6C"/>
    <w:rsid w:val="00A04DCE"/>
    <w:rsid w:val="00A05831"/>
    <w:rsid w:val="00A05BD4"/>
    <w:rsid w:val="00A06213"/>
    <w:rsid w:val="00A07504"/>
    <w:rsid w:val="00A075A6"/>
    <w:rsid w:val="00A10736"/>
    <w:rsid w:val="00A10CBD"/>
    <w:rsid w:val="00A11895"/>
    <w:rsid w:val="00A12B19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17930"/>
    <w:rsid w:val="00A21427"/>
    <w:rsid w:val="00A23EF7"/>
    <w:rsid w:val="00A250F0"/>
    <w:rsid w:val="00A25B1A"/>
    <w:rsid w:val="00A25C32"/>
    <w:rsid w:val="00A26243"/>
    <w:rsid w:val="00A26577"/>
    <w:rsid w:val="00A26CFE"/>
    <w:rsid w:val="00A333D5"/>
    <w:rsid w:val="00A33710"/>
    <w:rsid w:val="00A33A97"/>
    <w:rsid w:val="00A350F2"/>
    <w:rsid w:val="00A36BB4"/>
    <w:rsid w:val="00A36CF1"/>
    <w:rsid w:val="00A3706F"/>
    <w:rsid w:val="00A37D63"/>
    <w:rsid w:val="00A4005A"/>
    <w:rsid w:val="00A40A29"/>
    <w:rsid w:val="00A40DED"/>
    <w:rsid w:val="00A415CA"/>
    <w:rsid w:val="00A41D5C"/>
    <w:rsid w:val="00A428E8"/>
    <w:rsid w:val="00A43BDF"/>
    <w:rsid w:val="00A43E2D"/>
    <w:rsid w:val="00A4453A"/>
    <w:rsid w:val="00A50ADF"/>
    <w:rsid w:val="00A511FC"/>
    <w:rsid w:val="00A513D7"/>
    <w:rsid w:val="00A51D22"/>
    <w:rsid w:val="00A52EAC"/>
    <w:rsid w:val="00A53AD7"/>
    <w:rsid w:val="00A53E28"/>
    <w:rsid w:val="00A53F1D"/>
    <w:rsid w:val="00A54632"/>
    <w:rsid w:val="00A57501"/>
    <w:rsid w:val="00A57C70"/>
    <w:rsid w:val="00A611E9"/>
    <w:rsid w:val="00A61B26"/>
    <w:rsid w:val="00A61ED5"/>
    <w:rsid w:val="00A624B2"/>
    <w:rsid w:val="00A6725C"/>
    <w:rsid w:val="00A6768B"/>
    <w:rsid w:val="00A67F33"/>
    <w:rsid w:val="00A70FC0"/>
    <w:rsid w:val="00A71272"/>
    <w:rsid w:val="00A74A49"/>
    <w:rsid w:val="00A7530C"/>
    <w:rsid w:val="00A7644C"/>
    <w:rsid w:val="00A76BA5"/>
    <w:rsid w:val="00A77DFC"/>
    <w:rsid w:val="00A77EFB"/>
    <w:rsid w:val="00A80250"/>
    <w:rsid w:val="00A8088F"/>
    <w:rsid w:val="00A8123E"/>
    <w:rsid w:val="00A82A3E"/>
    <w:rsid w:val="00A8381A"/>
    <w:rsid w:val="00A8409F"/>
    <w:rsid w:val="00A84ED7"/>
    <w:rsid w:val="00A85762"/>
    <w:rsid w:val="00A85DEE"/>
    <w:rsid w:val="00A86499"/>
    <w:rsid w:val="00A86CB4"/>
    <w:rsid w:val="00A875A1"/>
    <w:rsid w:val="00A90B43"/>
    <w:rsid w:val="00A92600"/>
    <w:rsid w:val="00A928C6"/>
    <w:rsid w:val="00A94135"/>
    <w:rsid w:val="00A94683"/>
    <w:rsid w:val="00A94EDF"/>
    <w:rsid w:val="00A956CC"/>
    <w:rsid w:val="00A959AB"/>
    <w:rsid w:val="00A95EEA"/>
    <w:rsid w:val="00A9684F"/>
    <w:rsid w:val="00AA0DB6"/>
    <w:rsid w:val="00AA13AF"/>
    <w:rsid w:val="00AA1B7B"/>
    <w:rsid w:val="00AA1E4A"/>
    <w:rsid w:val="00AA278E"/>
    <w:rsid w:val="00AA28EC"/>
    <w:rsid w:val="00AA2D0E"/>
    <w:rsid w:val="00AA34E5"/>
    <w:rsid w:val="00AA3541"/>
    <w:rsid w:val="00AA3BE5"/>
    <w:rsid w:val="00AA409F"/>
    <w:rsid w:val="00AB0814"/>
    <w:rsid w:val="00AB1EF4"/>
    <w:rsid w:val="00AB24F6"/>
    <w:rsid w:val="00AB323C"/>
    <w:rsid w:val="00AB35C0"/>
    <w:rsid w:val="00AB3C71"/>
    <w:rsid w:val="00AB4887"/>
    <w:rsid w:val="00AB4EB5"/>
    <w:rsid w:val="00AB50CF"/>
    <w:rsid w:val="00AB54BC"/>
    <w:rsid w:val="00AB6335"/>
    <w:rsid w:val="00AB7DF4"/>
    <w:rsid w:val="00AC0E3D"/>
    <w:rsid w:val="00AC2987"/>
    <w:rsid w:val="00AC4F58"/>
    <w:rsid w:val="00AC65AA"/>
    <w:rsid w:val="00AC666C"/>
    <w:rsid w:val="00AC689C"/>
    <w:rsid w:val="00AC704F"/>
    <w:rsid w:val="00AC7AE4"/>
    <w:rsid w:val="00AC7B5D"/>
    <w:rsid w:val="00AD07AC"/>
    <w:rsid w:val="00AD1D99"/>
    <w:rsid w:val="00AD20D4"/>
    <w:rsid w:val="00AD281E"/>
    <w:rsid w:val="00AD4286"/>
    <w:rsid w:val="00AD47C4"/>
    <w:rsid w:val="00AD50EE"/>
    <w:rsid w:val="00AD5675"/>
    <w:rsid w:val="00AD5CB8"/>
    <w:rsid w:val="00AD6CAD"/>
    <w:rsid w:val="00AD73AD"/>
    <w:rsid w:val="00AE1B57"/>
    <w:rsid w:val="00AE1DEE"/>
    <w:rsid w:val="00AE28B8"/>
    <w:rsid w:val="00AE2A2F"/>
    <w:rsid w:val="00AE2D25"/>
    <w:rsid w:val="00AE3468"/>
    <w:rsid w:val="00AE493A"/>
    <w:rsid w:val="00AE49FB"/>
    <w:rsid w:val="00AE4E82"/>
    <w:rsid w:val="00AE4FFC"/>
    <w:rsid w:val="00AE5316"/>
    <w:rsid w:val="00AE6981"/>
    <w:rsid w:val="00AF0826"/>
    <w:rsid w:val="00AF47F4"/>
    <w:rsid w:val="00AF4FD9"/>
    <w:rsid w:val="00AF55EB"/>
    <w:rsid w:val="00AF6449"/>
    <w:rsid w:val="00AF6CB9"/>
    <w:rsid w:val="00AF79AE"/>
    <w:rsid w:val="00B00A52"/>
    <w:rsid w:val="00B01A13"/>
    <w:rsid w:val="00B023E8"/>
    <w:rsid w:val="00B02D36"/>
    <w:rsid w:val="00B0361F"/>
    <w:rsid w:val="00B06F44"/>
    <w:rsid w:val="00B10AF7"/>
    <w:rsid w:val="00B1422E"/>
    <w:rsid w:val="00B1463A"/>
    <w:rsid w:val="00B159A7"/>
    <w:rsid w:val="00B162AB"/>
    <w:rsid w:val="00B16C96"/>
    <w:rsid w:val="00B2082F"/>
    <w:rsid w:val="00B208B5"/>
    <w:rsid w:val="00B225EC"/>
    <w:rsid w:val="00B25D07"/>
    <w:rsid w:val="00B26ECE"/>
    <w:rsid w:val="00B26F0D"/>
    <w:rsid w:val="00B27B27"/>
    <w:rsid w:val="00B27E68"/>
    <w:rsid w:val="00B30A87"/>
    <w:rsid w:val="00B31394"/>
    <w:rsid w:val="00B31F7E"/>
    <w:rsid w:val="00B33731"/>
    <w:rsid w:val="00B33B89"/>
    <w:rsid w:val="00B340B3"/>
    <w:rsid w:val="00B37847"/>
    <w:rsid w:val="00B37C13"/>
    <w:rsid w:val="00B41469"/>
    <w:rsid w:val="00B41C5F"/>
    <w:rsid w:val="00B4269C"/>
    <w:rsid w:val="00B42C74"/>
    <w:rsid w:val="00B450D2"/>
    <w:rsid w:val="00B45636"/>
    <w:rsid w:val="00B45B32"/>
    <w:rsid w:val="00B45FF8"/>
    <w:rsid w:val="00B469A4"/>
    <w:rsid w:val="00B50157"/>
    <w:rsid w:val="00B50D0F"/>
    <w:rsid w:val="00B51F1C"/>
    <w:rsid w:val="00B522FA"/>
    <w:rsid w:val="00B523E7"/>
    <w:rsid w:val="00B53677"/>
    <w:rsid w:val="00B53EB3"/>
    <w:rsid w:val="00B53F09"/>
    <w:rsid w:val="00B54F21"/>
    <w:rsid w:val="00B56631"/>
    <w:rsid w:val="00B62025"/>
    <w:rsid w:val="00B629F3"/>
    <w:rsid w:val="00B641C2"/>
    <w:rsid w:val="00B642D5"/>
    <w:rsid w:val="00B645BB"/>
    <w:rsid w:val="00B65483"/>
    <w:rsid w:val="00B70138"/>
    <w:rsid w:val="00B71728"/>
    <w:rsid w:val="00B75807"/>
    <w:rsid w:val="00B76647"/>
    <w:rsid w:val="00B77C39"/>
    <w:rsid w:val="00B77E89"/>
    <w:rsid w:val="00B80B28"/>
    <w:rsid w:val="00B80B39"/>
    <w:rsid w:val="00B8154B"/>
    <w:rsid w:val="00B8431C"/>
    <w:rsid w:val="00B84630"/>
    <w:rsid w:val="00B84831"/>
    <w:rsid w:val="00B84948"/>
    <w:rsid w:val="00B84AA5"/>
    <w:rsid w:val="00B85C48"/>
    <w:rsid w:val="00B8630F"/>
    <w:rsid w:val="00B86B20"/>
    <w:rsid w:val="00B86F41"/>
    <w:rsid w:val="00B87507"/>
    <w:rsid w:val="00B91A6F"/>
    <w:rsid w:val="00B931C6"/>
    <w:rsid w:val="00B9325E"/>
    <w:rsid w:val="00B93384"/>
    <w:rsid w:val="00B93653"/>
    <w:rsid w:val="00B93F07"/>
    <w:rsid w:val="00BA06BF"/>
    <w:rsid w:val="00BA0930"/>
    <w:rsid w:val="00BA097D"/>
    <w:rsid w:val="00BA0D5B"/>
    <w:rsid w:val="00BA1F08"/>
    <w:rsid w:val="00BA26A7"/>
    <w:rsid w:val="00BA3417"/>
    <w:rsid w:val="00BA3485"/>
    <w:rsid w:val="00BA3654"/>
    <w:rsid w:val="00BA36D0"/>
    <w:rsid w:val="00BA4298"/>
    <w:rsid w:val="00BA5B95"/>
    <w:rsid w:val="00BA7CF3"/>
    <w:rsid w:val="00BB1F79"/>
    <w:rsid w:val="00BB224E"/>
    <w:rsid w:val="00BB2B46"/>
    <w:rsid w:val="00BB2D75"/>
    <w:rsid w:val="00BB3DD4"/>
    <w:rsid w:val="00BB57F6"/>
    <w:rsid w:val="00BB59CD"/>
    <w:rsid w:val="00BB6250"/>
    <w:rsid w:val="00BB6A9C"/>
    <w:rsid w:val="00BB6C08"/>
    <w:rsid w:val="00BC0A2B"/>
    <w:rsid w:val="00BC0DB3"/>
    <w:rsid w:val="00BC0E5E"/>
    <w:rsid w:val="00BC390A"/>
    <w:rsid w:val="00BC79FB"/>
    <w:rsid w:val="00BD12F2"/>
    <w:rsid w:val="00BD2626"/>
    <w:rsid w:val="00BD2DDD"/>
    <w:rsid w:val="00BD3482"/>
    <w:rsid w:val="00BD63F9"/>
    <w:rsid w:val="00BD6CC9"/>
    <w:rsid w:val="00BD7211"/>
    <w:rsid w:val="00BE0773"/>
    <w:rsid w:val="00BE08FE"/>
    <w:rsid w:val="00BE0C73"/>
    <w:rsid w:val="00BE1BDC"/>
    <w:rsid w:val="00BE1FB3"/>
    <w:rsid w:val="00BE219F"/>
    <w:rsid w:val="00BE3A10"/>
    <w:rsid w:val="00BE3BAC"/>
    <w:rsid w:val="00BE3FFC"/>
    <w:rsid w:val="00BE426A"/>
    <w:rsid w:val="00BE523A"/>
    <w:rsid w:val="00BE555B"/>
    <w:rsid w:val="00BE6B14"/>
    <w:rsid w:val="00BE6D78"/>
    <w:rsid w:val="00BE792A"/>
    <w:rsid w:val="00BF0198"/>
    <w:rsid w:val="00BF0699"/>
    <w:rsid w:val="00BF45C6"/>
    <w:rsid w:val="00BF50BF"/>
    <w:rsid w:val="00BF5817"/>
    <w:rsid w:val="00BF6A64"/>
    <w:rsid w:val="00BF6E65"/>
    <w:rsid w:val="00BF6F3A"/>
    <w:rsid w:val="00BF6F6F"/>
    <w:rsid w:val="00BF7432"/>
    <w:rsid w:val="00C022A3"/>
    <w:rsid w:val="00C0237D"/>
    <w:rsid w:val="00C028B3"/>
    <w:rsid w:val="00C02C2C"/>
    <w:rsid w:val="00C04D23"/>
    <w:rsid w:val="00C051B1"/>
    <w:rsid w:val="00C0599B"/>
    <w:rsid w:val="00C07FA0"/>
    <w:rsid w:val="00C10132"/>
    <w:rsid w:val="00C11744"/>
    <w:rsid w:val="00C11A8F"/>
    <w:rsid w:val="00C12946"/>
    <w:rsid w:val="00C14622"/>
    <w:rsid w:val="00C15379"/>
    <w:rsid w:val="00C15756"/>
    <w:rsid w:val="00C16998"/>
    <w:rsid w:val="00C176EF"/>
    <w:rsid w:val="00C17881"/>
    <w:rsid w:val="00C17C02"/>
    <w:rsid w:val="00C17DE4"/>
    <w:rsid w:val="00C2061C"/>
    <w:rsid w:val="00C2081E"/>
    <w:rsid w:val="00C21191"/>
    <w:rsid w:val="00C22388"/>
    <w:rsid w:val="00C22E3E"/>
    <w:rsid w:val="00C2308E"/>
    <w:rsid w:val="00C23839"/>
    <w:rsid w:val="00C240DB"/>
    <w:rsid w:val="00C2443A"/>
    <w:rsid w:val="00C255BC"/>
    <w:rsid w:val="00C26352"/>
    <w:rsid w:val="00C26648"/>
    <w:rsid w:val="00C27116"/>
    <w:rsid w:val="00C27740"/>
    <w:rsid w:val="00C27C22"/>
    <w:rsid w:val="00C312CA"/>
    <w:rsid w:val="00C3209C"/>
    <w:rsid w:val="00C322A5"/>
    <w:rsid w:val="00C32BED"/>
    <w:rsid w:val="00C33581"/>
    <w:rsid w:val="00C33BFE"/>
    <w:rsid w:val="00C34749"/>
    <w:rsid w:val="00C37E22"/>
    <w:rsid w:val="00C4033C"/>
    <w:rsid w:val="00C41719"/>
    <w:rsid w:val="00C418D7"/>
    <w:rsid w:val="00C42131"/>
    <w:rsid w:val="00C4290E"/>
    <w:rsid w:val="00C43813"/>
    <w:rsid w:val="00C43F0A"/>
    <w:rsid w:val="00C44D75"/>
    <w:rsid w:val="00C47BCA"/>
    <w:rsid w:val="00C51E64"/>
    <w:rsid w:val="00C52B93"/>
    <w:rsid w:val="00C53110"/>
    <w:rsid w:val="00C53DAF"/>
    <w:rsid w:val="00C53EE3"/>
    <w:rsid w:val="00C5537E"/>
    <w:rsid w:val="00C55827"/>
    <w:rsid w:val="00C56CAE"/>
    <w:rsid w:val="00C5735C"/>
    <w:rsid w:val="00C57D36"/>
    <w:rsid w:val="00C61EDF"/>
    <w:rsid w:val="00C62885"/>
    <w:rsid w:val="00C62F43"/>
    <w:rsid w:val="00C6580A"/>
    <w:rsid w:val="00C66A01"/>
    <w:rsid w:val="00C67297"/>
    <w:rsid w:val="00C67AF4"/>
    <w:rsid w:val="00C71A7C"/>
    <w:rsid w:val="00C71C80"/>
    <w:rsid w:val="00C722D9"/>
    <w:rsid w:val="00C72AD0"/>
    <w:rsid w:val="00C73B66"/>
    <w:rsid w:val="00C75346"/>
    <w:rsid w:val="00C7565E"/>
    <w:rsid w:val="00C75E69"/>
    <w:rsid w:val="00C75F64"/>
    <w:rsid w:val="00C76249"/>
    <w:rsid w:val="00C77193"/>
    <w:rsid w:val="00C81E88"/>
    <w:rsid w:val="00C82032"/>
    <w:rsid w:val="00C8255A"/>
    <w:rsid w:val="00C82DB0"/>
    <w:rsid w:val="00C83D43"/>
    <w:rsid w:val="00C84927"/>
    <w:rsid w:val="00C8572F"/>
    <w:rsid w:val="00C86F98"/>
    <w:rsid w:val="00C8708E"/>
    <w:rsid w:val="00C87BBD"/>
    <w:rsid w:val="00C87C35"/>
    <w:rsid w:val="00C91625"/>
    <w:rsid w:val="00C917C7"/>
    <w:rsid w:val="00C92DD6"/>
    <w:rsid w:val="00C94060"/>
    <w:rsid w:val="00C942F3"/>
    <w:rsid w:val="00C946CB"/>
    <w:rsid w:val="00C94FBA"/>
    <w:rsid w:val="00C95DCC"/>
    <w:rsid w:val="00C97ACD"/>
    <w:rsid w:val="00C97ED0"/>
    <w:rsid w:val="00CA07B8"/>
    <w:rsid w:val="00CA23DB"/>
    <w:rsid w:val="00CA281D"/>
    <w:rsid w:val="00CA449F"/>
    <w:rsid w:val="00CA4DCA"/>
    <w:rsid w:val="00CA5141"/>
    <w:rsid w:val="00CA653A"/>
    <w:rsid w:val="00CA7EB3"/>
    <w:rsid w:val="00CB0AE4"/>
    <w:rsid w:val="00CB1088"/>
    <w:rsid w:val="00CB39FD"/>
    <w:rsid w:val="00CB3D0F"/>
    <w:rsid w:val="00CB518E"/>
    <w:rsid w:val="00CB53DA"/>
    <w:rsid w:val="00CB7979"/>
    <w:rsid w:val="00CB7BCD"/>
    <w:rsid w:val="00CC07C7"/>
    <w:rsid w:val="00CC08A8"/>
    <w:rsid w:val="00CC0BAD"/>
    <w:rsid w:val="00CC560C"/>
    <w:rsid w:val="00CC61BF"/>
    <w:rsid w:val="00CC6B35"/>
    <w:rsid w:val="00CD219F"/>
    <w:rsid w:val="00CD2C0A"/>
    <w:rsid w:val="00CD334A"/>
    <w:rsid w:val="00CD38C8"/>
    <w:rsid w:val="00CD44A0"/>
    <w:rsid w:val="00CD5A74"/>
    <w:rsid w:val="00CD5ECE"/>
    <w:rsid w:val="00CE01DA"/>
    <w:rsid w:val="00CE04A0"/>
    <w:rsid w:val="00CE08F0"/>
    <w:rsid w:val="00CE0BC7"/>
    <w:rsid w:val="00CE0E43"/>
    <w:rsid w:val="00CE2856"/>
    <w:rsid w:val="00CE3EB1"/>
    <w:rsid w:val="00CE4084"/>
    <w:rsid w:val="00CE6053"/>
    <w:rsid w:val="00CE6501"/>
    <w:rsid w:val="00CE71A2"/>
    <w:rsid w:val="00CE79D1"/>
    <w:rsid w:val="00CF026D"/>
    <w:rsid w:val="00CF08E5"/>
    <w:rsid w:val="00CF0FA5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35B8"/>
    <w:rsid w:val="00D03750"/>
    <w:rsid w:val="00D03DC7"/>
    <w:rsid w:val="00D044A9"/>
    <w:rsid w:val="00D05354"/>
    <w:rsid w:val="00D054C2"/>
    <w:rsid w:val="00D05B89"/>
    <w:rsid w:val="00D062AE"/>
    <w:rsid w:val="00D1095C"/>
    <w:rsid w:val="00D12320"/>
    <w:rsid w:val="00D133B5"/>
    <w:rsid w:val="00D134F4"/>
    <w:rsid w:val="00D149AE"/>
    <w:rsid w:val="00D15962"/>
    <w:rsid w:val="00D15A1A"/>
    <w:rsid w:val="00D16108"/>
    <w:rsid w:val="00D1680B"/>
    <w:rsid w:val="00D16D2E"/>
    <w:rsid w:val="00D16F88"/>
    <w:rsid w:val="00D17341"/>
    <w:rsid w:val="00D17B2C"/>
    <w:rsid w:val="00D17FAF"/>
    <w:rsid w:val="00D21807"/>
    <w:rsid w:val="00D225E8"/>
    <w:rsid w:val="00D2299B"/>
    <w:rsid w:val="00D24432"/>
    <w:rsid w:val="00D25AB0"/>
    <w:rsid w:val="00D2639F"/>
    <w:rsid w:val="00D2663B"/>
    <w:rsid w:val="00D269FF"/>
    <w:rsid w:val="00D32892"/>
    <w:rsid w:val="00D32C3E"/>
    <w:rsid w:val="00D34657"/>
    <w:rsid w:val="00D347D1"/>
    <w:rsid w:val="00D347F1"/>
    <w:rsid w:val="00D34A21"/>
    <w:rsid w:val="00D35E80"/>
    <w:rsid w:val="00D366A7"/>
    <w:rsid w:val="00D400CE"/>
    <w:rsid w:val="00D4035C"/>
    <w:rsid w:val="00D40E1B"/>
    <w:rsid w:val="00D40F28"/>
    <w:rsid w:val="00D42452"/>
    <w:rsid w:val="00D44E93"/>
    <w:rsid w:val="00D45F23"/>
    <w:rsid w:val="00D461F9"/>
    <w:rsid w:val="00D47435"/>
    <w:rsid w:val="00D4749E"/>
    <w:rsid w:val="00D52645"/>
    <w:rsid w:val="00D527F2"/>
    <w:rsid w:val="00D53A49"/>
    <w:rsid w:val="00D54476"/>
    <w:rsid w:val="00D55049"/>
    <w:rsid w:val="00D55EB0"/>
    <w:rsid w:val="00D5609E"/>
    <w:rsid w:val="00D56436"/>
    <w:rsid w:val="00D565FB"/>
    <w:rsid w:val="00D569F9"/>
    <w:rsid w:val="00D571F0"/>
    <w:rsid w:val="00D57E95"/>
    <w:rsid w:val="00D57EF7"/>
    <w:rsid w:val="00D60184"/>
    <w:rsid w:val="00D6080A"/>
    <w:rsid w:val="00D61367"/>
    <w:rsid w:val="00D61CEE"/>
    <w:rsid w:val="00D62F51"/>
    <w:rsid w:val="00D637A3"/>
    <w:rsid w:val="00D656EA"/>
    <w:rsid w:val="00D661BD"/>
    <w:rsid w:val="00D663B0"/>
    <w:rsid w:val="00D67BD1"/>
    <w:rsid w:val="00D7031E"/>
    <w:rsid w:val="00D71357"/>
    <w:rsid w:val="00D71DD0"/>
    <w:rsid w:val="00D721A6"/>
    <w:rsid w:val="00D72F3B"/>
    <w:rsid w:val="00D7344E"/>
    <w:rsid w:val="00D73D38"/>
    <w:rsid w:val="00D74C60"/>
    <w:rsid w:val="00D757D4"/>
    <w:rsid w:val="00D76299"/>
    <w:rsid w:val="00D76A80"/>
    <w:rsid w:val="00D7794F"/>
    <w:rsid w:val="00D8070F"/>
    <w:rsid w:val="00D81F86"/>
    <w:rsid w:val="00D8237C"/>
    <w:rsid w:val="00D82FA7"/>
    <w:rsid w:val="00D83073"/>
    <w:rsid w:val="00D83ADF"/>
    <w:rsid w:val="00D8574F"/>
    <w:rsid w:val="00D862E1"/>
    <w:rsid w:val="00D8661D"/>
    <w:rsid w:val="00D86C68"/>
    <w:rsid w:val="00D87561"/>
    <w:rsid w:val="00D9017C"/>
    <w:rsid w:val="00D90E1C"/>
    <w:rsid w:val="00D9461A"/>
    <w:rsid w:val="00D95EBE"/>
    <w:rsid w:val="00D963F7"/>
    <w:rsid w:val="00D967C3"/>
    <w:rsid w:val="00DA1F75"/>
    <w:rsid w:val="00DA2524"/>
    <w:rsid w:val="00DA386F"/>
    <w:rsid w:val="00DA39E1"/>
    <w:rsid w:val="00DA51F7"/>
    <w:rsid w:val="00DA7CF3"/>
    <w:rsid w:val="00DB22DC"/>
    <w:rsid w:val="00DB4819"/>
    <w:rsid w:val="00DB6E64"/>
    <w:rsid w:val="00DB7262"/>
    <w:rsid w:val="00DB7287"/>
    <w:rsid w:val="00DC04AB"/>
    <w:rsid w:val="00DC058A"/>
    <w:rsid w:val="00DC09E9"/>
    <w:rsid w:val="00DC1B43"/>
    <w:rsid w:val="00DC1FDF"/>
    <w:rsid w:val="00DC21FB"/>
    <w:rsid w:val="00DC37ED"/>
    <w:rsid w:val="00DC3CE2"/>
    <w:rsid w:val="00DC3F8C"/>
    <w:rsid w:val="00DC4D47"/>
    <w:rsid w:val="00DC74E9"/>
    <w:rsid w:val="00DC7A2A"/>
    <w:rsid w:val="00DC7AC2"/>
    <w:rsid w:val="00DD0246"/>
    <w:rsid w:val="00DD0DB4"/>
    <w:rsid w:val="00DD133E"/>
    <w:rsid w:val="00DD3E23"/>
    <w:rsid w:val="00DD3E39"/>
    <w:rsid w:val="00DD476F"/>
    <w:rsid w:val="00DD4DD5"/>
    <w:rsid w:val="00DD6188"/>
    <w:rsid w:val="00DD6F3E"/>
    <w:rsid w:val="00DD78A8"/>
    <w:rsid w:val="00DD7BEB"/>
    <w:rsid w:val="00DE1195"/>
    <w:rsid w:val="00DE1DA5"/>
    <w:rsid w:val="00DE28A4"/>
    <w:rsid w:val="00DE2B99"/>
    <w:rsid w:val="00DE30FB"/>
    <w:rsid w:val="00DE3365"/>
    <w:rsid w:val="00DE3D39"/>
    <w:rsid w:val="00DE4005"/>
    <w:rsid w:val="00DE4478"/>
    <w:rsid w:val="00DE44BA"/>
    <w:rsid w:val="00DE472E"/>
    <w:rsid w:val="00DE4D5B"/>
    <w:rsid w:val="00DE5677"/>
    <w:rsid w:val="00DE732E"/>
    <w:rsid w:val="00DE78CC"/>
    <w:rsid w:val="00DF0A1F"/>
    <w:rsid w:val="00DF1E5E"/>
    <w:rsid w:val="00DF3ED9"/>
    <w:rsid w:val="00DF475F"/>
    <w:rsid w:val="00DF5591"/>
    <w:rsid w:val="00DF699D"/>
    <w:rsid w:val="00E00324"/>
    <w:rsid w:val="00E01012"/>
    <w:rsid w:val="00E01AB9"/>
    <w:rsid w:val="00E0319A"/>
    <w:rsid w:val="00E036ED"/>
    <w:rsid w:val="00E064B3"/>
    <w:rsid w:val="00E10649"/>
    <w:rsid w:val="00E11336"/>
    <w:rsid w:val="00E11B99"/>
    <w:rsid w:val="00E13320"/>
    <w:rsid w:val="00E1341F"/>
    <w:rsid w:val="00E1354F"/>
    <w:rsid w:val="00E14CB0"/>
    <w:rsid w:val="00E15640"/>
    <w:rsid w:val="00E16006"/>
    <w:rsid w:val="00E1676C"/>
    <w:rsid w:val="00E17B9F"/>
    <w:rsid w:val="00E20994"/>
    <w:rsid w:val="00E20BFC"/>
    <w:rsid w:val="00E21410"/>
    <w:rsid w:val="00E21E1B"/>
    <w:rsid w:val="00E22A24"/>
    <w:rsid w:val="00E2456A"/>
    <w:rsid w:val="00E24C7C"/>
    <w:rsid w:val="00E25DDC"/>
    <w:rsid w:val="00E25FA3"/>
    <w:rsid w:val="00E26167"/>
    <w:rsid w:val="00E26681"/>
    <w:rsid w:val="00E30A7D"/>
    <w:rsid w:val="00E321EC"/>
    <w:rsid w:val="00E3256A"/>
    <w:rsid w:val="00E32C8F"/>
    <w:rsid w:val="00E32D57"/>
    <w:rsid w:val="00E32DE7"/>
    <w:rsid w:val="00E32E29"/>
    <w:rsid w:val="00E338B8"/>
    <w:rsid w:val="00E33BB6"/>
    <w:rsid w:val="00E34221"/>
    <w:rsid w:val="00E3546A"/>
    <w:rsid w:val="00E36FDF"/>
    <w:rsid w:val="00E3765E"/>
    <w:rsid w:val="00E37DAB"/>
    <w:rsid w:val="00E40291"/>
    <w:rsid w:val="00E40483"/>
    <w:rsid w:val="00E42411"/>
    <w:rsid w:val="00E42E65"/>
    <w:rsid w:val="00E431D3"/>
    <w:rsid w:val="00E43538"/>
    <w:rsid w:val="00E4396C"/>
    <w:rsid w:val="00E453A2"/>
    <w:rsid w:val="00E46190"/>
    <w:rsid w:val="00E502A8"/>
    <w:rsid w:val="00E50608"/>
    <w:rsid w:val="00E5104B"/>
    <w:rsid w:val="00E53600"/>
    <w:rsid w:val="00E55252"/>
    <w:rsid w:val="00E565B9"/>
    <w:rsid w:val="00E56916"/>
    <w:rsid w:val="00E57C3A"/>
    <w:rsid w:val="00E60044"/>
    <w:rsid w:val="00E616D9"/>
    <w:rsid w:val="00E64301"/>
    <w:rsid w:val="00E67D8F"/>
    <w:rsid w:val="00E708B1"/>
    <w:rsid w:val="00E729F6"/>
    <w:rsid w:val="00E73A09"/>
    <w:rsid w:val="00E753ED"/>
    <w:rsid w:val="00E80CC0"/>
    <w:rsid w:val="00E80D49"/>
    <w:rsid w:val="00E8354F"/>
    <w:rsid w:val="00E837F6"/>
    <w:rsid w:val="00E84DA3"/>
    <w:rsid w:val="00E87798"/>
    <w:rsid w:val="00E87B5C"/>
    <w:rsid w:val="00E90498"/>
    <w:rsid w:val="00E91BBB"/>
    <w:rsid w:val="00E92E5B"/>
    <w:rsid w:val="00E93EF1"/>
    <w:rsid w:val="00E94149"/>
    <w:rsid w:val="00E9577B"/>
    <w:rsid w:val="00E97B96"/>
    <w:rsid w:val="00EA0EDC"/>
    <w:rsid w:val="00EA166A"/>
    <w:rsid w:val="00EA206C"/>
    <w:rsid w:val="00EA23AC"/>
    <w:rsid w:val="00EA2449"/>
    <w:rsid w:val="00EA3451"/>
    <w:rsid w:val="00EA4901"/>
    <w:rsid w:val="00EA4C9C"/>
    <w:rsid w:val="00EA62F0"/>
    <w:rsid w:val="00EA6832"/>
    <w:rsid w:val="00EA7CA8"/>
    <w:rsid w:val="00EB010B"/>
    <w:rsid w:val="00EB07FC"/>
    <w:rsid w:val="00EB1264"/>
    <w:rsid w:val="00EB177A"/>
    <w:rsid w:val="00EB2232"/>
    <w:rsid w:val="00EB2B8D"/>
    <w:rsid w:val="00EB3442"/>
    <w:rsid w:val="00EB374F"/>
    <w:rsid w:val="00EB3E90"/>
    <w:rsid w:val="00EB4719"/>
    <w:rsid w:val="00EB5D78"/>
    <w:rsid w:val="00EB72BC"/>
    <w:rsid w:val="00EC0DBE"/>
    <w:rsid w:val="00EC200E"/>
    <w:rsid w:val="00EC26F1"/>
    <w:rsid w:val="00EC303F"/>
    <w:rsid w:val="00EC54F4"/>
    <w:rsid w:val="00EC625C"/>
    <w:rsid w:val="00EC77DB"/>
    <w:rsid w:val="00EC7859"/>
    <w:rsid w:val="00ED0336"/>
    <w:rsid w:val="00ED2011"/>
    <w:rsid w:val="00ED2325"/>
    <w:rsid w:val="00ED4264"/>
    <w:rsid w:val="00ED495A"/>
    <w:rsid w:val="00ED5B37"/>
    <w:rsid w:val="00ED695E"/>
    <w:rsid w:val="00ED69E3"/>
    <w:rsid w:val="00ED6B95"/>
    <w:rsid w:val="00ED6DA5"/>
    <w:rsid w:val="00ED77DB"/>
    <w:rsid w:val="00ED7A7E"/>
    <w:rsid w:val="00EE0AFB"/>
    <w:rsid w:val="00EE14C0"/>
    <w:rsid w:val="00EE1EB5"/>
    <w:rsid w:val="00EE2EC4"/>
    <w:rsid w:val="00EE43B2"/>
    <w:rsid w:val="00EE7654"/>
    <w:rsid w:val="00EF075C"/>
    <w:rsid w:val="00EF0A97"/>
    <w:rsid w:val="00EF1E39"/>
    <w:rsid w:val="00EF3BC0"/>
    <w:rsid w:val="00EF3E94"/>
    <w:rsid w:val="00EF467E"/>
    <w:rsid w:val="00EF4B55"/>
    <w:rsid w:val="00EF6B61"/>
    <w:rsid w:val="00F006C3"/>
    <w:rsid w:val="00F00927"/>
    <w:rsid w:val="00F010EB"/>
    <w:rsid w:val="00F018E0"/>
    <w:rsid w:val="00F027F6"/>
    <w:rsid w:val="00F03421"/>
    <w:rsid w:val="00F043A2"/>
    <w:rsid w:val="00F052D9"/>
    <w:rsid w:val="00F05FCA"/>
    <w:rsid w:val="00F06423"/>
    <w:rsid w:val="00F07C9C"/>
    <w:rsid w:val="00F10555"/>
    <w:rsid w:val="00F10A79"/>
    <w:rsid w:val="00F11242"/>
    <w:rsid w:val="00F11642"/>
    <w:rsid w:val="00F121BC"/>
    <w:rsid w:val="00F12565"/>
    <w:rsid w:val="00F144B6"/>
    <w:rsid w:val="00F14B71"/>
    <w:rsid w:val="00F1570B"/>
    <w:rsid w:val="00F22009"/>
    <w:rsid w:val="00F237F1"/>
    <w:rsid w:val="00F23EC1"/>
    <w:rsid w:val="00F30506"/>
    <w:rsid w:val="00F31160"/>
    <w:rsid w:val="00F3161E"/>
    <w:rsid w:val="00F33BFE"/>
    <w:rsid w:val="00F34A20"/>
    <w:rsid w:val="00F359B4"/>
    <w:rsid w:val="00F36790"/>
    <w:rsid w:val="00F3713F"/>
    <w:rsid w:val="00F4090C"/>
    <w:rsid w:val="00F40CC2"/>
    <w:rsid w:val="00F4250F"/>
    <w:rsid w:val="00F43482"/>
    <w:rsid w:val="00F437F7"/>
    <w:rsid w:val="00F4452E"/>
    <w:rsid w:val="00F44995"/>
    <w:rsid w:val="00F45210"/>
    <w:rsid w:val="00F460C5"/>
    <w:rsid w:val="00F460F0"/>
    <w:rsid w:val="00F46647"/>
    <w:rsid w:val="00F468F9"/>
    <w:rsid w:val="00F46E32"/>
    <w:rsid w:val="00F4712B"/>
    <w:rsid w:val="00F47BF6"/>
    <w:rsid w:val="00F50669"/>
    <w:rsid w:val="00F51F25"/>
    <w:rsid w:val="00F52BB4"/>
    <w:rsid w:val="00F52D30"/>
    <w:rsid w:val="00F544AE"/>
    <w:rsid w:val="00F54639"/>
    <w:rsid w:val="00F55A69"/>
    <w:rsid w:val="00F566B1"/>
    <w:rsid w:val="00F56956"/>
    <w:rsid w:val="00F56FD0"/>
    <w:rsid w:val="00F6064D"/>
    <w:rsid w:val="00F60914"/>
    <w:rsid w:val="00F609BD"/>
    <w:rsid w:val="00F611DC"/>
    <w:rsid w:val="00F614AB"/>
    <w:rsid w:val="00F616B4"/>
    <w:rsid w:val="00F61DA4"/>
    <w:rsid w:val="00F632F1"/>
    <w:rsid w:val="00F6399E"/>
    <w:rsid w:val="00F645DE"/>
    <w:rsid w:val="00F6489B"/>
    <w:rsid w:val="00F64B4A"/>
    <w:rsid w:val="00F65470"/>
    <w:rsid w:val="00F6617B"/>
    <w:rsid w:val="00F7019A"/>
    <w:rsid w:val="00F715EE"/>
    <w:rsid w:val="00F72BD4"/>
    <w:rsid w:val="00F72E2D"/>
    <w:rsid w:val="00F733CC"/>
    <w:rsid w:val="00F73DFD"/>
    <w:rsid w:val="00F73ED9"/>
    <w:rsid w:val="00F741C8"/>
    <w:rsid w:val="00F744F0"/>
    <w:rsid w:val="00F7452B"/>
    <w:rsid w:val="00F754E1"/>
    <w:rsid w:val="00F7715E"/>
    <w:rsid w:val="00F775F9"/>
    <w:rsid w:val="00F77FD8"/>
    <w:rsid w:val="00F83322"/>
    <w:rsid w:val="00F83E2A"/>
    <w:rsid w:val="00F84136"/>
    <w:rsid w:val="00F8438F"/>
    <w:rsid w:val="00F85821"/>
    <w:rsid w:val="00F90DE4"/>
    <w:rsid w:val="00F90E78"/>
    <w:rsid w:val="00F91BF9"/>
    <w:rsid w:val="00F920BA"/>
    <w:rsid w:val="00F936DA"/>
    <w:rsid w:val="00F9390D"/>
    <w:rsid w:val="00F93DF0"/>
    <w:rsid w:val="00F969B9"/>
    <w:rsid w:val="00F96A12"/>
    <w:rsid w:val="00F97662"/>
    <w:rsid w:val="00FA22D2"/>
    <w:rsid w:val="00FA2583"/>
    <w:rsid w:val="00FA25AE"/>
    <w:rsid w:val="00FA26D4"/>
    <w:rsid w:val="00FA4483"/>
    <w:rsid w:val="00FA44EB"/>
    <w:rsid w:val="00FA4512"/>
    <w:rsid w:val="00FA4ED4"/>
    <w:rsid w:val="00FA5EE8"/>
    <w:rsid w:val="00FA6406"/>
    <w:rsid w:val="00FA6D4B"/>
    <w:rsid w:val="00FA748F"/>
    <w:rsid w:val="00FB1106"/>
    <w:rsid w:val="00FB110F"/>
    <w:rsid w:val="00FB4E5C"/>
    <w:rsid w:val="00FB5C8A"/>
    <w:rsid w:val="00FB5D92"/>
    <w:rsid w:val="00FB634D"/>
    <w:rsid w:val="00FB6ED4"/>
    <w:rsid w:val="00FB72EB"/>
    <w:rsid w:val="00FB78E1"/>
    <w:rsid w:val="00FB7C09"/>
    <w:rsid w:val="00FC0232"/>
    <w:rsid w:val="00FC02BD"/>
    <w:rsid w:val="00FC0E07"/>
    <w:rsid w:val="00FC11ED"/>
    <w:rsid w:val="00FC2B0F"/>
    <w:rsid w:val="00FC3E81"/>
    <w:rsid w:val="00FC4E0A"/>
    <w:rsid w:val="00FC5BDB"/>
    <w:rsid w:val="00FC64E0"/>
    <w:rsid w:val="00FC7941"/>
    <w:rsid w:val="00FD10FE"/>
    <w:rsid w:val="00FD1D1D"/>
    <w:rsid w:val="00FD28CD"/>
    <w:rsid w:val="00FD2D99"/>
    <w:rsid w:val="00FD3A17"/>
    <w:rsid w:val="00FD4820"/>
    <w:rsid w:val="00FD54BD"/>
    <w:rsid w:val="00FD5738"/>
    <w:rsid w:val="00FD5996"/>
    <w:rsid w:val="00FD5E5B"/>
    <w:rsid w:val="00FE0636"/>
    <w:rsid w:val="00FE0E17"/>
    <w:rsid w:val="00FE2DCD"/>
    <w:rsid w:val="00FE4182"/>
    <w:rsid w:val="00FE48DC"/>
    <w:rsid w:val="00FE561B"/>
    <w:rsid w:val="00FF0B7A"/>
    <w:rsid w:val="00FF116C"/>
    <w:rsid w:val="00FF3BAD"/>
    <w:rsid w:val="00FF4EDC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14A836-7A9A-44E3-BB80-4EA3D99B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2AC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8F0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F6F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8F0F6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F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0F6F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677419354838708"/>
          <c:y val="5.0359712230215826E-2"/>
          <c:w val="0.6"/>
          <c:h val="0.809352517985611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نسبة التغير</c:v>
                </c:pt>
              </c:strCache>
            </c:strRef>
          </c:tx>
          <c:spPr>
            <a:solidFill>
              <a:srgbClr val="9999FF"/>
            </a:solidFill>
            <a:ln w="1265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2870967741935484"/>
                  <c:y val="0.82733812949640284"/>
                </c:manualLayout>
              </c:layout>
              <c:spPr>
                <a:noFill/>
                <a:ln w="25305">
                  <a:noFill/>
                </a:ln>
              </c:spPr>
              <c:txPr>
                <a:bodyPr/>
                <a:lstStyle/>
                <a:p>
                  <a:pPr>
                    <a:defRPr sz="797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A63-41CF-8C0A-B322DC61937A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A63-41CF-8C0A-B322DC61937A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A63-41CF-8C0A-B322DC61937A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A63-41CF-8C0A-B322DC61937A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63-41CF-8C0A-B322DC61937A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A63-41CF-8C0A-B322DC61937A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63-41CF-8C0A-B322DC61937A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A63-41CF-8C0A-B322DC61937A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85161290322580641"/>
                  <c:y val="0.66546762589928055"/>
                </c:manualLayout>
              </c:layout>
              <c:spPr>
                <a:noFill/>
                <a:ln w="25305">
                  <a:noFill/>
                </a:ln>
              </c:spPr>
              <c:txPr>
                <a:bodyPr/>
                <a:lstStyle/>
                <a:p>
                  <a:pPr>
                    <a:defRPr sz="797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A63-41CF-8C0A-B322DC61937A}"/>
                </c:ext>
              </c:extLst>
            </c:dLbl>
            <c:spPr>
              <a:noFill/>
              <a:ln w="2530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كانون ثاني</c:v>
                </c:pt>
                <c:pt idx="1">
                  <c:v>شباط</c:v>
                </c:pt>
                <c:pt idx="2">
                  <c:v>آذار</c:v>
                </c:pt>
                <c:pt idx="3">
                  <c:v>نيسان</c:v>
                </c:pt>
                <c:pt idx="4">
                  <c:v>أيار</c:v>
                </c:pt>
                <c:pt idx="5">
                  <c:v>حزيران</c:v>
                </c:pt>
                <c:pt idx="6">
                  <c:v>تموز</c:v>
                </c:pt>
                <c:pt idx="7">
                  <c:v>آب</c:v>
                </c:pt>
                <c:pt idx="8">
                  <c:v>أيلول</c:v>
                </c:pt>
                <c:pt idx="9">
                  <c:v>تشرين أول</c:v>
                </c:pt>
                <c:pt idx="10">
                  <c:v>تشرين ثاني</c:v>
                </c:pt>
                <c:pt idx="11">
                  <c:v>كانون أول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-32.56</c:v>
                </c:pt>
                <c:pt idx="1">
                  <c:v>-14.08</c:v>
                </c:pt>
                <c:pt idx="2">
                  <c:v>14.05</c:v>
                </c:pt>
                <c:pt idx="3">
                  <c:v>30.72</c:v>
                </c:pt>
                <c:pt idx="4">
                  <c:v>23.59</c:v>
                </c:pt>
                <c:pt idx="5">
                  <c:v>3.45</c:v>
                </c:pt>
                <c:pt idx="6">
                  <c:v>3.78</c:v>
                </c:pt>
                <c:pt idx="7">
                  <c:v>-13.53</c:v>
                </c:pt>
                <c:pt idx="8">
                  <c:v>-8</c:v>
                </c:pt>
                <c:pt idx="9">
                  <c:v>-23.04</c:v>
                </c:pt>
                <c:pt idx="10">
                  <c:v>-15.45</c:v>
                </c:pt>
                <c:pt idx="11">
                  <c:v>-3.76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A63-41CF-8C0A-B322DC6193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0701664"/>
        <c:axId val="1"/>
      </c:barChart>
      <c:catAx>
        <c:axId val="240701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2700000" vert="horz"/>
          <a:lstStyle/>
          <a:p>
            <a:pPr>
              <a:defRPr sz="797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 val="autoZero"/>
        <c:auto val="1"/>
        <c:lblAlgn val="ctr"/>
        <c:lblOffset val="2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79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نسبة التغير الشهرية %</a:t>
                </a:r>
              </a:p>
            </c:rich>
          </c:tx>
          <c:layout>
            <c:manualLayout>
              <c:xMode val="edge"/>
              <c:yMode val="edge"/>
              <c:x val="0"/>
              <c:y val="0.28776978417266186"/>
            </c:manualLayout>
          </c:layout>
          <c:overlay val="0"/>
          <c:spPr>
            <a:noFill/>
            <a:ln w="25305">
              <a:noFill/>
            </a:ln>
          </c:spPr>
        </c:title>
        <c:numFmt formatCode="0.00" sourceLinked="0"/>
        <c:majorTickMark val="out"/>
        <c:minorTickMark val="none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7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40701664"/>
        <c:crosses val="autoZero"/>
        <c:crossBetween val="between"/>
        <c:majorUnit val="6"/>
      </c:valAx>
      <c:spPr>
        <a:noFill/>
        <a:ln w="25305">
          <a:noFill/>
        </a:ln>
      </c:spPr>
    </c:plotArea>
    <c:plotVisOnly val="1"/>
    <c:dispBlanksAs val="gap"/>
    <c:showDLblsOverMax val="0"/>
  </c:chart>
  <c:spPr>
    <a:noFill/>
    <a:ln w="1270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9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898550724637683"/>
          <c:y val="0.11386138613861387"/>
          <c:w val="0.68478260869565222"/>
          <c:h val="0.66831683168316836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نسب التغير</c:v>
                </c:pt>
              </c:strCache>
            </c:strRef>
          </c:tx>
          <c:spPr>
            <a:ln w="12667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Pt>
            <c:idx val="1"/>
            <c:marker>
              <c:spPr>
                <a:solidFill>
                  <a:srgbClr val="FF6600"/>
                </a:solidFill>
                <a:ln>
                  <a:solidFill>
                    <a:srgbClr val="000080"/>
                  </a:solidFill>
                  <a:prstDash val="solid"/>
                </a:ln>
              </c:spPr>
            </c:marker>
            <c:bubble3D val="0"/>
            <c:spPr>
              <a:ln w="12667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F165-4F76-A29E-39E110915687}"/>
              </c:ext>
            </c:extLst>
          </c:dPt>
          <c:dPt>
            <c:idx val="16"/>
            <c:marker>
              <c:spPr>
                <a:solidFill>
                  <a:srgbClr val="FF6600"/>
                </a:solidFill>
                <a:ln>
                  <a:solidFill>
                    <a:srgbClr val="000080"/>
                  </a:solidFill>
                  <a:prstDash val="solid"/>
                </a:ln>
              </c:spPr>
            </c:marker>
            <c:bubble3D val="0"/>
            <c:spPr>
              <a:ln w="12667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F165-4F76-A29E-39E110915687}"/>
              </c:ext>
            </c:extLst>
          </c:dPt>
          <c:dPt>
            <c:idx val="17"/>
            <c:marker>
              <c:spPr>
                <a:solidFill>
                  <a:srgbClr val="FF6600"/>
                </a:solidFill>
                <a:ln>
                  <a:solidFill>
                    <a:srgbClr val="000080"/>
                  </a:solidFill>
                  <a:prstDash val="solid"/>
                </a:ln>
              </c:spPr>
            </c:marker>
            <c:bubble3D val="0"/>
            <c:spPr>
              <a:ln w="12667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F165-4F76-A29E-39E110915687}"/>
              </c:ext>
            </c:extLst>
          </c:dPt>
          <c:dLbls>
            <c:dLbl>
              <c:idx val="1"/>
              <c:layout>
                <c:manualLayout>
                  <c:xMode val="edge"/>
                  <c:yMode val="edge"/>
                  <c:x val="0.28985507246376813"/>
                  <c:y val="0.46039603960396042"/>
                </c:manualLayout>
              </c:layout>
              <c:spPr>
                <a:noFill/>
                <a:ln w="25334">
                  <a:noFill/>
                </a:ln>
              </c:spPr>
              <c:txPr>
                <a:bodyPr/>
                <a:lstStyle/>
                <a:p>
                  <a:pPr>
                    <a:defRPr sz="823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165-4F76-A29E-39E110915687}"/>
                </c:ext>
              </c:extLst>
            </c:dLbl>
            <c:dLbl>
              <c:idx val="17"/>
              <c:layout>
                <c:manualLayout>
                  <c:xMode val="edge"/>
                  <c:yMode val="edge"/>
                  <c:x val="0.83695652173913049"/>
                  <c:y val="6.4356435643564358E-2"/>
                </c:manualLayout>
              </c:layout>
              <c:spPr>
                <a:noFill/>
                <a:ln w="25334">
                  <a:noFill/>
                </a:ln>
              </c:spPr>
              <c:txPr>
                <a:bodyPr/>
                <a:lstStyle/>
                <a:p>
                  <a:pPr>
                    <a:defRPr sz="823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165-4F76-A29E-39E110915687}"/>
                </c:ext>
              </c:extLst>
            </c:dLbl>
            <c:dLbl>
              <c:idx val="18"/>
              <c:layout>
                <c:manualLayout>
                  <c:xMode val="edge"/>
                  <c:yMode val="edge"/>
                  <c:x val="0.85869565217391308"/>
                  <c:y val="0.53960396039603964"/>
                </c:manualLayout>
              </c:layout>
              <c:spPr>
                <a:noFill/>
                <a:ln w="25334">
                  <a:noFill/>
                </a:ln>
              </c:spPr>
              <c:txPr>
                <a:bodyPr rot="-2700000" vert="horz"/>
                <a:lstStyle/>
                <a:p>
                  <a:pPr algn="ctr">
                    <a:defRPr sz="823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165-4F76-A29E-39E11091568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Sheet1!$B$1:$T$1</c:f>
              <c:numCache>
                <c:formatCode>General</c:formatCode>
                <c:ptCount val="19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  <c:pt idx="16">
                  <c:v>2023</c:v>
                </c:pt>
                <c:pt idx="17">
                  <c:v>2024</c:v>
                </c:pt>
                <c:pt idx="18">
                  <c:v>2025</c:v>
                </c:pt>
              </c:numCache>
            </c:numRef>
          </c:cat>
          <c:val>
            <c:numRef>
              <c:f>Sheet1!$B$2:$T$2</c:f>
              <c:numCache>
                <c:formatCode>0.00%</c:formatCode>
                <c:ptCount val="19"/>
                <c:pt idx="0">
                  <c:v>1.8599999999999998E-2</c:v>
                </c:pt>
                <c:pt idx="1">
                  <c:v>9.8900000000000002E-2</c:v>
                </c:pt>
                <c:pt idx="2">
                  <c:v>2.75E-2</c:v>
                </c:pt>
                <c:pt idx="3">
                  <c:v>3.7499999999999999E-2</c:v>
                </c:pt>
                <c:pt idx="4">
                  <c:v>2.8799999999999999E-2</c:v>
                </c:pt>
                <c:pt idx="5">
                  <c:v>2.7799999999999998E-2</c:v>
                </c:pt>
                <c:pt idx="6">
                  <c:v>1.72E-2</c:v>
                </c:pt>
                <c:pt idx="7">
                  <c:v>1.7299999999999999E-2</c:v>
                </c:pt>
                <c:pt idx="8">
                  <c:v>1.43E-2</c:v>
                </c:pt>
                <c:pt idx="9">
                  <c:v>-2.2000000000000001E-3</c:v>
                </c:pt>
                <c:pt idx="10">
                  <c:v>2.0999999999999999E-3</c:v>
                </c:pt>
                <c:pt idx="11">
                  <c:v>-1.9E-3</c:v>
                </c:pt>
                <c:pt idx="12">
                  <c:v>1.5800000000000002E-2</c:v>
                </c:pt>
                <c:pt idx="13">
                  <c:v>-7.3000000000000001E-3</c:v>
                </c:pt>
                <c:pt idx="14">
                  <c:v>1.24E-2</c:v>
                </c:pt>
                <c:pt idx="15">
                  <c:v>3.7400000000000003E-2</c:v>
                </c:pt>
                <c:pt idx="16">
                  <c:v>5.8700000000000002E-2</c:v>
                </c:pt>
                <c:pt idx="17">
                  <c:v>0.53669999999999995</c:v>
                </c:pt>
                <c:pt idx="18">
                  <c:v>0.10539999999999999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F165-4F76-A29E-39E110915687}"/>
            </c:ext>
          </c:extLst>
        </c:ser>
        <c:ser>
          <c:idx val="1"/>
          <c:order val="1"/>
          <c:tx>
            <c:strRef>
              <c:f>Sheet1!$A$5</c:f>
              <c:strCache>
                <c:ptCount val="1"/>
              </c:strCache>
            </c:strRef>
          </c:tx>
          <c:spPr>
            <a:ln w="12667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Sheet1!$B$1:$T$1</c:f>
              <c:numCache>
                <c:formatCode>General</c:formatCode>
                <c:ptCount val="19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  <c:pt idx="16">
                  <c:v>2023</c:v>
                </c:pt>
                <c:pt idx="17">
                  <c:v>2024</c:v>
                </c:pt>
                <c:pt idx="18">
                  <c:v>2025</c:v>
                </c:pt>
              </c:numCache>
            </c:numRef>
          </c:cat>
          <c:val>
            <c:numRef>
              <c:f>Sheet1!$B$5:$T$5</c:f>
              <c:numCache>
                <c:formatCode>General</c:formatCode>
                <c:ptCount val="19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F165-4F76-A29E-39E1109156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0687432"/>
        <c:axId val="1"/>
      </c:lineChart>
      <c:catAx>
        <c:axId val="240687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7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73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 val="autoZero"/>
        <c:auto val="1"/>
        <c:lblAlgn val="ctr"/>
        <c:lblOffset val="500"/>
        <c:tickLblSkip val="2"/>
        <c:tickMarkSkip val="2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873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نسبة التغير السنوية %</a:t>
                </a:r>
              </a:p>
            </c:rich>
          </c:tx>
          <c:layout>
            <c:manualLayout>
              <c:xMode val="edge"/>
              <c:yMode val="edge"/>
              <c:x val="1.0869565217391304E-2"/>
              <c:y val="0.22772277227722773"/>
            </c:manualLayout>
          </c:layout>
          <c:overlay val="0"/>
          <c:spPr>
            <a:noFill/>
            <a:ln w="25334">
              <a:noFill/>
            </a:ln>
          </c:spPr>
        </c:title>
        <c:numFmt formatCode="0%" sourceLinked="0"/>
        <c:majorTickMark val="out"/>
        <c:minorTickMark val="none"/>
        <c:tickLblPos val="nextTo"/>
        <c:spPr>
          <a:ln w="31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3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40687432"/>
        <c:crosses val="autoZero"/>
        <c:crossBetween val="between"/>
      </c:valAx>
      <c:spPr>
        <a:noFill/>
        <a:ln w="25334">
          <a:noFill/>
        </a:ln>
      </c:spPr>
    </c:plotArea>
    <c:plotVisOnly val="1"/>
    <c:dispBlanksAs val="gap"/>
    <c:showDLblsOverMax val="0"/>
  </c:chart>
  <c:spPr>
    <a:noFill/>
    <a:ln w="1270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79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247557003257327"/>
          <c:y val="7.6142131979695438E-2"/>
          <c:w val="0.57003257328990231"/>
          <c:h val="0.730964467005076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نسبة التغير</c:v>
                </c:pt>
              </c:strCache>
            </c:strRef>
          </c:tx>
          <c:spPr>
            <a:solidFill>
              <a:srgbClr val="9999FF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spPr>
                <a:noFill/>
                <a:ln w="25353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81A-4DDF-8496-4DEFD9141ECC}"/>
                </c:ext>
              </c:extLst>
            </c:dLbl>
            <c:dLbl>
              <c:idx val="3"/>
              <c:spPr>
                <a:noFill/>
                <a:ln w="25353">
                  <a:noFill/>
                </a:ln>
              </c:spPr>
              <c:txPr>
                <a:bodyPr/>
                <a:lstStyle/>
                <a:p>
                  <a:pPr>
                    <a:defRPr sz="799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81A-4DDF-8496-4DEFD9141ECC}"/>
                </c:ext>
              </c:extLst>
            </c:dLbl>
            <c:dLbl>
              <c:idx val="6"/>
              <c:spPr>
                <a:noFill/>
                <a:ln w="25353">
                  <a:noFill/>
                </a:ln>
              </c:spPr>
              <c:txPr>
                <a:bodyPr/>
                <a:lstStyle/>
                <a:p>
                  <a:pPr>
                    <a:defRPr sz="799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81A-4DDF-8496-4DEFD9141ECC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70684039087947881"/>
                  <c:y val="0.82233502538071068"/>
                </c:manualLayout>
              </c:layout>
              <c:spPr>
                <a:noFill/>
                <a:ln w="25353">
                  <a:noFill/>
                </a:ln>
              </c:spPr>
              <c:txPr>
                <a:bodyPr/>
                <a:lstStyle/>
                <a:p>
                  <a:pPr>
                    <a:defRPr sz="873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81A-4DDF-8496-4DEFD9141ECC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83713355048859939"/>
                  <c:y val="0.59390862944162437"/>
                </c:manualLayout>
              </c:layout>
              <c:spPr>
                <a:noFill/>
                <a:ln w="25353">
                  <a:noFill/>
                </a:ln>
              </c:spPr>
              <c:txPr>
                <a:bodyPr/>
                <a:lstStyle/>
                <a:p>
                  <a:pPr>
                    <a:defRPr sz="799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81A-4DDF-8496-4DEFD9141EC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كانون ثاني</c:v>
                </c:pt>
                <c:pt idx="1">
                  <c:v>شباط</c:v>
                </c:pt>
                <c:pt idx="2">
                  <c:v>آذار</c:v>
                </c:pt>
                <c:pt idx="3">
                  <c:v>نيسان</c:v>
                </c:pt>
                <c:pt idx="4">
                  <c:v>أيار</c:v>
                </c:pt>
                <c:pt idx="5">
                  <c:v>حزيران</c:v>
                </c:pt>
                <c:pt idx="6">
                  <c:v>تموز</c:v>
                </c:pt>
                <c:pt idx="7">
                  <c:v>آب</c:v>
                </c:pt>
                <c:pt idx="8">
                  <c:v>أيلول</c:v>
                </c:pt>
                <c:pt idx="9">
                  <c:v>تشرين أول</c:v>
                </c:pt>
                <c:pt idx="10">
                  <c:v>تشرين ثاني</c:v>
                </c:pt>
                <c:pt idx="11">
                  <c:v>كانون أول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-53.27</c:v>
                </c:pt>
                <c:pt idx="1">
                  <c:v>-33.29</c:v>
                </c:pt>
                <c:pt idx="2">
                  <c:v>40.58</c:v>
                </c:pt>
                <c:pt idx="3">
                  <c:v>75.59</c:v>
                </c:pt>
                <c:pt idx="4">
                  <c:v>43.21</c:v>
                </c:pt>
                <c:pt idx="5">
                  <c:v>5.54</c:v>
                </c:pt>
                <c:pt idx="6">
                  <c:v>6.08</c:v>
                </c:pt>
                <c:pt idx="7">
                  <c:v>-20.34</c:v>
                </c:pt>
                <c:pt idx="8">
                  <c:v>-13.48</c:v>
                </c:pt>
                <c:pt idx="9">
                  <c:v>-40.42</c:v>
                </c:pt>
                <c:pt idx="10">
                  <c:v>-34.700000000000003</c:v>
                </c:pt>
                <c:pt idx="11">
                  <c:v>-11.54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81A-4DDF-8496-4DEFD9141E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0971888"/>
        <c:axId val="1"/>
      </c:barChart>
      <c:catAx>
        <c:axId val="240971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270000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 val="autoZero"/>
        <c:auto val="1"/>
        <c:lblAlgn val="ctr"/>
        <c:lblOffset val="10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873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نسبة التغير الشهرية %</a:t>
                </a:r>
              </a:p>
            </c:rich>
          </c:tx>
          <c:layout>
            <c:manualLayout>
              <c:xMode val="edge"/>
              <c:yMode val="edge"/>
              <c:x val="0"/>
              <c:y val="0.19796954314720813"/>
            </c:manualLayout>
          </c:layout>
          <c:overlay val="0"/>
          <c:spPr>
            <a:noFill/>
            <a:ln w="25353">
              <a:noFill/>
            </a:ln>
          </c:spPr>
        </c:title>
        <c:numFmt formatCode="0.00" sourceLinked="0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3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40971888"/>
        <c:crosses val="autoZero"/>
        <c:crossBetween val="between"/>
      </c:valAx>
      <c:spPr>
        <a:noFill/>
        <a:ln w="25353">
          <a:noFill/>
        </a:ln>
      </c:spPr>
    </c:plotArea>
    <c:plotVisOnly val="1"/>
    <c:dispBlanksAs val="gap"/>
    <c:showDLblsOverMax val="0"/>
  </c:chart>
  <c:spPr>
    <a:noFill/>
    <a:ln w="1270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7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D48DE-E42E-40C3-9EAE-E146DCEB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Mohammed Hodali</cp:lastModifiedBy>
  <cp:revision>2</cp:revision>
  <cp:lastPrinted>2026-01-11T09:12:00Z</cp:lastPrinted>
  <dcterms:created xsi:type="dcterms:W3CDTF">2026-01-14T07:24:00Z</dcterms:created>
  <dcterms:modified xsi:type="dcterms:W3CDTF">2026-01-14T07:24:00Z</dcterms:modified>
</cp:coreProperties>
</file>