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E5" w:rsidRPr="002E4BE5" w:rsidRDefault="002E4BE5" w:rsidP="002E4BE5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 يعلن 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طرق وشبكات المياه </w:t>
      </w:r>
    </w:p>
    <w:p w:rsidR="00984798" w:rsidRPr="002E4BE5" w:rsidRDefault="005C0259" w:rsidP="002E4BE5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 الصرف الصحي</w:t>
      </w:r>
      <w:r w:rsidR="002E4BE5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 شهر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eastAsia="x-none"/>
        </w:rPr>
        <w:t xml:space="preserve"> 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eastAsia="x-none"/>
        </w:rPr>
        <w:t>تشرين ثاني</w:t>
      </w:r>
      <w:r w:rsidR="002E4BE5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eastAsia="x-none"/>
        </w:rPr>
        <w:t>،</w:t>
      </w:r>
      <w:r w:rsidR="002E4BE5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</w:t>
      </w:r>
      <w:r w:rsidR="002E4BE5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eastAsia="x-none"/>
        </w:rPr>
        <w:t>11/</w:t>
      </w:r>
      <w:r w:rsidR="00984798" w:rsidRPr="002E4BE5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2022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  <w:t>انخفا</w:t>
      </w:r>
      <w:bookmarkStart w:id="2" w:name="_GoBack"/>
      <w:bookmarkEnd w:id="2"/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  <w:t>ض مؤشر</w:t>
      </w: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السكنية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البناء للمباني السكنية في الضفة الغربية*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0.16% خلال 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تشرين ثاني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2022 مقارنة بشهر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أول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2022، إذ انخفض الرقم القياسي لأسعار تكاليف البناء للمباني السكنية إلى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119.54 </w:t>
      </w:r>
      <w:r w:rsidR="00134DD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بـ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119.74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(سنة الأساس 2013=100).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lang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الرئيسية؛ سجلت 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أ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ولية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0.27%، وأسعار مجموعة استئجار المعدات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0.19%، في حين سجلت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تكاليف وأجور العمال استقراراً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تشرين ثاني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 مقارنة بالشهر السابق.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للمباني غير السكنية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البناء للمباني غير السكنية في الضفة الغربية*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0.16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 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تشرين ثاني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 مقارنة بشهر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أول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2022، إذ انخفض الرقم القياسي لأسعار تكاليف البناء للمباني غير السكنية إلى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118.65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118.84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(سنة الأساس 2013=100).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 سجلت أسعار مجموعة الخامات والمواد الأولية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0.25%، وأسعار مجموعة استئجار المعدات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طفيفاً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0.07%، في حين سجلت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تكاليف وأجور العمال استقراراً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 تشرين ثاني 2022 مقارنة بالشهر السابق.</w:t>
      </w:r>
    </w:p>
    <w:p w:rsidR="00134DDB" w:rsidRPr="002E4BE5" w:rsidRDefault="00134DDB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البناء لمباني العظم في الضفة الغربية*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0.20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تشرين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ثاني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 مقارنة بشهر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تشرين أول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2022، إذ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انخفض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لأسعار تكاليف البناء لمباني العظم إلى 120.02 مقارنة</w:t>
      </w:r>
      <w:r w:rsidR="005D7696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E4BE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 120.26 خلال الشهر السابق (سنة الأساس 2013=100).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 سجلت أسعار مجموعة الخامات والمواد الأولية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0.30%، وأسعار مجموعة استئجار المعدات انخفاض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0.18%،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حين سجلت أسعار مجموعة تكاليف وأجور العمال استقراراً خلال شهر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ثان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ي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2022 مقارنة بالشهر السابق.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 في مؤشر</w:t>
      </w: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أسعار تكاليف إنشاء الطرق 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ارتفاعاً نسبته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0.27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ثاني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 مقارنة بشهر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تشرين أول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2022، إذ ارتفع الرقم القياسي العام لأسعار تكاليف الطرق إلى 115.74 مقارنة </w:t>
      </w:r>
      <w:r w:rsidR="005D7696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 115.43 خلال الشهر السابق (شهر الأساس كانون أول 2008=100).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lastRenderedPageBreak/>
        <w:t xml:space="preserve">على مستوى المجموعات الرئيسية سجلت أسعار مجموعة تكاليف تشغيل معدات وصيانة ارتفاعاً نسبته 1.82%، وأسعار مجموعة استئجار </w:t>
      </w:r>
      <w:r w:rsidR="005D7696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المعدات ارتفاعاً نسبته 0.57%، و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ارتفاعاً نسبته 0.25%، في </w:t>
      </w:r>
      <w:r w:rsidR="009C5E07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حين</w:t>
      </w:r>
      <w:r w:rsidR="00D74F87" w:rsidRPr="002E4BE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D74F87"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سجلت</w:t>
      </w:r>
      <w:r w:rsidR="009C5E07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تكاليف و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جور العمال استقراراً خلال شهر تشرين ثاني 2022 مقارنة بالشهر السابق.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E4B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أسعار تكاليف إنشاء شبكات المياه 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</w:t>
      </w:r>
      <w:bookmarkStart w:id="3" w:name="OLE_LINK5"/>
      <w:bookmarkStart w:id="4" w:name="OLE_LINK6"/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ارتفاعاً نسبته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0.15%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خلال شهر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ثاني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 مقارنة بشهر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تشرين أول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2022، إذ ارتفع الرقم القياسي لأسعار تكاليف إنشاء شبكات المياه الى 129.32 مقارنة</w:t>
      </w:r>
      <w:r w:rsidR="005D7696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 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بـ 129.12 خلال الشهر السابق (شهر الأساس كانون ثاني 2010=100).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 المياه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سجل الرقم </w:t>
      </w:r>
      <w:r w:rsidR="00B95E8C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 ارتفاعاً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نسبته 0.26%، إذ </w:t>
      </w:r>
      <w:r w:rsidR="00134DD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 الرقم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القياسي إلى 132.</w:t>
      </w:r>
      <w:r w:rsidR="00F9689D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53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بـ 132.19 خلال الشهر </w:t>
      </w:r>
      <w:r w:rsidR="00134DD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السابق،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حين سجلت أسعار خزانات المياه سجل الرقم القياسي انخفاضاً طفيفاً </w:t>
      </w:r>
      <w:r w:rsidR="00134DD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0.09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%،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انخفض الرقم القياسي إلى 122.24 مقارنة بـ 122.36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خلال الشهر السابق. 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 المؤشر العام لأسعار تكاليف إنشاء</w:t>
      </w:r>
      <w:r w:rsidRPr="002E4BE5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2E4BE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الصرف الصحي</w:t>
      </w:r>
    </w:p>
    <w:p w:rsidR="00984798" w:rsidRPr="002E4BE5" w:rsidRDefault="00984798" w:rsidP="002E4BE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الصرف الصحي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ارتفاعاً نسبته 0.20% خلال شهر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ثاني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 مقارنة بشهر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تشرين أول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2022، إذ ارتفع الرقم القياسي إلى 115.40 مقارنة بـ 115.17</w:t>
      </w:r>
      <w:r w:rsidR="004C1F2B"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E4BE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ثاني 2010=100).</w:t>
      </w: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2E4BE5" w:rsidRDefault="00984798" w:rsidP="002E4BE5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2E4BE5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2E4BE5" w:rsidRDefault="00984798" w:rsidP="002E4BE5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2E4BE5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color w:val="000000"/>
          <w:rtl/>
          <w:lang w:val="x-none" w:eastAsia="x-none"/>
        </w:rPr>
      </w:pPr>
      <w:r w:rsidRPr="002E4BE5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2E4BE5" w:rsidRDefault="00984798" w:rsidP="002E4BE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2E4BE5">
        <w:rPr>
          <w:rFonts w:ascii="Simplified Arabic" w:hAnsi="Simplified Arabic"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2E4BE5" w:rsidRDefault="00984798" w:rsidP="002E4BE5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4936BE" w:rsidRPr="002E4BE5" w:rsidRDefault="004936BE" w:rsidP="002E4BE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4936BE" w:rsidRPr="002E4BE5" w:rsidSect="002E4BE5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7C" w:rsidRDefault="00816E7C">
      <w:r>
        <w:separator/>
      </w:r>
    </w:p>
  </w:endnote>
  <w:endnote w:type="continuationSeparator" w:id="0">
    <w:p w:rsidR="00816E7C" w:rsidRDefault="0081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559F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7C" w:rsidRDefault="00816E7C">
      <w:r>
        <w:separator/>
      </w:r>
    </w:p>
  </w:footnote>
  <w:footnote w:type="continuationSeparator" w:id="0">
    <w:p w:rsidR="00816E7C" w:rsidRDefault="0081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1170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BE5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A35"/>
    <w:rsid w:val="003E632F"/>
    <w:rsid w:val="003E79D8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59F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16E7C"/>
    <w:rsid w:val="00817209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53FD"/>
    <w:rsid w:val="00E270F5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544905"/>
  <w15:chartTrackingRefBased/>
  <w15:docId w15:val="{9D1B0DDB-04E1-423E-9EF5-6899E01F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7204-3C9D-4B87-ADBC-B4E9EB84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2022-07-18T08:30:00Z</cp:lastPrinted>
  <dcterms:created xsi:type="dcterms:W3CDTF">2022-12-19T09:59:00Z</dcterms:created>
  <dcterms:modified xsi:type="dcterms:W3CDTF">2022-12-19T09:59:00Z</dcterms:modified>
</cp:coreProperties>
</file>