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70" w:rsidRDefault="006C3870" w:rsidP="006C3870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6C3870" w:rsidRPr="006C3870" w:rsidRDefault="006C3870" w:rsidP="006C3870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cs="Simplified Arabic" w:hint="cs"/>
          <w:b/>
          <w:bCs/>
          <w:sz w:val="28"/>
          <w:szCs w:val="28"/>
          <w:rtl/>
          <w:lang w:bidi="ar-AE"/>
        </w:rPr>
        <w:t>أيلول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09/2015</w:t>
      </w:r>
    </w:p>
    <w:p w:rsidR="006C3870" w:rsidRDefault="006C3870" w:rsidP="006C3870">
      <w:pPr>
        <w:spacing w:after="0"/>
        <w:jc w:val="both"/>
        <w:rPr>
          <w:rFonts w:cs="Simplified Arabic" w:hint="cs"/>
          <w:b/>
          <w:bCs/>
          <w:sz w:val="24"/>
          <w:szCs w:val="24"/>
          <w:rtl/>
        </w:rPr>
      </w:pPr>
    </w:p>
    <w:p w:rsidR="006C3870" w:rsidRPr="002359EF" w:rsidRDefault="006C3870" w:rsidP="006C3870">
      <w:pPr>
        <w:spacing w:after="0"/>
        <w:jc w:val="both"/>
        <w:rPr>
          <w:rFonts w:cs="Simplified Arabic"/>
          <w:b/>
          <w:bCs/>
          <w:sz w:val="24"/>
          <w:szCs w:val="24"/>
          <w:rtl/>
          <w:lang w:bidi="ar-JO"/>
        </w:rPr>
      </w:pPr>
      <w:r w:rsidRPr="002359EF">
        <w:rPr>
          <w:rFonts w:cs="Simplified Arabic" w:hint="cs"/>
          <w:b/>
          <w:bCs/>
          <w:sz w:val="24"/>
          <w:szCs w:val="24"/>
          <w:rtl/>
        </w:rPr>
        <w:t>الصادرات:</w:t>
      </w:r>
    </w:p>
    <w:p w:rsidR="006C3870" w:rsidRPr="002359EF" w:rsidRDefault="006C3870" w:rsidP="006C387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>الصادرات الفلسطينية خلال</w:t>
      </w:r>
      <w:r w:rsidRPr="003F542B">
        <w:rPr>
          <w:rFonts w:cs="Simplified Arabic" w:hint="cs"/>
          <w:color w:val="FF0000"/>
          <w:sz w:val="24"/>
          <w:szCs w:val="24"/>
          <w:rtl/>
        </w:rPr>
        <w:t xml:space="preserve"> </w:t>
      </w:r>
      <w:r w:rsidRPr="00B0644B">
        <w:rPr>
          <w:rFonts w:cs="Simplified Arabic" w:hint="cs"/>
          <w:color w:val="000000" w:themeColor="text1"/>
          <w:sz w:val="24"/>
          <w:szCs w:val="24"/>
          <w:rtl/>
        </w:rPr>
        <w:t>شهر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أيلول</w:t>
      </w:r>
      <w:r w:rsidRPr="003F542B">
        <w:rPr>
          <w:rFonts w:cs="Simplified Arabic" w:hint="cs"/>
          <w:color w:val="FF0000"/>
          <w:sz w:val="24"/>
          <w:szCs w:val="24"/>
          <w:rtl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 xml:space="preserve">من عام </w:t>
      </w:r>
      <w:r w:rsidRPr="008F2C72">
        <w:rPr>
          <w:rFonts w:ascii="Simplified Arabic" w:hAnsi="Simplified Arabic" w:cs="Simplified Arabic"/>
          <w:sz w:val="24"/>
          <w:szCs w:val="24"/>
          <w:rtl/>
        </w:rPr>
        <w:t>201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5 </w:t>
      </w:r>
      <w:r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/>
          <w:sz w:val="24"/>
          <w:szCs w:val="24"/>
        </w:rPr>
        <w:t>24.6</w:t>
      </w:r>
      <w:proofErr w:type="spellStart"/>
      <w:r w:rsidRPr="008F2C7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8F2C7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كما</w:t>
      </w:r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انخفضت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/>
          <w:sz w:val="24"/>
          <w:szCs w:val="24"/>
        </w:rPr>
        <w:t>16.2</w:t>
      </w:r>
      <w:proofErr w:type="spellStart"/>
      <w:r w:rsidRPr="001E528F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8F2C7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8F2C72">
        <w:rPr>
          <w:rFonts w:ascii="Simplified Arabic" w:hAnsi="Simplified Arabic" w:cs="Simplified Arabic"/>
          <w:sz w:val="24"/>
          <w:szCs w:val="24"/>
          <w:rtl/>
        </w:rPr>
        <w:t>201</w:t>
      </w:r>
      <w:r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2359EF">
        <w:rPr>
          <w:rFonts w:cs="Simplified Arabic" w:hint="cs"/>
          <w:sz w:val="24"/>
          <w:szCs w:val="24"/>
          <w:rtl/>
        </w:rPr>
        <w:t>،</w:t>
      </w:r>
      <w:proofErr w:type="spellEnd"/>
      <w:r w:rsidRPr="002359EF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/>
          <w:sz w:val="24"/>
          <w:szCs w:val="24"/>
        </w:rPr>
        <w:t>63.4</w:t>
      </w:r>
      <w:r w:rsidRPr="00864D3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359EF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6C3870" w:rsidRPr="007F74B7" w:rsidRDefault="006C3870" w:rsidP="006C3870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C3870" w:rsidRDefault="006C3870" w:rsidP="006C3870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23.3</w:t>
      </w:r>
      <w:proofErr w:type="spellStart"/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7F74B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34.1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الصادرات الى إسرائيل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89.4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أيلول 2015.</w:t>
      </w:r>
    </w:p>
    <w:p w:rsidR="006C3870" w:rsidRPr="00705B44" w:rsidRDefault="006C3870" w:rsidP="006C3870">
      <w:pPr>
        <w:spacing w:after="0" w:line="20" w:lineRule="atLeast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6C3870" w:rsidRPr="00995DAE" w:rsidRDefault="006C3870" w:rsidP="006C3870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995DAE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الواردات:</w:t>
      </w:r>
    </w:p>
    <w:p w:rsidR="006C3870" w:rsidRPr="00995DAE" w:rsidRDefault="006C3870" w:rsidP="006C3870">
      <w:pPr>
        <w:spacing w:after="0" w:line="20" w:lineRule="atLeast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ارتفعت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في </w:t>
      </w:r>
      <w:r w:rsidRPr="007157B2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Pr="003F542B">
        <w:rPr>
          <w:rFonts w:cs="Simplified Arabic" w:hint="cs"/>
          <w:color w:val="FF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بنسبة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A71ABD">
        <w:rPr>
          <w:rFonts w:ascii="Simplified Arabic" w:hAnsi="Simplified Arabic" w:cs="Simplified Arabic"/>
          <w:sz w:val="24"/>
          <w:szCs w:val="24"/>
        </w:rPr>
        <w:t>%</w:t>
      </w:r>
      <w:r>
        <w:rPr>
          <w:rFonts w:ascii="Simplified Arabic" w:hAnsi="Simplified Arabic" w:cs="Simplified Arabic"/>
          <w:sz w:val="24"/>
          <w:szCs w:val="24"/>
          <w:lang w:val="en-GB"/>
        </w:rPr>
        <w:t>5.0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995DAE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>
        <w:rPr>
          <w:rFonts w:cs="Simplified Arabic" w:hint="cs"/>
          <w:color w:val="000000" w:themeColor="text1"/>
          <w:sz w:val="24"/>
          <w:szCs w:val="24"/>
          <w:rtl/>
        </w:rPr>
        <w:t xml:space="preserve"> كما ارتفعت 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/>
          <w:sz w:val="24"/>
          <w:szCs w:val="24"/>
          <w:lang w:val="en-GB"/>
        </w:rPr>
        <w:t>6.4</w:t>
      </w:r>
      <w:proofErr w:type="spellStart"/>
      <w:r w:rsidRPr="00270AAD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87AFF">
        <w:rPr>
          <w:rFonts w:cs="Simplified Arabic" w:hint="cs"/>
          <w:sz w:val="24"/>
          <w:szCs w:val="24"/>
          <w:rtl/>
        </w:rPr>
        <w:t xml:space="preserve"> 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>بالمقارنة مع شهر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أيلول 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Pr="00395550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/>
          <w:sz w:val="24"/>
          <w:szCs w:val="24"/>
        </w:rPr>
        <w:t>450.3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995DAE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6C3870" w:rsidRPr="004540ED" w:rsidRDefault="006C3870" w:rsidP="006C3870">
      <w:pPr>
        <w:spacing w:after="0" w:line="240" w:lineRule="exact"/>
        <w:jc w:val="both"/>
        <w:rPr>
          <w:rFonts w:cs="Simplified Arabic"/>
          <w:color w:val="000000" w:themeColor="text1"/>
          <w:sz w:val="20"/>
          <w:szCs w:val="20"/>
          <w:rtl/>
        </w:rPr>
      </w:pPr>
    </w:p>
    <w:p w:rsidR="006C3870" w:rsidRDefault="006C3870" w:rsidP="006C3870">
      <w:pPr>
        <w:spacing w:after="0" w:line="20" w:lineRule="atLeast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 xml:space="preserve">ارتفعت 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28.8</w:t>
      </w:r>
      <w:proofErr w:type="spellStart"/>
      <w:r w:rsidRPr="004540ED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4540ED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بينما انخفضت الواردات 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من باقي دول العالم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21.8</w:t>
      </w:r>
      <w:proofErr w:type="spellStart"/>
      <w:r w:rsidRPr="004540ED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65.0</w:t>
      </w:r>
      <w:proofErr w:type="spellStart"/>
      <w:r w:rsidRPr="004540ED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أيلول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4540ED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6C3870" w:rsidRPr="00566FC2" w:rsidRDefault="006C3870" w:rsidP="006C3870">
      <w:pPr>
        <w:spacing w:after="0" w:line="20" w:lineRule="atLeast"/>
        <w:jc w:val="center"/>
        <w:rPr>
          <w:rFonts w:cs="Simplified Arabic"/>
          <w:color w:val="000000" w:themeColor="text1"/>
          <w:sz w:val="24"/>
          <w:szCs w:val="24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  <w:r w:rsidRPr="00B730F7">
        <w:rPr>
          <w:rFonts w:cs="Simplified Arabic"/>
          <w:noProof/>
          <w:color w:val="000000" w:themeColor="text1"/>
          <w:rtl/>
        </w:rPr>
        <w:drawing>
          <wp:inline distT="0" distB="0" distL="0" distR="0">
            <wp:extent cx="3027045" cy="2047875"/>
            <wp:effectExtent l="19050" t="0" r="20955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rPr>
          <w:rFonts w:cs="Simplified Arabic" w:hint="cs"/>
          <w:noProof/>
          <w:color w:val="000000" w:themeColor="text1"/>
          <w:rtl/>
        </w:rPr>
      </w:pPr>
    </w:p>
    <w:p w:rsidR="006C3870" w:rsidRDefault="006C3870" w:rsidP="006C3870">
      <w:pPr>
        <w:spacing w:after="0"/>
        <w:jc w:val="center"/>
        <w:rPr>
          <w:rFonts w:cs="Simplified Arabic"/>
          <w:b/>
          <w:bCs/>
          <w:color w:val="000000" w:themeColor="text1"/>
          <w:sz w:val="24"/>
          <w:szCs w:val="24"/>
        </w:rPr>
      </w:pPr>
      <w:r w:rsidRPr="00982316">
        <w:rPr>
          <w:rFonts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27045" cy="2676525"/>
            <wp:effectExtent l="19050" t="0" r="2095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3870" w:rsidRDefault="006C3870" w:rsidP="006C3870">
      <w:pPr>
        <w:spacing w:after="0"/>
        <w:jc w:val="both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</w:p>
    <w:p w:rsidR="006C3870" w:rsidRPr="00C74A29" w:rsidRDefault="006C3870" w:rsidP="006C3870">
      <w:pPr>
        <w:spacing w:after="0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C74A29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الميزان التجاري للسلع المرصودة:</w:t>
      </w:r>
    </w:p>
    <w:p w:rsidR="006C3870" w:rsidRDefault="006C3870" w:rsidP="006C3870">
      <w:pPr>
        <w:jc w:val="both"/>
        <w:rPr>
          <w:rFonts w:hint="cs"/>
          <w:b/>
          <w:bCs/>
          <w:color w:val="000000" w:themeColor="text1"/>
          <w:rtl/>
        </w:rPr>
      </w:pP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C74A2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ا</w:t>
      </w:r>
      <w:proofErr w:type="spellStart"/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رتفاعاً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في قيمة العجز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12.3</w:t>
      </w:r>
      <w:proofErr w:type="spellStart"/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ارتفع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11.4</w:t>
      </w:r>
      <w:proofErr w:type="spellStart"/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2014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386.9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مليون </w:t>
      </w:r>
      <w:r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C3870" w:rsidRDefault="006C3870" w:rsidP="006C3870">
      <w:pPr>
        <w:jc w:val="both"/>
        <w:rPr>
          <w:rFonts w:hint="cs"/>
          <w:b/>
          <w:bCs/>
          <w:color w:val="000000" w:themeColor="text1"/>
          <w:rtl/>
        </w:rPr>
      </w:pPr>
    </w:p>
    <w:p w:rsidR="006C3870" w:rsidRPr="006C3870" w:rsidRDefault="006C3870" w:rsidP="006C3870">
      <w:pPr>
        <w:jc w:val="both"/>
        <w:rPr>
          <w:b/>
          <w:bCs/>
          <w:color w:val="000000" w:themeColor="text1"/>
          <w:rtl/>
        </w:rPr>
      </w:pPr>
    </w:p>
    <w:p w:rsidR="006C3870" w:rsidRDefault="006C3870" w:rsidP="006C3870">
      <w:pPr>
        <w:pStyle w:val="Footer"/>
      </w:pPr>
      <w:r w:rsidRPr="006C3870">
        <w:rPr>
          <w:rFonts w:cs="Simplified Arabic" w:hint="cs"/>
          <w:b/>
          <w:bCs/>
          <w:rtl/>
        </w:rPr>
        <w:t>*: تشمل البيانات الفعلية التي تم الحصول عليها من المصادر الرسمية</w:t>
      </w:r>
    </w:p>
    <w:p w:rsidR="00AD43FA" w:rsidRPr="006C3870" w:rsidRDefault="00AD43FA"/>
    <w:sectPr w:rsidR="00AD43FA" w:rsidRPr="006C3870" w:rsidSect="006C3870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8C1" w:rsidRDefault="00AA18C1" w:rsidP="006C3870">
      <w:pPr>
        <w:spacing w:after="0" w:line="240" w:lineRule="auto"/>
      </w:pPr>
      <w:r>
        <w:separator/>
      </w:r>
    </w:p>
  </w:endnote>
  <w:endnote w:type="continuationSeparator" w:id="0">
    <w:p w:rsidR="00AA18C1" w:rsidRDefault="00AA18C1" w:rsidP="006C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8C1" w:rsidRDefault="00AA18C1" w:rsidP="006C3870">
      <w:pPr>
        <w:spacing w:after="0" w:line="240" w:lineRule="auto"/>
      </w:pPr>
      <w:r>
        <w:separator/>
      </w:r>
    </w:p>
  </w:footnote>
  <w:footnote w:type="continuationSeparator" w:id="0">
    <w:p w:rsidR="00AA18C1" w:rsidRDefault="00AA18C1" w:rsidP="006C3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70"/>
    <w:rsid w:val="005E7849"/>
    <w:rsid w:val="006C3870"/>
    <w:rsid w:val="00AA18C1"/>
    <w:rsid w:val="00AD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7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C3870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C3870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C38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38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C38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7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khalid\Desktop\&#1575;&#1587;&#1585;&#1575;&#1574;&#1610;&#1604;%20(Autosaved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5\Monthly\&#1588;&#1607;&#1585;%209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900">
                <a:latin typeface="Simplified Arabic" pitchFamily="18" charset="-78"/>
                <a:cs typeface="Simplified Arabic" pitchFamily="18" charset="-78"/>
              </a:defRPr>
            </a:pPr>
            <a:r>
              <a:rPr lang="ar-AE" sz="900" baseline="0">
                <a:latin typeface="Simplified Arabic" pitchFamily="18" charset="-78"/>
                <a:cs typeface="Simplified Arabic" pitchFamily="18" charset="-78"/>
              </a:rPr>
              <a:t>الواردات من إسرائيل للفترة كانون ثاني- أيلول</a:t>
            </a:r>
            <a:r>
              <a:rPr lang="ar-SA" sz="900" baseline="0">
                <a:latin typeface="Simplified Arabic" pitchFamily="18" charset="-78"/>
                <a:cs typeface="Simplified Arabic" pitchFamily="18" charset="-78"/>
              </a:rPr>
              <a:t>،</a:t>
            </a:r>
            <a:r>
              <a:rPr lang="ar-AE" sz="900" baseline="0">
                <a:latin typeface="Simplified Arabic" pitchFamily="18" charset="-78"/>
                <a:cs typeface="Simplified Arabic" pitchFamily="18" charset="-78"/>
              </a:rPr>
              <a:t> 2015</a:t>
            </a:r>
          </a:p>
          <a:p>
            <a:pPr>
              <a:defRPr sz="900">
                <a:latin typeface="Simplified Arabic" pitchFamily="18" charset="-78"/>
                <a:cs typeface="Simplified Arabic" pitchFamily="18" charset="-78"/>
              </a:defRPr>
            </a:pPr>
            <a:endParaRPr lang="en-GB" sz="9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2190350831671"/>
          <c:y val="3.7209302325581447E-4"/>
        </c:manualLayout>
      </c:layout>
    </c:title>
    <c:plotArea>
      <c:layout>
        <c:manualLayout>
          <c:layoutTarget val="inner"/>
          <c:xMode val="edge"/>
          <c:yMode val="edge"/>
          <c:x val="0.21754205529581441"/>
          <c:y val="0.12011475309772324"/>
          <c:w val="0.75213755859906373"/>
          <c:h val="0.72170994939807875"/>
        </c:manualLayout>
      </c:layout>
      <c:lineChart>
        <c:grouping val="standard"/>
        <c:ser>
          <c:idx val="0"/>
          <c:order val="0"/>
          <c:tx>
            <c:strRef>
              <c:f>'2015'!$B$1</c:f>
              <c:strCache>
                <c:ptCount val="1"/>
                <c:pt idx="0">
                  <c:v>وارد</c:v>
                </c:pt>
              </c:strCache>
            </c:strRef>
          </c:tx>
          <c:cat>
            <c:strRef>
              <c:f>'2015'!$A$2:$A$10</c:f>
              <c:strCache>
                <c:ptCount val="9"/>
                <c:pt idx="0">
                  <c:v>كانون ثاني </c:v>
                </c:pt>
                <c:pt idx="1">
                  <c:v>شباط </c:v>
                </c:pt>
                <c:pt idx="2">
                  <c:v>آذار 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</c:strCache>
            </c:strRef>
          </c:cat>
          <c:val>
            <c:numRef>
              <c:f>'2015'!$B$2:$B$10</c:f>
              <c:numCache>
                <c:formatCode>0.0</c:formatCode>
                <c:ptCount val="9"/>
                <c:pt idx="0">
                  <c:v>212.61877904331195</c:v>
                </c:pt>
                <c:pt idx="1">
                  <c:v>213.64895541707011</c:v>
                </c:pt>
                <c:pt idx="2">
                  <c:v>240.52120602017121</c:v>
                </c:pt>
                <c:pt idx="3">
                  <c:v>231.42000000000004</c:v>
                </c:pt>
                <c:pt idx="4">
                  <c:v>236.85120000000018</c:v>
                </c:pt>
                <c:pt idx="5">
                  <c:v>246.86400000000003</c:v>
                </c:pt>
                <c:pt idx="6">
                  <c:v>221.92927053448679</c:v>
                </c:pt>
                <c:pt idx="7">
                  <c:v>227.31345966408159</c:v>
                </c:pt>
                <c:pt idx="8">
                  <c:v>292.77463021761969</c:v>
                </c:pt>
              </c:numCache>
            </c:numRef>
          </c:val>
        </c:ser>
        <c:marker val="1"/>
        <c:axId val="182751232"/>
        <c:axId val="161307264"/>
      </c:lineChart>
      <c:catAx>
        <c:axId val="182751232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61307264"/>
        <c:crosses val="autoZero"/>
        <c:auto val="1"/>
        <c:lblAlgn val="ctr"/>
        <c:lblOffset val="100"/>
      </c:catAx>
      <c:valAx>
        <c:axId val="161307264"/>
        <c:scaling>
          <c:orientation val="minMax"/>
          <c:max val="5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aseline="0"/>
                  <a:t>القيمة بالمليون </a:t>
                </a:r>
                <a:r>
                  <a:rPr lang="ar-AE" sz="900" baseline="0"/>
                  <a:t>دولار أمريكي</a:t>
                </a:r>
                <a:endParaRPr lang="en-GB" sz="900"/>
              </a:p>
            </c:rich>
          </c:tx>
          <c:layout>
            <c:manualLayout>
              <c:xMode val="edge"/>
              <c:yMode val="edge"/>
              <c:x val="3.5949670461354152E-2"/>
              <c:y val="0.15030653726423734"/>
            </c:manualLayout>
          </c:layout>
        </c:title>
        <c:numFmt formatCode="0" sourceLinked="0"/>
        <c:tickLblPos val="nextTo"/>
        <c:crossAx val="1827512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b="1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="1" baseline="0">
                <a:latin typeface="Simplified Arabic" pitchFamily="18" charset="-78"/>
                <a:cs typeface="Simplified Arabic" pitchFamily="18" charset="-78"/>
              </a:rPr>
              <a:t>الواردات والصادرات</a:t>
            </a:r>
            <a:r>
              <a:rPr lang="en-US" sz="800" b="1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="1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AE" sz="800" b="1" baseline="0">
                <a:latin typeface="Simplified Arabic" pitchFamily="18" charset="-78"/>
                <a:cs typeface="Simplified Arabic" pitchFamily="18" charset="-78"/>
              </a:rPr>
              <a:t> أيلول</a:t>
            </a:r>
            <a:r>
              <a:rPr lang="ar-SA" sz="800" b="1" baseline="0">
                <a:latin typeface="Simplified Arabic" pitchFamily="18" charset="-78"/>
                <a:cs typeface="Simplified Arabic" pitchFamily="18" charset="-78"/>
              </a:rPr>
              <a:t>، 1999- </a:t>
            </a:r>
            <a:r>
              <a:rPr lang="en-US" sz="800" b="1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en-GB" sz="800" b="1" baseline="0">
                <a:latin typeface="Simplified Arabic" pitchFamily="18" charset="-78"/>
                <a:cs typeface="Simplified Arabic" pitchFamily="18" charset="-78"/>
              </a:rPr>
              <a:t>2015</a:t>
            </a:r>
            <a:endParaRPr lang="en-US" sz="800" b="1" baseline="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2296837823143012"/>
          <c:y val="1.7231986580531534E-2"/>
        </c:manualLayout>
      </c:layout>
    </c:title>
    <c:plotArea>
      <c:layout>
        <c:manualLayout>
          <c:layoutTarget val="inner"/>
          <c:xMode val="edge"/>
          <c:yMode val="edge"/>
          <c:x val="0.18685222512671695"/>
          <c:y val="0.12258887837431157"/>
          <c:w val="0.74869482913702801"/>
          <c:h val="0.69214370228893074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وارد</c:v>
                </c:pt>
              </c:strCache>
            </c:strRef>
          </c:tx>
          <c:marker>
            <c:symbol val="diamond"/>
            <c:size val="7"/>
          </c:marker>
          <c:cat>
            <c:strRef>
              <c:f>Sheet1!$A$2:$A$18</c:f>
              <c:strCache>
                <c:ptCount val="17"/>
                <c:pt idx="0">
                  <c:v>أيلول 99</c:v>
                </c:pt>
                <c:pt idx="1">
                  <c:v>أيلول 00</c:v>
                </c:pt>
                <c:pt idx="2">
                  <c:v>أيلول 01</c:v>
                </c:pt>
                <c:pt idx="3">
                  <c:v>أيلول 02</c:v>
                </c:pt>
                <c:pt idx="4">
                  <c:v>أيلول 03</c:v>
                </c:pt>
                <c:pt idx="5">
                  <c:v>أيلول 04</c:v>
                </c:pt>
                <c:pt idx="6">
                  <c:v>أيلول 05</c:v>
                </c:pt>
                <c:pt idx="7">
                  <c:v>أيلول 06</c:v>
                </c:pt>
                <c:pt idx="8">
                  <c:v>أيلول 07</c:v>
                </c:pt>
                <c:pt idx="9">
                  <c:v>أيلول 08</c:v>
                </c:pt>
                <c:pt idx="10">
                  <c:v>أيلول 09</c:v>
                </c:pt>
                <c:pt idx="11">
                  <c:v>أيلول 10</c:v>
                </c:pt>
                <c:pt idx="12">
                  <c:v>أيلول 11</c:v>
                </c:pt>
                <c:pt idx="13">
                  <c:v>أيلول 12</c:v>
                </c:pt>
                <c:pt idx="14">
                  <c:v>أيلول 13</c:v>
                </c:pt>
                <c:pt idx="15">
                  <c:v>أيلول 14</c:v>
                </c:pt>
                <c:pt idx="16">
                  <c:v>أيلول 15</c:v>
                </c:pt>
              </c:strCache>
            </c:strRef>
          </c:cat>
          <c:val>
            <c:numRef>
              <c:f>Sheet1!$B$2:$B$18</c:f>
              <c:numCache>
                <c:formatCode>#,##0.0</c:formatCode>
                <c:ptCount val="17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صادر</c:v>
                </c:pt>
              </c:strCache>
            </c:strRef>
          </c:tx>
          <c:spPr>
            <a:ln w="28575"/>
          </c:spPr>
          <c:marker>
            <c:symbol val="triangle"/>
            <c:size val="7"/>
          </c:marker>
          <c:cat>
            <c:strRef>
              <c:f>Sheet1!$A$2:$A$18</c:f>
              <c:strCache>
                <c:ptCount val="17"/>
                <c:pt idx="0">
                  <c:v>أيلول 99</c:v>
                </c:pt>
                <c:pt idx="1">
                  <c:v>أيلول 00</c:v>
                </c:pt>
                <c:pt idx="2">
                  <c:v>أيلول 01</c:v>
                </c:pt>
                <c:pt idx="3">
                  <c:v>أيلول 02</c:v>
                </c:pt>
                <c:pt idx="4">
                  <c:v>أيلول 03</c:v>
                </c:pt>
                <c:pt idx="5">
                  <c:v>أيلول 04</c:v>
                </c:pt>
                <c:pt idx="6">
                  <c:v>أيلول 05</c:v>
                </c:pt>
                <c:pt idx="7">
                  <c:v>أيلول 06</c:v>
                </c:pt>
                <c:pt idx="8">
                  <c:v>أيلول 07</c:v>
                </c:pt>
                <c:pt idx="9">
                  <c:v>أيلول 08</c:v>
                </c:pt>
                <c:pt idx="10">
                  <c:v>أيلول 09</c:v>
                </c:pt>
                <c:pt idx="11">
                  <c:v>أيلول 10</c:v>
                </c:pt>
                <c:pt idx="12">
                  <c:v>أيلول 11</c:v>
                </c:pt>
                <c:pt idx="13">
                  <c:v>أيلول 12</c:v>
                </c:pt>
                <c:pt idx="14">
                  <c:v>أيلول 13</c:v>
                </c:pt>
                <c:pt idx="15">
                  <c:v>أيلول 14</c:v>
                </c:pt>
                <c:pt idx="16">
                  <c:v>أيلول 15</c:v>
                </c:pt>
              </c:strCache>
            </c:strRef>
          </c:cat>
          <c:val>
            <c:numRef>
              <c:f>Sheet1!$C$2:$C$18</c:f>
              <c:numCache>
                <c:formatCode>#,##0.0</c:formatCode>
                <c:ptCount val="17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</c:numCache>
            </c:numRef>
          </c:val>
        </c:ser>
        <c:marker val="1"/>
        <c:axId val="190679680"/>
        <c:axId val="190681472"/>
      </c:lineChart>
      <c:dateAx>
        <c:axId val="190679680"/>
        <c:scaling>
          <c:orientation val="minMax"/>
          <c:max val="17"/>
          <c:min val="1"/>
        </c:scaling>
        <c:axPos val="b"/>
        <c:majorGridlines/>
        <c:numFmt formatCode="[$-10A0000]\ mmmm\ 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90681472"/>
        <c:crosses val="autoZero"/>
        <c:auto val="1"/>
        <c:lblOffset val="100"/>
        <c:baseTimeUnit val="years"/>
        <c:majorUnit val="1"/>
        <c:majorTimeUnit val="years"/>
        <c:minorUnit val="1"/>
        <c:minorTimeUnit val="years"/>
      </c:dateAx>
      <c:valAx>
        <c:axId val="190681472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>
                    <a:cs typeface="Simplified Arabic" pitchFamily="2" charset="-78"/>
                  </a:defRPr>
                </a:pPr>
                <a:r>
                  <a:rPr lang="ar-SA" sz="800">
                    <a:cs typeface="Simplified Arabic" pitchFamily="2" charset="-78"/>
                  </a:rPr>
                  <a:t>القيمة بالمليون دولار أمريكي</a:t>
                </a:r>
                <a:endParaRPr lang="en-US" sz="800">
                  <a:cs typeface="Simplified Arabic" pitchFamily="2" charset="-78"/>
                </a:endParaRPr>
              </a:p>
            </c:rich>
          </c:tx>
          <c:layout>
            <c:manualLayout>
              <c:xMode val="edge"/>
              <c:yMode val="edge"/>
              <c:x val="1.5007331371216112E-4"/>
              <c:y val="0.28402946955038288"/>
            </c:manualLayout>
          </c:layout>
        </c:title>
        <c:numFmt formatCode="#,##0" sourceLinked="0"/>
        <c:majorTickMark val="none"/>
        <c:tickLblPos val="nextTo"/>
        <c:txPr>
          <a:bodyPr/>
          <a:lstStyle/>
          <a:p>
            <a:pPr>
              <a:defRPr b="0"/>
            </a:pPr>
            <a:endParaRPr lang="ar-SA"/>
          </a:p>
        </c:txPr>
        <c:crossAx val="190679680"/>
        <c:crosses val="autoZero"/>
        <c:crossBetween val="midCat"/>
        <c:majorUnit val="100"/>
        <c:minorUnit val="20"/>
      </c:valAx>
    </c:plotArea>
    <c:legend>
      <c:legendPos val="b"/>
      <c:layout>
        <c:manualLayout>
          <c:xMode val="edge"/>
          <c:yMode val="edge"/>
          <c:x val="7.2984313921037158E-2"/>
          <c:y val="0.95760616461403869"/>
          <c:w val="0.82445825532602901"/>
          <c:h val="3.6217780469749487E-2"/>
        </c:manualLayout>
      </c:layout>
      <c:txPr>
        <a:bodyPr/>
        <a:lstStyle/>
        <a:p>
          <a:pPr>
            <a:defRPr sz="800" b="1"/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2015-11-23T06:47:00Z</cp:lastPrinted>
  <dcterms:created xsi:type="dcterms:W3CDTF">2015-11-23T06:44:00Z</dcterms:created>
  <dcterms:modified xsi:type="dcterms:W3CDTF">2015-11-23T06:47:00Z</dcterms:modified>
</cp:coreProperties>
</file>