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BF" w:rsidRPr="00300E51" w:rsidRDefault="001557BF" w:rsidP="00102FDB">
      <w:pPr>
        <w:pStyle w:val="BodyText"/>
        <w:jc w:val="center"/>
        <w:rPr>
          <w:rFonts w:cs="Simplified Arabic"/>
          <w:b/>
          <w:bCs/>
          <w:szCs w:val="24"/>
          <w:rtl/>
        </w:rPr>
      </w:pPr>
      <w:r w:rsidRPr="00300E51">
        <w:rPr>
          <w:rFonts w:cs="Simplified Arabic" w:hint="cs"/>
          <w:b/>
          <w:bCs/>
          <w:szCs w:val="24"/>
          <w:rtl/>
        </w:rPr>
        <w:t>البيان الصحفي لمالية الحكومة العامة</w:t>
      </w:r>
      <w:r w:rsidR="00102FDB">
        <w:rPr>
          <w:rFonts w:cs="Simplified Arabic" w:hint="cs"/>
          <w:b/>
          <w:bCs/>
          <w:szCs w:val="24"/>
          <w:rtl/>
        </w:rPr>
        <w:t xml:space="preserve"> 2013  </w:t>
      </w:r>
    </w:p>
    <w:p w:rsidR="00363560" w:rsidRDefault="001557BF" w:rsidP="001557BF">
      <w:pPr>
        <w:bidi/>
        <w:jc w:val="center"/>
        <w:rPr>
          <w:rFonts w:ascii="Times New Roman" w:hAnsi="Times New Roman" w:cs="Simplified Arabic"/>
          <w:b/>
          <w:bCs/>
          <w:sz w:val="27"/>
          <w:szCs w:val="27"/>
        </w:rPr>
      </w:pPr>
      <w:r>
        <w:rPr>
          <w:rFonts w:ascii="Times New Roman" w:hAnsi="Times New Roman" w:cs="Simplified Arabic" w:hint="cs"/>
          <w:b/>
          <w:bCs/>
          <w:sz w:val="27"/>
          <w:szCs w:val="27"/>
          <w:rtl/>
          <w:lang w:bidi="ar-JO"/>
        </w:rPr>
        <w:t>3</w:t>
      </w:r>
      <w:r w:rsidRPr="00ED3252">
        <w:rPr>
          <w:rFonts w:ascii="Times New Roman" w:hAnsi="Times New Roman" w:cs="Simplified Arabic" w:hint="cs"/>
          <w:b/>
          <w:bCs/>
          <w:sz w:val="27"/>
          <w:szCs w:val="27"/>
          <w:rtl/>
          <w:lang w:bidi="ar-JO"/>
        </w:rPr>
        <w:t>,</w:t>
      </w:r>
      <w:r>
        <w:rPr>
          <w:rFonts w:ascii="Times New Roman" w:hAnsi="Times New Roman" w:cs="Simplified Arabic" w:hint="cs"/>
          <w:b/>
          <w:bCs/>
          <w:sz w:val="27"/>
          <w:szCs w:val="27"/>
          <w:rtl/>
          <w:lang w:bidi="ar-JO"/>
        </w:rPr>
        <w:t>927</w:t>
      </w:r>
      <w:r w:rsidRPr="00ED3252">
        <w:rPr>
          <w:rFonts w:ascii="Times New Roman" w:hAnsi="Times New Roman" w:cs="Simplified Arabic" w:hint="cs"/>
          <w:b/>
          <w:bCs/>
          <w:sz w:val="27"/>
          <w:szCs w:val="27"/>
          <w:rtl/>
          <w:lang w:bidi="ar-JO"/>
        </w:rPr>
        <w:t>.</w:t>
      </w:r>
      <w:r>
        <w:rPr>
          <w:rFonts w:ascii="Times New Roman" w:hAnsi="Times New Roman" w:cs="Simplified Arabic" w:hint="cs"/>
          <w:b/>
          <w:bCs/>
          <w:sz w:val="27"/>
          <w:szCs w:val="27"/>
          <w:rtl/>
          <w:lang w:bidi="ar-JO"/>
        </w:rPr>
        <w:t>3</w:t>
      </w:r>
      <w:r w:rsidRPr="00ED3252">
        <w:rPr>
          <w:rFonts w:ascii="Times New Roman" w:hAnsi="Times New Roman" w:cs="Simplified Arabic" w:hint="cs"/>
          <w:b/>
          <w:bCs/>
          <w:sz w:val="27"/>
          <w:szCs w:val="27"/>
          <w:rtl/>
        </w:rPr>
        <w:t xml:space="preserve"> </w:t>
      </w:r>
      <w:r w:rsidRPr="00ED3252">
        <w:rPr>
          <w:rFonts w:ascii="Times New Roman" w:hAnsi="Times New Roman" w:cs="Simplified Arabic" w:hint="cs"/>
          <w:b/>
          <w:bCs/>
          <w:sz w:val="27"/>
          <w:szCs w:val="27"/>
          <w:rtl/>
          <w:lang w:bidi="ar-JO"/>
        </w:rPr>
        <w:t xml:space="preserve">مليون دولار أمريكي قيمة إجمالي النفقات، </w:t>
      </w:r>
      <w:r>
        <w:rPr>
          <w:rFonts w:ascii="Times New Roman" w:hAnsi="Times New Roman" w:cs="Simplified Arabic" w:hint="cs"/>
          <w:b/>
          <w:bCs/>
          <w:sz w:val="27"/>
          <w:szCs w:val="27"/>
          <w:rtl/>
          <w:lang w:bidi="ar-JO"/>
        </w:rPr>
        <w:t>4</w:t>
      </w:r>
      <w:r>
        <w:rPr>
          <w:rFonts w:ascii="Times New Roman" w:hAnsi="Times New Roman" w:cs="Simplified Arabic" w:hint="cs"/>
          <w:b/>
          <w:bCs/>
          <w:sz w:val="27"/>
          <w:szCs w:val="27"/>
          <w:rtl/>
        </w:rPr>
        <w:t>,</w:t>
      </w:r>
      <w:r>
        <w:rPr>
          <w:rFonts w:ascii="Times New Roman" w:hAnsi="Times New Roman" w:cs="Simplified Arabic" w:hint="cs"/>
          <w:b/>
          <w:bCs/>
          <w:sz w:val="27"/>
          <w:szCs w:val="27"/>
          <w:rtl/>
          <w:lang w:bidi="ar-JO"/>
        </w:rPr>
        <w:t>049.2</w:t>
      </w:r>
      <w:r w:rsidRPr="00ED3252">
        <w:rPr>
          <w:rFonts w:ascii="Times New Roman" w:hAnsi="Times New Roman" w:cs="Simplified Arabic" w:hint="cs"/>
          <w:b/>
          <w:bCs/>
          <w:sz w:val="27"/>
          <w:szCs w:val="27"/>
          <w:rtl/>
        </w:rPr>
        <w:t xml:space="preserve"> مليون دولار أمريكي </w:t>
      </w:r>
      <w:r w:rsidRPr="00ED3252">
        <w:rPr>
          <w:rFonts w:ascii="Times New Roman" w:hAnsi="Times New Roman" w:cs="Simplified Arabic" w:hint="cs"/>
          <w:b/>
          <w:bCs/>
          <w:sz w:val="27"/>
          <w:szCs w:val="27"/>
          <w:rtl/>
          <w:lang w:bidi="ar-JO"/>
        </w:rPr>
        <w:t xml:space="preserve">قيمة الإيرادات، حوالي </w:t>
      </w:r>
      <w:r>
        <w:rPr>
          <w:rFonts w:ascii="Times New Roman" w:hAnsi="Times New Roman" w:cs="Simplified Arabic" w:hint="cs"/>
          <w:b/>
          <w:bCs/>
          <w:sz w:val="27"/>
          <w:szCs w:val="27"/>
          <w:rtl/>
          <w:lang w:bidi="ar-JO"/>
        </w:rPr>
        <w:t>34.0</w:t>
      </w:r>
      <w:r w:rsidRPr="00ED3252">
        <w:rPr>
          <w:rFonts w:ascii="Times New Roman" w:hAnsi="Times New Roman" w:cs="Simplified Arabic" w:hint="cs"/>
          <w:b/>
          <w:bCs/>
          <w:sz w:val="27"/>
          <w:szCs w:val="27"/>
          <w:rtl/>
          <w:lang w:bidi="ar-JO"/>
        </w:rPr>
        <w:t>% منها منح</w:t>
      </w:r>
      <w:r w:rsidRPr="00ED3252">
        <w:rPr>
          <w:rFonts w:ascii="Times New Roman" w:hAnsi="Times New Roman" w:cs="Simplified Arabic" w:hint="cs"/>
          <w:b/>
          <w:bCs/>
          <w:sz w:val="27"/>
          <w:szCs w:val="27"/>
          <w:rtl/>
        </w:rPr>
        <w:t xml:space="preserve"> ومساعدات</w:t>
      </w:r>
      <w:r>
        <w:rPr>
          <w:rFonts w:ascii="Times New Roman" w:hAnsi="Times New Roman" w:cs="Simplified Arabic" w:hint="cs"/>
          <w:b/>
          <w:bCs/>
          <w:sz w:val="27"/>
          <w:szCs w:val="27"/>
          <w:rtl/>
        </w:rPr>
        <w:t xml:space="preserve"> خارجية.</w:t>
      </w:r>
    </w:p>
    <w:p w:rsidR="001557BF" w:rsidRDefault="001557BF" w:rsidP="001557BF">
      <w:pPr>
        <w:pStyle w:val="BodyText"/>
        <w:jc w:val="both"/>
        <w:rPr>
          <w:rFonts w:cs="Simplified Arabic"/>
          <w:szCs w:val="24"/>
          <w:rtl/>
        </w:rPr>
      </w:pPr>
      <w:r w:rsidRPr="00300E51">
        <w:rPr>
          <w:rFonts w:cs="Simplified Arabic" w:hint="cs"/>
          <w:szCs w:val="24"/>
          <w:rtl/>
        </w:rPr>
        <w:t xml:space="preserve">استمرارا للتعاون المشترك بين وزارة المالية والجهاز المركزي للإحصاء الفلسطيني، تم تنفيذ برنامج إحصاءات مالية الحكومة العامة لعام </w:t>
      </w:r>
      <w:r>
        <w:rPr>
          <w:rFonts w:ascii="Times New Roman" w:hAnsi="Times New Roman" w:cs="Simplified Arabic" w:hint="cs"/>
          <w:szCs w:val="24"/>
          <w:rtl/>
        </w:rPr>
        <w:t>2013</w:t>
      </w:r>
      <w:r w:rsidRPr="00300E51">
        <w:rPr>
          <w:rFonts w:cs="Simplified Arabic" w:hint="cs"/>
          <w:szCs w:val="24"/>
          <w:rtl/>
        </w:rPr>
        <w:t xml:space="preserve"> حسب دليل إعداد إحصاءات مالية الحكومة </w:t>
      </w:r>
      <w:r w:rsidRPr="00300E51">
        <w:rPr>
          <w:rFonts w:ascii="Times New Roman" w:hAnsi="Times New Roman" w:cs="Simplified Arabic"/>
          <w:szCs w:val="24"/>
          <w:rtl/>
        </w:rPr>
        <w:t>(</w:t>
      </w:r>
      <w:r w:rsidRPr="00300E51">
        <w:rPr>
          <w:rFonts w:ascii="Times New Roman" w:hAnsi="Times New Roman" w:cs="Simplified Arabic"/>
          <w:szCs w:val="24"/>
        </w:rPr>
        <w:t>GFSM 2001</w:t>
      </w:r>
      <w:r w:rsidRPr="00300E51">
        <w:rPr>
          <w:rFonts w:ascii="Times New Roman" w:hAnsi="Times New Roman" w:cs="Simplified Arabic"/>
          <w:szCs w:val="24"/>
          <w:rtl/>
        </w:rPr>
        <w:t>)</w:t>
      </w:r>
      <w:r w:rsidRPr="00300E51">
        <w:rPr>
          <w:rFonts w:cs="Simplified Arabic" w:hint="cs"/>
          <w:szCs w:val="24"/>
          <w:rtl/>
        </w:rPr>
        <w:t xml:space="preserve"> الصادر عن صندوق النقد الدولي</w:t>
      </w:r>
      <w:r>
        <w:rPr>
          <w:rFonts w:cs="Simplified Arabic" w:hint="cs"/>
          <w:szCs w:val="24"/>
          <w:rtl/>
        </w:rPr>
        <w:t xml:space="preserve"> عام </w:t>
      </w:r>
      <w:r w:rsidRPr="002F413A">
        <w:rPr>
          <w:rFonts w:ascii="Times New Roman" w:hAnsi="Times New Roman" w:cs="Times New Roman"/>
          <w:szCs w:val="24"/>
          <w:rtl/>
        </w:rPr>
        <w:t>2001</w:t>
      </w:r>
      <w:r>
        <w:rPr>
          <w:rFonts w:cs="Simplified Arabic" w:hint="cs"/>
          <w:szCs w:val="24"/>
          <w:rtl/>
        </w:rPr>
        <w:t xml:space="preserve">. </w:t>
      </w:r>
    </w:p>
    <w:p w:rsidR="001557BF" w:rsidRDefault="001557BF" w:rsidP="001557BF">
      <w:pPr>
        <w:bidi/>
        <w:jc w:val="both"/>
        <w:rPr>
          <w:rFonts w:cs="Simplified Arabic"/>
          <w:szCs w:val="24"/>
        </w:rPr>
      </w:pPr>
      <w:r w:rsidRPr="00300E51">
        <w:rPr>
          <w:rFonts w:cs="Simplified Arabic" w:hint="cs"/>
          <w:szCs w:val="24"/>
          <w:rtl/>
        </w:rPr>
        <w:t>يتألف قطاع الحكومة العامة من عدة قطاعات فرعية أهمها الحكومة المركزية وتشمل جميع المؤسسات الحكومية التي تعمل كوكالات أو أجهزة للسلطة المركزية، والحكومة المحلية مثل البلديات والمجالس القروية ولجان المشاريع</w:t>
      </w:r>
      <w:r w:rsidR="00F93470">
        <w:rPr>
          <w:rFonts w:cs="Simplified Arabic" w:hint="cs"/>
          <w:szCs w:val="24"/>
          <w:rtl/>
        </w:rPr>
        <w:t>.</w:t>
      </w:r>
    </w:p>
    <w:p w:rsidR="001557BF" w:rsidRDefault="001557BF" w:rsidP="00D950CB">
      <w:pPr>
        <w:pStyle w:val="BodyText"/>
        <w:jc w:val="both"/>
        <w:rPr>
          <w:rFonts w:cs="Simplified Arabic"/>
          <w:b/>
          <w:bCs/>
          <w:szCs w:val="24"/>
          <w:rtl/>
        </w:rPr>
      </w:pPr>
      <w:r>
        <w:rPr>
          <w:rFonts w:cs="Simplified Arabic" w:hint="cs"/>
          <w:b/>
          <w:bCs/>
          <w:szCs w:val="24"/>
          <w:rtl/>
        </w:rPr>
        <w:t xml:space="preserve">إجمالي </w:t>
      </w:r>
      <w:r w:rsidRPr="00300E51">
        <w:rPr>
          <w:rFonts w:cs="Simplified Arabic" w:hint="cs"/>
          <w:b/>
          <w:bCs/>
          <w:szCs w:val="24"/>
          <w:rtl/>
        </w:rPr>
        <w:t>النفقات</w:t>
      </w:r>
      <w:r>
        <w:rPr>
          <w:rFonts w:cs="Simplified Arabic" w:hint="cs"/>
          <w:b/>
          <w:bCs/>
          <w:szCs w:val="24"/>
          <w:rtl/>
        </w:rPr>
        <w:t xml:space="preserve"> </w:t>
      </w:r>
    </w:p>
    <w:p w:rsidR="001557BF" w:rsidRPr="00EA7F96" w:rsidRDefault="001557BF" w:rsidP="00D950CB">
      <w:pPr>
        <w:bidi/>
        <w:jc w:val="both"/>
        <w:rPr>
          <w:rFonts w:cs="Simplified Arabic"/>
          <w:szCs w:val="24"/>
          <w:rtl/>
        </w:rPr>
      </w:pPr>
      <w:r w:rsidRPr="00EA7F96">
        <w:rPr>
          <w:rFonts w:cs="Simplified Arabic" w:hint="cs"/>
          <w:szCs w:val="24"/>
          <w:rtl/>
        </w:rPr>
        <w:t>يتكون إجمالي النفقات من النفقات الجارية إضافة إلى صافي حيازة أصول غير مالية (</w:t>
      </w:r>
      <w:r>
        <w:rPr>
          <w:rFonts w:cs="Simplified Arabic" w:hint="cs"/>
          <w:szCs w:val="24"/>
          <w:rtl/>
        </w:rPr>
        <w:t xml:space="preserve"> </w:t>
      </w:r>
      <w:r w:rsidRPr="00EA7F96">
        <w:rPr>
          <w:rFonts w:cs="Simplified Arabic" w:hint="cs"/>
          <w:szCs w:val="24"/>
          <w:rtl/>
        </w:rPr>
        <w:t>نفقات رأسمالية).</w:t>
      </w:r>
    </w:p>
    <w:p w:rsidR="001557BF" w:rsidRPr="001557BF" w:rsidRDefault="001557BF" w:rsidP="00D950CB">
      <w:pPr>
        <w:bidi/>
        <w:jc w:val="both"/>
        <w:rPr>
          <w:rFonts w:cs="Simplified Arabic"/>
          <w:szCs w:val="24"/>
          <w:rtl/>
        </w:rPr>
      </w:pPr>
      <w:r w:rsidRPr="00DB37A2">
        <w:rPr>
          <w:rFonts w:cs="Simplified Arabic" w:hint="cs"/>
          <w:szCs w:val="24"/>
          <w:rtl/>
        </w:rPr>
        <w:t xml:space="preserve">أظهرت النتائج أن قيمة </w:t>
      </w:r>
      <w:r>
        <w:rPr>
          <w:rFonts w:cs="Simplified Arabic" w:hint="cs"/>
          <w:szCs w:val="24"/>
          <w:rtl/>
        </w:rPr>
        <w:t>ال</w:t>
      </w:r>
      <w:r w:rsidRPr="00DB37A2">
        <w:rPr>
          <w:rFonts w:cs="Simplified Arabic" w:hint="cs"/>
          <w:szCs w:val="24"/>
          <w:rtl/>
        </w:rPr>
        <w:t>نفقات</w:t>
      </w:r>
      <w:r>
        <w:rPr>
          <w:rFonts w:cs="Simplified Arabic" w:hint="cs"/>
          <w:szCs w:val="24"/>
          <w:rtl/>
        </w:rPr>
        <w:t xml:space="preserve"> الجارية والرأسمالية ل</w:t>
      </w:r>
      <w:r w:rsidRPr="00DB37A2">
        <w:rPr>
          <w:rFonts w:cs="Simplified Arabic" w:hint="cs"/>
          <w:szCs w:val="24"/>
          <w:rtl/>
        </w:rPr>
        <w:t>لحكومة العامة</w:t>
      </w:r>
      <w:r>
        <w:rPr>
          <w:rFonts w:cs="Simplified Arabic" w:hint="cs"/>
          <w:szCs w:val="24"/>
          <w:rtl/>
        </w:rPr>
        <w:t xml:space="preserve"> قد</w:t>
      </w:r>
      <w:r w:rsidRPr="00DB37A2">
        <w:rPr>
          <w:rFonts w:cs="Simplified Arabic" w:hint="cs"/>
          <w:szCs w:val="24"/>
          <w:rtl/>
        </w:rPr>
        <w:t xml:space="preserve"> بلغت </w:t>
      </w:r>
      <w:r>
        <w:rPr>
          <w:rFonts w:cs="Simplified Arabic" w:hint="cs"/>
          <w:szCs w:val="24"/>
          <w:rtl/>
        </w:rPr>
        <w:t>3,927.3</w:t>
      </w:r>
      <w:r w:rsidRPr="00AE5DB3">
        <w:rPr>
          <w:rFonts w:cs="Simplified Arabic" w:hint="cs"/>
          <w:szCs w:val="24"/>
          <w:rtl/>
        </w:rPr>
        <w:t xml:space="preserve"> </w:t>
      </w:r>
      <w:r>
        <w:rPr>
          <w:rFonts w:cs="Simplified Arabic" w:hint="cs"/>
          <w:szCs w:val="24"/>
          <w:rtl/>
        </w:rPr>
        <w:t>مليون دولار أمريكي، توزعت الى النفقات الرأسمالية وبلغت 143.7 مليون دولار أمريكي</w:t>
      </w:r>
      <w:r w:rsidR="0028142A">
        <w:rPr>
          <w:rFonts w:cs="Simplified Arabic" w:hint="cs"/>
          <w:szCs w:val="24"/>
          <w:rtl/>
        </w:rPr>
        <w:t>،</w:t>
      </w:r>
      <w:r>
        <w:rPr>
          <w:rFonts w:cs="Simplified Arabic" w:hint="cs"/>
          <w:szCs w:val="24"/>
          <w:rtl/>
        </w:rPr>
        <w:t xml:space="preserve"> فيما بلغت النفقات الجارية 3,783.6 مليون دولار </w:t>
      </w:r>
      <w:r w:rsidRPr="001244E1">
        <w:rPr>
          <w:rFonts w:cs="Simplified Arabic" w:hint="cs"/>
          <w:szCs w:val="24"/>
          <w:rtl/>
        </w:rPr>
        <w:t xml:space="preserve">أمريكي خلال العام </w:t>
      </w:r>
      <w:r w:rsidRPr="001557BF">
        <w:rPr>
          <w:rFonts w:cs="Simplified Arabic" w:hint="cs"/>
          <w:szCs w:val="24"/>
          <w:rtl/>
        </w:rPr>
        <w:t>2013.</w:t>
      </w:r>
    </w:p>
    <w:p w:rsidR="001557BF" w:rsidRDefault="001557BF" w:rsidP="00D950CB">
      <w:pPr>
        <w:bidi/>
        <w:jc w:val="both"/>
        <w:rPr>
          <w:rFonts w:cs="Simplified Arabic"/>
          <w:szCs w:val="24"/>
        </w:rPr>
      </w:pPr>
      <w:r w:rsidRPr="001244E1">
        <w:rPr>
          <w:rFonts w:cs="Simplified Arabic" w:hint="cs"/>
          <w:szCs w:val="24"/>
          <w:rtl/>
        </w:rPr>
        <w:t xml:space="preserve"> </w:t>
      </w:r>
      <w:r>
        <w:rPr>
          <w:rFonts w:cs="Simplified Arabic" w:hint="cs"/>
          <w:szCs w:val="24"/>
          <w:rtl/>
        </w:rPr>
        <w:t xml:space="preserve"> إجمالي نفقات</w:t>
      </w:r>
      <w:r w:rsidRPr="00DB37A2">
        <w:rPr>
          <w:rFonts w:cs="Simplified Arabic" w:hint="cs"/>
          <w:szCs w:val="24"/>
          <w:rtl/>
        </w:rPr>
        <w:t xml:space="preserve"> </w:t>
      </w:r>
      <w:r w:rsidRPr="00F86416">
        <w:rPr>
          <w:rFonts w:cs="Simplified Arabic" w:hint="cs"/>
          <w:szCs w:val="24"/>
          <w:rtl/>
        </w:rPr>
        <w:t>الحكومة المركزية</w:t>
      </w:r>
      <w:r>
        <w:rPr>
          <w:rFonts w:cs="Simplified Arabic" w:hint="cs"/>
          <w:szCs w:val="24"/>
          <w:rtl/>
        </w:rPr>
        <w:t xml:space="preserve"> بلغت 3,520.0 مليون دولار أمريكي</w:t>
      </w:r>
      <w:r w:rsidRPr="00DB37A2">
        <w:rPr>
          <w:rFonts w:cs="Simplified Arabic" w:hint="cs"/>
          <w:szCs w:val="24"/>
          <w:rtl/>
        </w:rPr>
        <w:t xml:space="preserve">، توزعت بشكل رئيسي على تعويضات العاملين (رواتب الموظفين المدنيين والعسكريين) </w:t>
      </w:r>
      <w:r>
        <w:rPr>
          <w:rFonts w:cs="Simplified Arabic" w:hint="cs"/>
          <w:szCs w:val="24"/>
          <w:rtl/>
        </w:rPr>
        <w:t>والتي بلغت نسبتها</w:t>
      </w:r>
      <w:r w:rsidRPr="00DB37A2">
        <w:rPr>
          <w:rFonts w:cs="Simplified Arabic" w:hint="cs"/>
          <w:szCs w:val="24"/>
          <w:rtl/>
        </w:rPr>
        <w:t xml:space="preserve"> </w:t>
      </w:r>
      <w:r>
        <w:rPr>
          <w:rFonts w:cs="Simplified Arabic" w:hint="cs"/>
          <w:szCs w:val="24"/>
          <w:rtl/>
        </w:rPr>
        <w:t>59.1</w:t>
      </w:r>
      <w:r w:rsidRPr="00DB37A2">
        <w:rPr>
          <w:rFonts w:cs="Simplified Arabic" w:hint="cs"/>
          <w:szCs w:val="24"/>
          <w:rtl/>
        </w:rPr>
        <w:t>%،</w:t>
      </w:r>
      <w:r>
        <w:rPr>
          <w:rFonts w:cs="Simplified Arabic" w:hint="cs"/>
          <w:szCs w:val="24"/>
          <w:rtl/>
        </w:rPr>
        <w:t xml:space="preserve"> وعلى </w:t>
      </w:r>
      <w:r w:rsidRPr="00DB37A2">
        <w:rPr>
          <w:rFonts w:cs="Simplified Arabic" w:hint="cs"/>
          <w:szCs w:val="24"/>
          <w:rtl/>
        </w:rPr>
        <w:t xml:space="preserve">المنافع الاجتماعية </w:t>
      </w:r>
      <w:r>
        <w:rPr>
          <w:rFonts w:cs="Simplified Arabic" w:hint="cs"/>
          <w:szCs w:val="24"/>
          <w:rtl/>
        </w:rPr>
        <w:t xml:space="preserve">ما </w:t>
      </w:r>
      <w:r w:rsidRPr="00DB37A2">
        <w:rPr>
          <w:rFonts w:cs="Simplified Arabic" w:hint="cs"/>
          <w:szCs w:val="24"/>
          <w:rtl/>
        </w:rPr>
        <w:t>نسب</w:t>
      </w:r>
      <w:r>
        <w:rPr>
          <w:rFonts w:cs="Simplified Arabic" w:hint="cs"/>
          <w:szCs w:val="24"/>
          <w:rtl/>
        </w:rPr>
        <w:t>ته</w:t>
      </w:r>
      <w:r w:rsidRPr="00DB37A2">
        <w:rPr>
          <w:rFonts w:cs="Simplified Arabic" w:hint="cs"/>
          <w:szCs w:val="24"/>
          <w:rtl/>
        </w:rPr>
        <w:t xml:space="preserve"> </w:t>
      </w:r>
      <w:r>
        <w:rPr>
          <w:rFonts w:cs="Simplified Arabic" w:hint="cs"/>
          <w:szCs w:val="24"/>
          <w:rtl/>
        </w:rPr>
        <w:t>19.2</w:t>
      </w:r>
      <w:r w:rsidRPr="00DB37A2">
        <w:rPr>
          <w:rFonts w:cs="Simplified Arabic" w:hint="cs"/>
          <w:szCs w:val="24"/>
          <w:rtl/>
        </w:rPr>
        <w:t>%</w:t>
      </w:r>
      <w:r>
        <w:rPr>
          <w:rFonts w:cs="Simplified Arabic" w:hint="cs"/>
          <w:szCs w:val="24"/>
          <w:rtl/>
        </w:rPr>
        <w:t>،</w:t>
      </w:r>
      <w:r w:rsidRPr="00DB37A2">
        <w:rPr>
          <w:rFonts w:cs="Simplified Arabic" w:hint="cs"/>
          <w:szCs w:val="24"/>
          <w:rtl/>
        </w:rPr>
        <w:t xml:space="preserve"> بينما بلغت نسبة الإنفاق على استخدام السلع والخدمات </w:t>
      </w:r>
      <w:r>
        <w:rPr>
          <w:rFonts w:cs="Simplified Arabic" w:hint="cs"/>
          <w:szCs w:val="24"/>
          <w:rtl/>
        </w:rPr>
        <w:t>14.0</w:t>
      </w:r>
      <w:r w:rsidRPr="00DB37A2">
        <w:rPr>
          <w:rFonts w:cs="Simplified Arabic" w:hint="cs"/>
          <w:szCs w:val="24"/>
          <w:rtl/>
        </w:rPr>
        <w:t xml:space="preserve">%، </w:t>
      </w:r>
      <w:r>
        <w:rPr>
          <w:rFonts w:cs="Simplified Arabic" w:hint="cs"/>
          <w:szCs w:val="24"/>
          <w:rtl/>
        </w:rPr>
        <w:t xml:space="preserve">والفوائد بنسبة 2.6% </w:t>
      </w:r>
      <w:r w:rsidRPr="00DB37A2">
        <w:rPr>
          <w:rFonts w:cs="Simplified Arabic" w:hint="cs"/>
          <w:szCs w:val="24"/>
          <w:rtl/>
        </w:rPr>
        <w:t>والنفقات الأخرى</w:t>
      </w:r>
      <w:r>
        <w:rPr>
          <w:rFonts w:cs="Simplified Arabic" w:hint="cs"/>
          <w:szCs w:val="24"/>
          <w:rtl/>
        </w:rPr>
        <w:t xml:space="preserve"> </w:t>
      </w:r>
      <w:r w:rsidRPr="00DB37A2">
        <w:rPr>
          <w:rFonts w:cs="Simplified Arabic" w:hint="cs"/>
          <w:szCs w:val="24"/>
          <w:rtl/>
        </w:rPr>
        <w:t xml:space="preserve"> </w:t>
      </w:r>
      <w:r w:rsidRPr="001557BF">
        <w:rPr>
          <w:rFonts w:cs="Simplified Arabic" w:hint="cs"/>
          <w:szCs w:val="24"/>
          <w:rtl/>
        </w:rPr>
        <w:t>1.4</w:t>
      </w:r>
      <w:r w:rsidRPr="001557BF">
        <w:rPr>
          <w:rFonts w:cs="Simplified Arabic"/>
          <w:szCs w:val="24"/>
          <w:rtl/>
        </w:rPr>
        <w:t>%</w:t>
      </w:r>
      <w:r>
        <w:rPr>
          <w:rFonts w:cs="Simplified Arabic" w:hint="cs"/>
          <w:szCs w:val="24"/>
          <w:rtl/>
        </w:rPr>
        <w:t>، وبلغت نسبة المنح 0.5%.  في حين بلغت نسبة النفقات الرأسمالية 3.2%.</w:t>
      </w:r>
    </w:p>
    <w:p w:rsidR="00D950CB" w:rsidRPr="00DB37A2" w:rsidRDefault="00D950CB" w:rsidP="00D950CB">
      <w:pPr>
        <w:pStyle w:val="BodyText"/>
        <w:jc w:val="both"/>
        <w:rPr>
          <w:rFonts w:cs="Simplified Arabic"/>
          <w:szCs w:val="24"/>
          <w:rtl/>
        </w:rPr>
      </w:pPr>
      <w:r w:rsidRPr="00DB37A2">
        <w:rPr>
          <w:rFonts w:cs="Simplified Arabic" w:hint="cs"/>
          <w:szCs w:val="24"/>
          <w:rtl/>
        </w:rPr>
        <w:t xml:space="preserve">في حين تشير النتائج إلى أن </w:t>
      </w:r>
      <w:r>
        <w:rPr>
          <w:rFonts w:cs="Simplified Arabic" w:hint="cs"/>
          <w:szCs w:val="24"/>
          <w:rtl/>
        </w:rPr>
        <w:t>اجمالي</w:t>
      </w:r>
      <w:r w:rsidRPr="00DB37A2">
        <w:rPr>
          <w:rFonts w:cs="Simplified Arabic" w:hint="cs"/>
          <w:szCs w:val="24"/>
          <w:rtl/>
        </w:rPr>
        <w:t xml:space="preserve"> نفقات الحكومة المحلية بلغت </w:t>
      </w:r>
      <w:r>
        <w:rPr>
          <w:rFonts w:cs="Simplified Arabic" w:hint="cs"/>
          <w:szCs w:val="24"/>
          <w:rtl/>
        </w:rPr>
        <w:t>407.3</w:t>
      </w:r>
      <w:r w:rsidRPr="00DB37A2">
        <w:rPr>
          <w:rFonts w:cs="Simplified Arabic" w:hint="cs"/>
          <w:szCs w:val="24"/>
          <w:rtl/>
        </w:rPr>
        <w:t xml:space="preserve"> مليون </w:t>
      </w:r>
      <w:r>
        <w:rPr>
          <w:rFonts w:cs="Simplified Arabic" w:hint="cs"/>
          <w:szCs w:val="24"/>
          <w:rtl/>
        </w:rPr>
        <w:t>دولار أمريكي</w:t>
      </w:r>
      <w:r w:rsidRPr="00DB37A2">
        <w:rPr>
          <w:rFonts w:cs="Simplified Arabic" w:hint="cs"/>
          <w:szCs w:val="24"/>
          <w:rtl/>
        </w:rPr>
        <w:t xml:space="preserve"> خلال عام </w:t>
      </w:r>
      <w:r>
        <w:rPr>
          <w:rFonts w:cs="Simplified Arabic" w:hint="cs"/>
          <w:szCs w:val="24"/>
          <w:rtl/>
        </w:rPr>
        <w:t>2013</w:t>
      </w:r>
      <w:r w:rsidRPr="00DB37A2">
        <w:rPr>
          <w:rFonts w:cs="Simplified Arabic" w:hint="cs"/>
          <w:szCs w:val="24"/>
          <w:rtl/>
        </w:rPr>
        <w:t xml:space="preserve">، والتي توزعت بشكل رئيسي على النفقات الأخرى (والتي </w:t>
      </w:r>
      <w:r>
        <w:rPr>
          <w:rFonts w:cs="Simplified Arabic" w:hint="cs"/>
          <w:szCs w:val="24"/>
          <w:rtl/>
        </w:rPr>
        <w:t>تمثل</w:t>
      </w:r>
      <w:r w:rsidRPr="00DB37A2">
        <w:rPr>
          <w:rFonts w:cs="Simplified Arabic" w:hint="cs"/>
          <w:szCs w:val="24"/>
          <w:rtl/>
        </w:rPr>
        <w:t xml:space="preserve"> مصاريف تأمين وصيانة المركبات، وبدل مكافآت للعاملين، ومصاريف تنفيذ مشاريع محلية، والخصم التشجيعي لسداد الديون) بنسبة </w:t>
      </w:r>
      <w:r>
        <w:rPr>
          <w:rFonts w:cs="Simplified Arabic" w:hint="cs"/>
          <w:szCs w:val="24"/>
          <w:rtl/>
        </w:rPr>
        <w:t>31.2</w:t>
      </w:r>
      <w:r w:rsidRPr="00DB37A2">
        <w:rPr>
          <w:rFonts w:cs="Simplified Arabic" w:hint="cs"/>
          <w:szCs w:val="24"/>
          <w:rtl/>
        </w:rPr>
        <w:t xml:space="preserve">%، واستخدام السلع والخدمات بنسبة </w:t>
      </w:r>
      <w:r>
        <w:rPr>
          <w:rFonts w:cs="Simplified Arabic" w:hint="cs"/>
          <w:szCs w:val="24"/>
          <w:rtl/>
        </w:rPr>
        <w:t>30.3</w:t>
      </w:r>
      <w:r w:rsidRPr="00DB37A2">
        <w:rPr>
          <w:rFonts w:cs="Simplified Arabic" w:hint="cs"/>
          <w:szCs w:val="24"/>
          <w:rtl/>
        </w:rPr>
        <w:t xml:space="preserve">%، </w:t>
      </w:r>
      <w:r>
        <w:rPr>
          <w:rFonts w:cs="Simplified Arabic" w:hint="cs"/>
          <w:szCs w:val="24"/>
          <w:rtl/>
        </w:rPr>
        <w:t xml:space="preserve">بلغت </w:t>
      </w:r>
      <w:r w:rsidRPr="00DB37A2">
        <w:rPr>
          <w:rFonts w:cs="Simplified Arabic" w:hint="cs"/>
          <w:szCs w:val="24"/>
          <w:rtl/>
        </w:rPr>
        <w:t xml:space="preserve">تعويضات العاملين (رواتب الموظفين) </w:t>
      </w:r>
      <w:r>
        <w:rPr>
          <w:rFonts w:cs="Simplified Arabic" w:hint="cs"/>
          <w:szCs w:val="24"/>
          <w:rtl/>
        </w:rPr>
        <w:t>ما نسبته</w:t>
      </w:r>
      <w:r w:rsidRPr="00DB37A2">
        <w:rPr>
          <w:rFonts w:cs="Simplified Arabic" w:hint="cs"/>
          <w:szCs w:val="24"/>
          <w:rtl/>
        </w:rPr>
        <w:t xml:space="preserve"> </w:t>
      </w:r>
      <w:r>
        <w:rPr>
          <w:rFonts w:cs="Simplified Arabic" w:hint="cs"/>
          <w:szCs w:val="24"/>
          <w:rtl/>
        </w:rPr>
        <w:t>27.9</w:t>
      </w:r>
      <w:r w:rsidRPr="00DB37A2">
        <w:rPr>
          <w:rFonts w:cs="Simplified Arabic" w:hint="cs"/>
          <w:szCs w:val="24"/>
          <w:rtl/>
        </w:rPr>
        <w:t>%</w:t>
      </w:r>
      <w:r>
        <w:rPr>
          <w:rFonts w:cs="Simplified Arabic" w:hint="cs"/>
          <w:szCs w:val="24"/>
          <w:rtl/>
        </w:rPr>
        <w:t>، في حين بلغت نسبة النفقات الرأسمالية 7.3%.</w:t>
      </w:r>
    </w:p>
    <w:p w:rsidR="00102FDB" w:rsidRDefault="00102FDB" w:rsidP="001E1386">
      <w:pPr>
        <w:pStyle w:val="BodyText"/>
        <w:jc w:val="both"/>
        <w:rPr>
          <w:rFonts w:cs="Simplified Arabic"/>
          <w:b/>
          <w:bCs/>
          <w:szCs w:val="24"/>
          <w:rtl/>
        </w:rPr>
      </w:pPr>
    </w:p>
    <w:p w:rsidR="004D47C5" w:rsidRPr="00DB37A2" w:rsidRDefault="004D47C5" w:rsidP="001E1386">
      <w:pPr>
        <w:pStyle w:val="BodyText"/>
        <w:jc w:val="both"/>
        <w:rPr>
          <w:rFonts w:cs="Simplified Arabic"/>
          <w:b/>
          <w:bCs/>
          <w:szCs w:val="24"/>
          <w:rtl/>
        </w:rPr>
      </w:pPr>
      <w:r w:rsidRPr="00DB37A2">
        <w:rPr>
          <w:rFonts w:cs="Simplified Arabic" w:hint="cs"/>
          <w:b/>
          <w:bCs/>
          <w:szCs w:val="24"/>
          <w:rtl/>
        </w:rPr>
        <w:t>الإيرادات</w:t>
      </w:r>
    </w:p>
    <w:p w:rsidR="004D47C5" w:rsidRPr="001E1386" w:rsidRDefault="004D47C5" w:rsidP="004D47C5">
      <w:pPr>
        <w:pStyle w:val="BodyText"/>
        <w:jc w:val="both"/>
        <w:rPr>
          <w:rFonts w:cs="Simplified Arabic"/>
          <w:szCs w:val="24"/>
          <w:rtl/>
        </w:rPr>
      </w:pPr>
      <w:r w:rsidRPr="001E1386">
        <w:rPr>
          <w:rFonts w:cs="Simplified Arabic"/>
          <w:szCs w:val="24"/>
          <w:rtl/>
        </w:rPr>
        <w:t xml:space="preserve">أظهرت النتائج أن قيمة إيرادات الحكومة العامة بلغت </w:t>
      </w:r>
      <w:r w:rsidRPr="001E1386">
        <w:rPr>
          <w:rFonts w:cs="Simplified Arabic"/>
          <w:szCs w:val="24"/>
        </w:rPr>
        <w:t>4,049.2</w:t>
      </w:r>
      <w:r w:rsidRPr="001E1386">
        <w:rPr>
          <w:rFonts w:cs="Simplified Arabic" w:hint="cs"/>
          <w:szCs w:val="24"/>
          <w:rtl/>
        </w:rPr>
        <w:t xml:space="preserve"> </w:t>
      </w:r>
      <w:r w:rsidRPr="001E1386">
        <w:rPr>
          <w:rFonts w:cs="Simplified Arabic"/>
          <w:szCs w:val="24"/>
          <w:rtl/>
        </w:rPr>
        <w:t xml:space="preserve">مليون دولار أمريكي خلال العام </w:t>
      </w:r>
      <w:r w:rsidRPr="001E1386">
        <w:rPr>
          <w:rFonts w:cs="Simplified Arabic"/>
          <w:szCs w:val="24"/>
        </w:rPr>
        <w:t>2013</w:t>
      </w:r>
      <w:r w:rsidRPr="001E1386">
        <w:rPr>
          <w:rFonts w:cs="Simplified Arabic"/>
          <w:szCs w:val="24"/>
          <w:rtl/>
        </w:rPr>
        <w:t>،</w:t>
      </w:r>
      <w:r w:rsidRPr="001E1386">
        <w:rPr>
          <w:rFonts w:cs="Simplified Arabic" w:hint="cs"/>
          <w:szCs w:val="24"/>
          <w:rtl/>
        </w:rPr>
        <w:t xml:space="preserve"> منها </w:t>
      </w:r>
      <w:r w:rsidRPr="001E1386">
        <w:rPr>
          <w:rFonts w:cs="Simplified Arabic"/>
          <w:szCs w:val="24"/>
        </w:rPr>
        <w:t>89.9</w:t>
      </w:r>
      <w:r w:rsidRPr="001E1386">
        <w:rPr>
          <w:rFonts w:cs="Simplified Arabic" w:hint="cs"/>
          <w:szCs w:val="24"/>
          <w:rtl/>
        </w:rPr>
        <w:t xml:space="preserve">% إيرادات الحكومة المركزية، توزعت بشكل رئيسي على إيرادات الضرائب بنسبة </w:t>
      </w:r>
      <w:r w:rsidRPr="001E1386">
        <w:rPr>
          <w:rFonts w:cs="Simplified Arabic"/>
          <w:szCs w:val="24"/>
        </w:rPr>
        <w:t>59.5</w:t>
      </w:r>
      <w:r w:rsidRPr="001E1386">
        <w:rPr>
          <w:rFonts w:cs="Simplified Arabic" w:hint="cs"/>
          <w:szCs w:val="24"/>
          <w:rtl/>
        </w:rPr>
        <w:t xml:space="preserve">%، المنح والمساعدات بنسبة </w:t>
      </w:r>
      <w:r w:rsidRPr="001E1386">
        <w:rPr>
          <w:rFonts w:cs="Simplified Arabic"/>
          <w:szCs w:val="24"/>
        </w:rPr>
        <w:t>37.3</w:t>
      </w:r>
      <w:r w:rsidRPr="001E1386">
        <w:rPr>
          <w:rFonts w:cs="Simplified Arabic"/>
          <w:szCs w:val="24"/>
          <w:rtl/>
        </w:rPr>
        <w:t xml:space="preserve">%، </w:t>
      </w:r>
      <w:r w:rsidRPr="001E1386">
        <w:rPr>
          <w:rFonts w:cs="Simplified Arabic" w:hint="cs"/>
          <w:szCs w:val="24"/>
          <w:rtl/>
        </w:rPr>
        <w:t xml:space="preserve">والإيرادات الأخرى بنسبة </w:t>
      </w:r>
      <w:r w:rsidRPr="001E1386">
        <w:rPr>
          <w:rFonts w:cs="Simplified Arabic"/>
          <w:szCs w:val="24"/>
        </w:rPr>
        <w:t>3.2</w:t>
      </w:r>
      <w:r w:rsidRPr="001E1386">
        <w:rPr>
          <w:rFonts w:cs="Simplified Arabic" w:hint="cs"/>
          <w:szCs w:val="24"/>
          <w:rtl/>
        </w:rPr>
        <w:t>%.</w:t>
      </w:r>
    </w:p>
    <w:p w:rsidR="004D47C5" w:rsidRPr="00DB37A2" w:rsidRDefault="004D47C5" w:rsidP="004D47C5">
      <w:pPr>
        <w:pStyle w:val="BodyText"/>
        <w:jc w:val="both"/>
        <w:rPr>
          <w:rFonts w:cs="Simplified Arabic"/>
          <w:szCs w:val="24"/>
          <w:rtl/>
        </w:rPr>
      </w:pPr>
      <w:r w:rsidRPr="00DB37A2">
        <w:rPr>
          <w:rFonts w:cs="Simplified Arabic" w:hint="cs"/>
          <w:szCs w:val="24"/>
          <w:rtl/>
        </w:rPr>
        <w:t xml:space="preserve">في حين بينت النتائج أن قيمة إيرادات الحكومة المحلية بلغت </w:t>
      </w:r>
      <w:r>
        <w:rPr>
          <w:rFonts w:cs="Simplified Arabic"/>
          <w:szCs w:val="24"/>
        </w:rPr>
        <w:t>408.6</w:t>
      </w:r>
      <w:r w:rsidRPr="00DB37A2">
        <w:rPr>
          <w:rFonts w:cs="Simplified Arabic" w:hint="cs"/>
          <w:szCs w:val="24"/>
          <w:rtl/>
        </w:rPr>
        <w:t xml:space="preserve"> مليون </w:t>
      </w:r>
      <w:r>
        <w:rPr>
          <w:rFonts w:cs="Simplified Arabic" w:hint="cs"/>
          <w:szCs w:val="24"/>
          <w:rtl/>
        </w:rPr>
        <w:t>دولار أمريكي</w:t>
      </w:r>
      <w:r w:rsidRPr="00DB37A2">
        <w:rPr>
          <w:rFonts w:cs="Simplified Arabic" w:hint="cs"/>
          <w:szCs w:val="24"/>
          <w:rtl/>
        </w:rPr>
        <w:t xml:space="preserve"> خلال عام </w:t>
      </w:r>
      <w:r>
        <w:rPr>
          <w:rFonts w:cs="Simplified Arabic" w:hint="cs"/>
          <w:szCs w:val="24"/>
          <w:rtl/>
        </w:rPr>
        <w:t>2013</w:t>
      </w:r>
      <w:r w:rsidRPr="00DB37A2">
        <w:rPr>
          <w:rFonts w:cs="Simplified Arabic" w:hint="cs"/>
          <w:szCs w:val="24"/>
          <w:rtl/>
        </w:rPr>
        <w:t xml:space="preserve">، والتي توزعت بشكل رئيسي على الإيرادات الأخرى (والتي تتمثل بهوامش بيع خدمات المياه والكهرباء للمواطنين) بنسبة </w:t>
      </w:r>
      <w:r w:rsidRPr="004D47C5">
        <w:rPr>
          <w:rFonts w:cs="Simplified Arabic"/>
          <w:szCs w:val="24"/>
        </w:rPr>
        <w:t>85.0</w:t>
      </w:r>
      <w:r w:rsidRPr="004D47C5">
        <w:rPr>
          <w:rFonts w:cs="Simplified Arabic"/>
          <w:szCs w:val="24"/>
          <w:rtl/>
        </w:rPr>
        <w:t>%</w:t>
      </w:r>
      <w:r w:rsidRPr="00DB37A2">
        <w:rPr>
          <w:rFonts w:cs="Simplified Arabic" w:hint="cs"/>
          <w:szCs w:val="24"/>
          <w:rtl/>
        </w:rPr>
        <w:t>،</w:t>
      </w:r>
      <w:r>
        <w:rPr>
          <w:rFonts w:cs="Simplified Arabic" w:hint="cs"/>
          <w:szCs w:val="24"/>
          <w:rtl/>
        </w:rPr>
        <w:t xml:space="preserve"> </w:t>
      </w:r>
      <w:r w:rsidRPr="00DB37A2">
        <w:rPr>
          <w:rFonts w:cs="Simplified Arabic" w:hint="cs"/>
          <w:szCs w:val="24"/>
          <w:rtl/>
        </w:rPr>
        <w:t xml:space="preserve">والضرائب والرسوم بنسبة </w:t>
      </w:r>
      <w:r>
        <w:rPr>
          <w:rFonts w:cs="Simplified Arabic" w:hint="cs"/>
          <w:szCs w:val="24"/>
          <w:rtl/>
        </w:rPr>
        <w:t>9.6</w:t>
      </w:r>
      <w:r w:rsidRPr="00DB37A2">
        <w:rPr>
          <w:rFonts w:cs="Simplified Arabic" w:hint="cs"/>
          <w:szCs w:val="24"/>
          <w:rtl/>
        </w:rPr>
        <w:t xml:space="preserve">%، والمنح والمساهمات الاجتماعية بنسبة </w:t>
      </w:r>
      <w:r>
        <w:rPr>
          <w:rFonts w:cs="Simplified Arabic"/>
          <w:szCs w:val="24"/>
        </w:rPr>
        <w:t>4.4</w:t>
      </w:r>
      <w:r w:rsidRPr="00DB37A2">
        <w:rPr>
          <w:rFonts w:cs="Simplified Arabic" w:hint="cs"/>
          <w:szCs w:val="24"/>
          <w:rtl/>
        </w:rPr>
        <w:t>%، و1.</w:t>
      </w:r>
      <w:r>
        <w:rPr>
          <w:rFonts w:cs="Simplified Arabic" w:hint="cs"/>
          <w:szCs w:val="24"/>
          <w:rtl/>
        </w:rPr>
        <w:t>0</w:t>
      </w:r>
      <w:r w:rsidRPr="00DB37A2">
        <w:rPr>
          <w:rFonts w:cs="Simplified Arabic" w:hint="cs"/>
          <w:szCs w:val="24"/>
          <w:rtl/>
        </w:rPr>
        <w:t>% على التوالي</w:t>
      </w:r>
      <w:r>
        <w:rPr>
          <w:rFonts w:cs="Simplified Arabic" w:hint="cs"/>
          <w:szCs w:val="24"/>
          <w:rtl/>
        </w:rPr>
        <w:t>.</w:t>
      </w:r>
    </w:p>
    <w:p w:rsidR="006975E3" w:rsidRDefault="006975E3" w:rsidP="004D47C5">
      <w:pPr>
        <w:pStyle w:val="BodyText"/>
        <w:jc w:val="both"/>
        <w:rPr>
          <w:rFonts w:cs="Simplified Arabic"/>
          <w:b/>
          <w:bCs/>
          <w:szCs w:val="24"/>
          <w:rtl/>
        </w:rPr>
      </w:pPr>
    </w:p>
    <w:p w:rsidR="004D47C5" w:rsidRPr="004D47C5" w:rsidRDefault="004D47C5" w:rsidP="004D47C5">
      <w:pPr>
        <w:pStyle w:val="BodyText"/>
        <w:jc w:val="both"/>
        <w:rPr>
          <w:rFonts w:cs="Simplified Arabic"/>
          <w:b/>
          <w:bCs/>
          <w:szCs w:val="24"/>
          <w:rtl/>
        </w:rPr>
      </w:pPr>
      <w:r w:rsidRPr="004D47C5">
        <w:rPr>
          <w:rFonts w:cs="Simplified Arabic" w:hint="cs"/>
          <w:b/>
          <w:bCs/>
          <w:szCs w:val="24"/>
          <w:rtl/>
        </w:rPr>
        <w:lastRenderedPageBreak/>
        <w:t>صافي رصيد التشغيل</w:t>
      </w:r>
    </w:p>
    <w:p w:rsidR="004D47C5" w:rsidRPr="00182647" w:rsidRDefault="004D47C5" w:rsidP="004D47C5">
      <w:pPr>
        <w:pStyle w:val="BodyText"/>
        <w:jc w:val="both"/>
        <w:rPr>
          <w:rFonts w:cs="Simplified Arabic"/>
          <w:szCs w:val="24"/>
          <w:rtl/>
        </w:rPr>
      </w:pPr>
      <w:r w:rsidRPr="00DB37A2">
        <w:rPr>
          <w:rFonts w:cs="Simplified Arabic" w:hint="cs"/>
          <w:szCs w:val="24"/>
          <w:rtl/>
        </w:rPr>
        <w:t>يتم احتساب صافي رصيد التشغيل للحكومة العامة من خلال طرح النفقات</w:t>
      </w:r>
      <w:r>
        <w:rPr>
          <w:rFonts w:cs="Simplified Arabic" w:hint="cs"/>
          <w:szCs w:val="24"/>
          <w:rtl/>
        </w:rPr>
        <w:t xml:space="preserve"> الجارية</w:t>
      </w:r>
      <w:r w:rsidRPr="00DB37A2">
        <w:rPr>
          <w:rFonts w:cs="Simplified Arabic" w:hint="cs"/>
          <w:szCs w:val="24"/>
          <w:rtl/>
        </w:rPr>
        <w:t xml:space="preserve"> من مجموع الإيرادات، حيث </w:t>
      </w:r>
      <w:r>
        <w:rPr>
          <w:rFonts w:cs="Simplified Arabic" w:hint="cs"/>
          <w:szCs w:val="24"/>
          <w:rtl/>
        </w:rPr>
        <w:t>سجل فائضاً مقداره</w:t>
      </w:r>
      <w:r w:rsidRPr="004D47C5">
        <w:rPr>
          <w:rFonts w:cs="Simplified Arabic" w:hint="cs"/>
          <w:szCs w:val="24"/>
          <w:rtl/>
        </w:rPr>
        <w:t xml:space="preserve"> 265.6 </w:t>
      </w:r>
      <w:r w:rsidRPr="00DB37A2">
        <w:rPr>
          <w:rFonts w:cs="Simplified Arabic" w:hint="cs"/>
          <w:szCs w:val="24"/>
          <w:rtl/>
        </w:rPr>
        <w:t xml:space="preserve">مليون </w:t>
      </w:r>
      <w:r>
        <w:rPr>
          <w:rFonts w:cs="Simplified Arabic" w:hint="cs"/>
          <w:szCs w:val="24"/>
          <w:rtl/>
        </w:rPr>
        <w:t>دولار أمريكي</w:t>
      </w:r>
      <w:r w:rsidRPr="00DB37A2">
        <w:rPr>
          <w:rFonts w:cs="Simplified Arabic" w:hint="cs"/>
          <w:szCs w:val="24"/>
          <w:rtl/>
        </w:rPr>
        <w:t xml:space="preserve"> خلال العام </w:t>
      </w:r>
      <w:r w:rsidRPr="004D47C5">
        <w:rPr>
          <w:rFonts w:cs="Simplified Arabic" w:hint="cs"/>
          <w:szCs w:val="24"/>
          <w:rtl/>
        </w:rPr>
        <w:t>2013</w:t>
      </w:r>
      <w:r w:rsidRPr="00DB37A2">
        <w:rPr>
          <w:rFonts w:cs="Simplified Arabic" w:hint="cs"/>
          <w:szCs w:val="24"/>
          <w:rtl/>
        </w:rPr>
        <w:t xml:space="preserve">، مما يعني أن </w:t>
      </w:r>
      <w:r>
        <w:rPr>
          <w:rFonts w:cs="Simplified Arabic" w:hint="cs"/>
          <w:szCs w:val="24"/>
          <w:rtl/>
        </w:rPr>
        <w:t>الايرادات قد فاقت النفقات الجارية</w:t>
      </w:r>
      <w:r w:rsidRPr="00DB37A2">
        <w:rPr>
          <w:rFonts w:cs="Simplified Arabic" w:hint="cs"/>
          <w:szCs w:val="24"/>
          <w:rtl/>
        </w:rPr>
        <w:t xml:space="preserve"> بهذا المبلغ.  وقد بلغت نسبة نفقات الحكومة </w:t>
      </w:r>
      <w:r>
        <w:rPr>
          <w:rFonts w:cs="Simplified Arabic" w:hint="cs"/>
          <w:szCs w:val="24"/>
          <w:rtl/>
        </w:rPr>
        <w:t>المركزية الجارية</w:t>
      </w:r>
      <w:r w:rsidRPr="00DB37A2">
        <w:rPr>
          <w:rFonts w:cs="Simplified Arabic" w:hint="cs"/>
          <w:szCs w:val="24"/>
          <w:rtl/>
        </w:rPr>
        <w:t xml:space="preserve"> إلى إيراداته</w:t>
      </w:r>
      <w:r w:rsidRPr="00DB37A2">
        <w:rPr>
          <w:rFonts w:cs="Simplified Arabic" w:hint="eastAsia"/>
          <w:szCs w:val="24"/>
          <w:rtl/>
        </w:rPr>
        <w:t>ا</w:t>
      </w:r>
      <w:r w:rsidRPr="00DB37A2">
        <w:rPr>
          <w:rFonts w:cs="Simplified Arabic" w:hint="cs"/>
          <w:szCs w:val="24"/>
          <w:rtl/>
        </w:rPr>
        <w:t xml:space="preserve"> </w:t>
      </w:r>
      <w:r w:rsidRPr="004D47C5">
        <w:rPr>
          <w:rFonts w:cs="Simplified Arabic" w:hint="cs"/>
          <w:szCs w:val="24"/>
          <w:rtl/>
        </w:rPr>
        <w:t>93.6</w:t>
      </w:r>
      <w:r w:rsidRPr="004D47C5">
        <w:rPr>
          <w:rFonts w:cs="Simplified Arabic"/>
          <w:szCs w:val="24"/>
          <w:rtl/>
        </w:rPr>
        <w:t>%،</w:t>
      </w:r>
      <w:r w:rsidRPr="00DB37A2">
        <w:rPr>
          <w:rFonts w:cs="Simplified Arabic" w:hint="cs"/>
          <w:szCs w:val="24"/>
          <w:rtl/>
        </w:rPr>
        <w:t xml:space="preserve"> فيما بلغت النسبة للحكومة المحلية </w:t>
      </w:r>
      <w:r w:rsidRPr="004D47C5">
        <w:rPr>
          <w:rFonts w:cs="Simplified Arabic" w:hint="cs"/>
          <w:szCs w:val="24"/>
          <w:rtl/>
        </w:rPr>
        <w:t>92.4</w:t>
      </w:r>
      <w:r w:rsidRPr="004D47C5">
        <w:rPr>
          <w:rFonts w:cs="Simplified Arabic"/>
          <w:szCs w:val="24"/>
          <w:rtl/>
        </w:rPr>
        <w:t>%.</w:t>
      </w:r>
      <w:r w:rsidRPr="00300E51">
        <w:rPr>
          <w:rFonts w:cs="Simplified Arabic" w:hint="cs"/>
          <w:szCs w:val="24"/>
          <w:rtl/>
        </w:rPr>
        <w:t xml:space="preserve"> </w:t>
      </w:r>
    </w:p>
    <w:p w:rsidR="00D950CB" w:rsidRPr="004D47C5" w:rsidRDefault="00D950CB" w:rsidP="004D47C5">
      <w:pPr>
        <w:pStyle w:val="BodyText"/>
        <w:jc w:val="both"/>
        <w:rPr>
          <w:rFonts w:cs="Simplified Arabic"/>
          <w:b/>
          <w:bCs/>
          <w:szCs w:val="24"/>
          <w:rtl/>
        </w:rPr>
      </w:pPr>
    </w:p>
    <w:p w:rsidR="004D47C5" w:rsidRPr="00DB37A2" w:rsidRDefault="004D47C5" w:rsidP="004D47C5">
      <w:pPr>
        <w:pStyle w:val="BodyText"/>
        <w:jc w:val="both"/>
        <w:rPr>
          <w:rFonts w:cs="Simplified Arabic"/>
          <w:b/>
          <w:bCs/>
          <w:szCs w:val="24"/>
          <w:rtl/>
        </w:rPr>
      </w:pPr>
      <w:r w:rsidRPr="00DB37A2">
        <w:rPr>
          <w:rFonts w:cs="Simplified Arabic" w:hint="cs"/>
          <w:b/>
          <w:bCs/>
          <w:szCs w:val="24"/>
          <w:rtl/>
        </w:rPr>
        <w:t xml:space="preserve">صافي </w:t>
      </w:r>
      <w:r>
        <w:rPr>
          <w:rFonts w:cs="Simplified Arabic" w:hint="cs"/>
          <w:b/>
          <w:bCs/>
          <w:szCs w:val="24"/>
          <w:rtl/>
        </w:rPr>
        <w:t>الإقراض والاقتراض</w:t>
      </w:r>
    </w:p>
    <w:p w:rsidR="004D47C5" w:rsidRPr="004D47C5" w:rsidRDefault="004D47C5" w:rsidP="004D47C5">
      <w:pPr>
        <w:pStyle w:val="BodyText"/>
        <w:jc w:val="both"/>
        <w:rPr>
          <w:rFonts w:cs="Simplified Arabic"/>
          <w:szCs w:val="24"/>
          <w:rtl/>
        </w:rPr>
      </w:pPr>
      <w:r w:rsidRPr="004D47C5">
        <w:rPr>
          <w:rFonts w:cs="Simplified Arabic" w:hint="cs"/>
          <w:szCs w:val="24"/>
          <w:rtl/>
        </w:rPr>
        <w:t>يتم احتساب صافي الإقراض والاقتراض للحكومة العامة من خلال طرح مجموع صافي حيازة الأصول غير المالية من صافي رصيد التشغيل، حيث سجل فائضاً مقداره 121.9 مليون دولار أمريكي خلال العام 2013.</w:t>
      </w:r>
    </w:p>
    <w:p w:rsidR="004D47C5" w:rsidRPr="004D47C5" w:rsidRDefault="004D47C5" w:rsidP="004D47C5">
      <w:pPr>
        <w:pStyle w:val="BodyText"/>
        <w:jc w:val="both"/>
        <w:rPr>
          <w:rFonts w:cs="Simplified Arabic"/>
          <w:b/>
          <w:bCs/>
          <w:szCs w:val="24"/>
          <w:rtl/>
        </w:rPr>
      </w:pPr>
    </w:p>
    <w:p w:rsidR="004D47C5" w:rsidRPr="00CF0609" w:rsidRDefault="004D47C5" w:rsidP="004D47C5">
      <w:pPr>
        <w:pStyle w:val="BodyText"/>
        <w:jc w:val="both"/>
        <w:rPr>
          <w:rFonts w:cs="Simplified Arabic"/>
          <w:b/>
          <w:bCs/>
          <w:szCs w:val="24"/>
          <w:rtl/>
        </w:rPr>
      </w:pPr>
      <w:r w:rsidRPr="00CF0609">
        <w:rPr>
          <w:rFonts w:cs="Simplified Arabic" w:hint="cs"/>
          <w:b/>
          <w:bCs/>
          <w:szCs w:val="24"/>
          <w:rtl/>
        </w:rPr>
        <w:t xml:space="preserve">الأصول المالية والخصوم </w:t>
      </w:r>
    </w:p>
    <w:p w:rsidR="004D47C5" w:rsidRDefault="004D47C5" w:rsidP="004D47C5">
      <w:pPr>
        <w:pStyle w:val="BodyText"/>
        <w:jc w:val="both"/>
        <w:rPr>
          <w:rFonts w:cs="Simplified Arabic"/>
          <w:szCs w:val="24"/>
          <w:rtl/>
        </w:rPr>
      </w:pPr>
      <w:r w:rsidRPr="004D47C5">
        <w:rPr>
          <w:rFonts w:cs="Simplified Arabic" w:hint="cs"/>
          <w:szCs w:val="24"/>
          <w:rtl/>
        </w:rPr>
        <w:t>بيانات حسابات الميزانية للحكومة المركزية أظهرت زيادة في حيازة الأصول المالية خلال العام 2013 حيث بلغت 374.3 مليون دولار أمريكي منها 86.0% محليا و 14.0% خارجيا.  فيما بلغ تراكم الخصوم 253.4 مليون دولار أمريكي منها 81.8% محليا و 18.2% خارجيا</w:t>
      </w:r>
    </w:p>
    <w:p w:rsidR="004D54E3" w:rsidRDefault="004D54E3" w:rsidP="004D54E3">
      <w:pPr>
        <w:pStyle w:val="BodyText"/>
        <w:jc w:val="both"/>
        <w:rPr>
          <w:rFonts w:cs="Simplified Arabic"/>
          <w:szCs w:val="24"/>
          <w:rtl/>
        </w:rPr>
      </w:pPr>
    </w:p>
    <w:p w:rsidR="004D54E3" w:rsidRPr="00640C9D" w:rsidRDefault="0028142A" w:rsidP="0028142A">
      <w:pPr>
        <w:pStyle w:val="BlockText"/>
        <w:ind w:left="0" w:right="0"/>
        <w:jc w:val="both"/>
        <w:rPr>
          <w:rFonts w:cs="Simplified Arabic"/>
          <w:sz w:val="24"/>
          <w:szCs w:val="24"/>
          <w:rtl/>
        </w:rPr>
      </w:pPr>
      <w:r>
        <w:rPr>
          <w:rFonts w:cs="Simplified Arabic" w:hint="cs"/>
          <w:sz w:val="24"/>
          <w:szCs w:val="24"/>
          <w:rtl/>
        </w:rPr>
        <w:t>ملاحظة</w:t>
      </w:r>
      <w:r w:rsidR="004D54E3">
        <w:rPr>
          <w:rFonts w:cs="Simplified Arabic" w:hint="cs"/>
          <w:sz w:val="24"/>
          <w:szCs w:val="24"/>
          <w:rtl/>
        </w:rPr>
        <w:t xml:space="preserve"> هام</w:t>
      </w:r>
      <w:r>
        <w:rPr>
          <w:rFonts w:cs="Simplified Arabic" w:hint="cs"/>
          <w:sz w:val="24"/>
          <w:szCs w:val="24"/>
          <w:rtl/>
        </w:rPr>
        <w:t>ة</w:t>
      </w:r>
      <w:r w:rsidR="004D54E3">
        <w:rPr>
          <w:rFonts w:cs="Simplified Arabic" w:hint="cs"/>
          <w:sz w:val="24"/>
          <w:szCs w:val="24"/>
          <w:rtl/>
        </w:rPr>
        <w:t>:</w:t>
      </w:r>
    </w:p>
    <w:p w:rsidR="004D54E3" w:rsidRPr="00640C9D" w:rsidRDefault="004D54E3" w:rsidP="004D54E3">
      <w:pPr>
        <w:pStyle w:val="BlockText"/>
        <w:ind w:left="0" w:right="0"/>
        <w:jc w:val="both"/>
        <w:rPr>
          <w:rFonts w:cs="Simplified Arabic"/>
          <w:b w:val="0"/>
          <w:bCs w:val="0"/>
          <w:sz w:val="24"/>
          <w:szCs w:val="24"/>
          <w:rtl/>
        </w:rPr>
      </w:pPr>
      <w:r w:rsidRPr="00640C9D">
        <w:rPr>
          <w:rFonts w:cs="Simplified Arabic" w:hint="cs"/>
          <w:b w:val="0"/>
          <w:bCs w:val="0"/>
          <w:sz w:val="24"/>
          <w:szCs w:val="24"/>
          <w:rtl/>
        </w:rPr>
        <w:t xml:space="preserve"> بيان مالية الحكومة العامه يصدر وفقا لدليل إحصاءات مالية الحكومة 2001، وهو يتم وفق منهجيه وتصنيف مختلف عن تقارير العمليات الماليه الشهريه المنشوره  والتي تعبر عن تنفيذ الموازنة.</w:t>
      </w:r>
    </w:p>
    <w:p w:rsidR="004D54E3" w:rsidRPr="00640C9D" w:rsidRDefault="004D54E3" w:rsidP="0028142A">
      <w:pPr>
        <w:pStyle w:val="BlockText"/>
        <w:ind w:left="0" w:right="0"/>
        <w:jc w:val="both"/>
        <w:rPr>
          <w:rFonts w:cs="Simplified Arabic"/>
          <w:b w:val="0"/>
          <w:bCs w:val="0"/>
          <w:sz w:val="24"/>
          <w:szCs w:val="24"/>
          <w:rtl/>
        </w:rPr>
      </w:pPr>
      <w:r w:rsidRPr="00640C9D">
        <w:rPr>
          <w:rFonts w:cs="Simplified Arabic" w:hint="cs"/>
          <w:b w:val="0"/>
          <w:bCs w:val="0"/>
          <w:sz w:val="24"/>
          <w:szCs w:val="24"/>
          <w:rtl/>
        </w:rPr>
        <w:t>يرجى الانتباه الى انه في تقارير العمليات الماليه الشهريه هناك بند معروف بـ (صافي الاقراض) والذي يعتبر مكوناً اساسياً من الموازنة ويظهر بكل وضوح في هذه التقارير،  وهو وفق منهجيه دليل احصاءات مالية الحكومة 2001 يعتبر اصلاً مالياً وليس مصروفاً، وعليه فقد استثني من قائمة المصاريف في بيان الحكومة العامه وأدرج في بند الاستحواذ على اصول ماليه مؤدياً الى تحويل العجز في الميزان الجاري في تقارير العمليات المالية الى فائضاً في صافي الاقراض والاقتراض في قائمة العمليات الحكومية.</w:t>
      </w:r>
    </w:p>
    <w:p w:rsidR="004D54E3" w:rsidRPr="00640C9D" w:rsidRDefault="004D54E3" w:rsidP="004D54E3">
      <w:pPr>
        <w:pStyle w:val="BlockText"/>
        <w:ind w:left="0" w:right="0"/>
        <w:jc w:val="both"/>
        <w:rPr>
          <w:rFonts w:cs="Simplified Arabic"/>
          <w:b w:val="0"/>
          <w:bCs w:val="0"/>
          <w:sz w:val="24"/>
          <w:szCs w:val="24"/>
          <w:rtl/>
        </w:rPr>
      </w:pPr>
      <w:r w:rsidRPr="00640C9D">
        <w:rPr>
          <w:rFonts w:cs="Simplified Arabic" w:hint="cs"/>
          <w:b w:val="0"/>
          <w:bCs w:val="0"/>
          <w:sz w:val="24"/>
          <w:szCs w:val="24"/>
          <w:rtl/>
        </w:rPr>
        <w:t>علما ان قائمة عمليات الحكومة وفق دليل احصاءات مالية الحكومة العامه 2001 يكون بجمع بيانات الانفاق الجاري والرأسمالي بدون تفصيل، بينما تظهر مفصولة في</w:t>
      </w:r>
      <w:r w:rsidR="00604CFA">
        <w:rPr>
          <w:rFonts w:cs="Simplified Arabic" w:hint="cs"/>
          <w:b w:val="0"/>
          <w:bCs w:val="0"/>
          <w:sz w:val="24"/>
          <w:szCs w:val="24"/>
          <w:rtl/>
        </w:rPr>
        <w:t xml:space="preserve"> تقارير العمليات الماليه الشهرية</w:t>
      </w:r>
      <w:r w:rsidRPr="00640C9D">
        <w:rPr>
          <w:rFonts w:cs="Simplified Arabic" w:hint="cs"/>
          <w:b w:val="0"/>
          <w:bCs w:val="0"/>
          <w:sz w:val="24"/>
          <w:szCs w:val="24"/>
          <w:rtl/>
        </w:rPr>
        <w:t xml:space="preserve">.  </w:t>
      </w:r>
    </w:p>
    <w:p w:rsidR="004D54E3" w:rsidRDefault="004D54E3" w:rsidP="004D54E3">
      <w:pPr>
        <w:pStyle w:val="BodyText"/>
        <w:jc w:val="both"/>
        <w:rPr>
          <w:rFonts w:ascii="Times New Roman" w:hAnsi="Times New Roman" w:cs="Simplified Arabic"/>
          <w:szCs w:val="24"/>
          <w:rtl/>
        </w:rPr>
      </w:pPr>
    </w:p>
    <w:p w:rsidR="00996C42" w:rsidRDefault="00996C42" w:rsidP="004D54E3">
      <w:pPr>
        <w:pStyle w:val="BodyText"/>
        <w:jc w:val="both"/>
        <w:rPr>
          <w:rFonts w:ascii="Times New Roman" w:hAnsi="Times New Roman" w:cs="Simplified Arabic"/>
          <w:szCs w:val="24"/>
          <w:rtl/>
        </w:rPr>
      </w:pPr>
    </w:p>
    <w:p w:rsidR="00996C42" w:rsidRDefault="00996C42"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586EA3" w:rsidRDefault="00586EA3" w:rsidP="004D54E3">
      <w:pPr>
        <w:pStyle w:val="BodyText"/>
        <w:jc w:val="both"/>
        <w:rPr>
          <w:rFonts w:ascii="Times New Roman" w:hAnsi="Times New Roman" w:cs="Simplified Arabic"/>
          <w:szCs w:val="24"/>
          <w:rtl/>
        </w:rPr>
      </w:pPr>
    </w:p>
    <w:p w:rsidR="00996C42" w:rsidRPr="00F333D1" w:rsidRDefault="00996C42" w:rsidP="004D54E3">
      <w:pPr>
        <w:pStyle w:val="BodyText"/>
        <w:jc w:val="both"/>
        <w:rPr>
          <w:rFonts w:ascii="Times New Roman" w:hAnsi="Times New Roman" w:cs="Simplified Arabic"/>
          <w:szCs w:val="24"/>
          <w:rtl/>
        </w:rPr>
      </w:pPr>
    </w:p>
    <w:p w:rsidR="00A347DF" w:rsidRDefault="00A347DF" w:rsidP="00A347DF">
      <w:pPr>
        <w:pStyle w:val="BodyText2"/>
        <w:jc w:val="right"/>
        <w:rPr>
          <w:rFonts w:cs="Simplified Arabic"/>
          <w:b/>
          <w:bCs/>
          <w:szCs w:val="24"/>
          <w:rtl/>
        </w:rPr>
      </w:pPr>
      <w:r w:rsidRPr="00CF0609">
        <w:rPr>
          <w:rFonts w:cs="Simplified Arabic" w:hint="cs"/>
          <w:b/>
          <w:bCs/>
          <w:szCs w:val="24"/>
          <w:rtl/>
        </w:rPr>
        <w:t>لمزيد من التفصيل يرجى الإطلاع على الجدول المرفق،،،</w:t>
      </w:r>
    </w:p>
    <w:p w:rsidR="00A347DF" w:rsidRPr="00CF0609" w:rsidRDefault="00A347DF" w:rsidP="00A347DF">
      <w:pPr>
        <w:jc w:val="right"/>
        <w:rPr>
          <w:rFonts w:cs="Simplified Arabic"/>
          <w:b/>
          <w:bCs/>
          <w:rtl/>
        </w:rPr>
      </w:pPr>
      <w:r w:rsidRPr="00CF0609">
        <w:rPr>
          <w:rFonts w:cs="Simplified Arabic" w:hint="cs"/>
          <w:b/>
          <w:bCs/>
          <w:rtl/>
        </w:rPr>
        <w:t>للاستفسار</w:t>
      </w:r>
      <w:r w:rsidRPr="00CF0609">
        <w:rPr>
          <w:rFonts w:cs="Simplified Arabic"/>
          <w:b/>
          <w:bCs/>
          <w:rtl/>
        </w:rPr>
        <w:t xml:space="preserve">، </w:t>
      </w:r>
      <w:r w:rsidRPr="00CF0609">
        <w:rPr>
          <w:rFonts w:cs="Simplified Arabic" w:hint="cs"/>
          <w:b/>
          <w:bCs/>
          <w:rtl/>
        </w:rPr>
        <w:t>يرجى الاتصال على:</w:t>
      </w:r>
    </w:p>
    <w:tbl>
      <w:tblPr>
        <w:bidiVisual/>
        <w:tblW w:w="8764" w:type="dxa"/>
        <w:jc w:val="center"/>
        <w:tblLook w:val="04A0"/>
      </w:tblPr>
      <w:tblGrid>
        <w:gridCol w:w="5209"/>
        <w:gridCol w:w="3555"/>
      </w:tblGrid>
      <w:tr w:rsidR="001370FF" w:rsidRPr="003A20F2" w:rsidTr="00CA0880">
        <w:trPr>
          <w:trHeight w:val="393"/>
          <w:jc w:val="center"/>
        </w:trPr>
        <w:tc>
          <w:tcPr>
            <w:tcW w:w="5209" w:type="dxa"/>
            <w:vAlign w:val="center"/>
          </w:tcPr>
          <w:p w:rsidR="001370FF" w:rsidRPr="00CF0609" w:rsidRDefault="001370FF" w:rsidP="001370FF">
            <w:pPr>
              <w:pStyle w:val="BlockText"/>
              <w:ind w:left="0"/>
              <w:jc w:val="left"/>
              <w:rPr>
                <w:rFonts w:cs="Simplified Arabic"/>
                <w:sz w:val="20"/>
                <w:szCs w:val="20"/>
                <w:rtl/>
              </w:rPr>
            </w:pPr>
            <w:r w:rsidRPr="00CF0609">
              <w:rPr>
                <w:rFonts w:cs="Simplified Arabic"/>
                <w:sz w:val="20"/>
                <w:szCs w:val="20"/>
                <w:rtl/>
              </w:rPr>
              <w:t>الجهاز المركزي للإحصاء الفلسطيني</w:t>
            </w:r>
            <w:r w:rsidR="009B6BE0">
              <w:rPr>
                <w:rFonts w:cs="Simplified Arabic" w:hint="cs"/>
                <w:sz w:val="20"/>
                <w:szCs w:val="20"/>
                <w:rtl/>
              </w:rPr>
              <w:t xml:space="preserve">                   أو على</w:t>
            </w:r>
          </w:p>
        </w:tc>
        <w:tc>
          <w:tcPr>
            <w:tcW w:w="3555" w:type="dxa"/>
            <w:vAlign w:val="center"/>
          </w:tcPr>
          <w:p w:rsidR="001370FF" w:rsidRPr="009B6BE0" w:rsidRDefault="001370FF" w:rsidP="009B6BE0">
            <w:pPr>
              <w:pStyle w:val="BlockText"/>
              <w:ind w:left="0"/>
              <w:jc w:val="left"/>
              <w:rPr>
                <w:rFonts w:cs="Simplified Arabic"/>
                <w:sz w:val="20"/>
                <w:szCs w:val="20"/>
                <w:rtl/>
              </w:rPr>
            </w:pPr>
            <w:r w:rsidRPr="007A0BA3">
              <w:rPr>
                <w:rFonts w:cs="Simplified Arabic" w:hint="cs"/>
                <w:sz w:val="20"/>
                <w:szCs w:val="20"/>
                <w:rtl/>
              </w:rPr>
              <w:t>وزارة المالية الفلسطينية</w:t>
            </w:r>
          </w:p>
        </w:tc>
      </w:tr>
      <w:tr w:rsidR="00A347DF" w:rsidRPr="003A20F2" w:rsidTr="00CA0880">
        <w:trPr>
          <w:trHeight w:val="393"/>
          <w:jc w:val="center"/>
        </w:trPr>
        <w:tc>
          <w:tcPr>
            <w:tcW w:w="5209" w:type="dxa"/>
            <w:vAlign w:val="center"/>
          </w:tcPr>
          <w:p w:rsidR="00A347DF" w:rsidRPr="00CF0609" w:rsidRDefault="00A347DF" w:rsidP="001370FF">
            <w:pPr>
              <w:pStyle w:val="BlockText"/>
              <w:ind w:left="0"/>
              <w:jc w:val="left"/>
              <w:rPr>
                <w:rFonts w:cs="Simplified Arabic"/>
                <w:sz w:val="20"/>
                <w:szCs w:val="20"/>
                <w:rtl/>
              </w:rPr>
            </w:pPr>
            <w:r w:rsidRPr="00CF0609">
              <w:rPr>
                <w:rFonts w:cs="Simplified Arabic"/>
                <w:sz w:val="20"/>
                <w:szCs w:val="20"/>
                <w:rtl/>
              </w:rPr>
              <w:t>ص.ب.  1647</w:t>
            </w:r>
            <w:r w:rsidRPr="00CF0609">
              <w:rPr>
                <w:rFonts w:cs="Simplified Arabic" w:hint="cs"/>
                <w:sz w:val="20"/>
                <w:szCs w:val="20"/>
                <w:rtl/>
              </w:rPr>
              <w:t>، رام الله - فلسطين.</w:t>
            </w:r>
          </w:p>
        </w:tc>
        <w:tc>
          <w:tcPr>
            <w:tcW w:w="3555" w:type="dxa"/>
            <w:vAlign w:val="center"/>
          </w:tcPr>
          <w:p w:rsidR="00A347DF" w:rsidRPr="003A20F2" w:rsidRDefault="00A347DF" w:rsidP="001370FF">
            <w:pPr>
              <w:bidi/>
              <w:rPr>
                <w:rFonts w:cs="Simplified Arabic"/>
                <w:b/>
                <w:bCs/>
                <w:rtl/>
              </w:rPr>
            </w:pPr>
            <w:r w:rsidRPr="003A20F2">
              <w:rPr>
                <w:rFonts w:cs="Simplified Arabic" w:hint="cs"/>
                <w:b/>
                <w:bCs/>
                <w:rtl/>
              </w:rPr>
              <w:t xml:space="preserve">ص ب.  </w:t>
            </w:r>
            <w:r w:rsidRPr="003A20F2">
              <w:rPr>
                <w:rFonts w:cs="Simplified Arabic"/>
                <w:b/>
                <w:bCs/>
              </w:rPr>
              <w:t>795</w:t>
            </w:r>
            <w:r w:rsidRPr="003A20F2">
              <w:rPr>
                <w:rFonts w:cs="Simplified Arabic" w:hint="cs"/>
                <w:b/>
                <w:bCs/>
                <w:rtl/>
              </w:rPr>
              <w:t>،</w:t>
            </w:r>
            <w:r w:rsidRPr="003A20F2">
              <w:rPr>
                <w:rFonts w:cs="Simplified Arabic"/>
                <w:b/>
                <w:bCs/>
                <w:rtl/>
              </w:rPr>
              <w:t xml:space="preserve"> رام الله</w:t>
            </w:r>
            <w:r w:rsidRPr="003A20F2">
              <w:rPr>
                <w:rFonts w:cs="Simplified Arabic" w:hint="cs"/>
                <w:b/>
                <w:bCs/>
                <w:rtl/>
              </w:rPr>
              <w:t xml:space="preserve"> </w:t>
            </w:r>
            <w:r w:rsidRPr="003A20F2">
              <w:rPr>
                <w:rFonts w:cs="Simplified Arabic"/>
                <w:b/>
                <w:bCs/>
                <w:rtl/>
              </w:rPr>
              <w:t>– فلسطين</w:t>
            </w:r>
            <w:r w:rsidRPr="003A20F2">
              <w:rPr>
                <w:rFonts w:cs="Simplified Arabic" w:hint="cs"/>
                <w:b/>
                <w:bCs/>
                <w:rtl/>
              </w:rPr>
              <w:t>.</w:t>
            </w:r>
          </w:p>
        </w:tc>
      </w:tr>
      <w:tr w:rsidR="00A347DF" w:rsidRPr="003A20F2" w:rsidTr="00CA0880">
        <w:trPr>
          <w:jc w:val="center"/>
        </w:trPr>
        <w:tc>
          <w:tcPr>
            <w:tcW w:w="5209" w:type="dxa"/>
            <w:vAlign w:val="center"/>
          </w:tcPr>
          <w:p w:rsidR="00A347DF" w:rsidRPr="003A20F2" w:rsidRDefault="00A347DF" w:rsidP="001370FF">
            <w:pPr>
              <w:bidi/>
              <w:rPr>
                <w:rFonts w:cs="Simplified Arabic"/>
              </w:rPr>
            </w:pPr>
            <w:r w:rsidRPr="003A20F2">
              <w:rPr>
                <w:rFonts w:cs="Simplified Arabic"/>
                <w:rtl/>
              </w:rPr>
              <w:t xml:space="preserve">هاتف: </w:t>
            </w:r>
            <w:r w:rsidRPr="003A20F2">
              <w:rPr>
                <w:rFonts w:cs="Simplified Arabic"/>
              </w:rPr>
              <w:t>( 970/972) 2  2982700</w:t>
            </w:r>
          </w:p>
        </w:tc>
        <w:tc>
          <w:tcPr>
            <w:tcW w:w="3555" w:type="dxa"/>
            <w:vAlign w:val="center"/>
          </w:tcPr>
          <w:p w:rsidR="00A347DF" w:rsidRPr="003A20F2" w:rsidRDefault="00A347DF" w:rsidP="001370FF">
            <w:pPr>
              <w:bidi/>
              <w:rPr>
                <w:rFonts w:cs="Simplified Arabic"/>
                <w:rtl/>
              </w:rPr>
            </w:pPr>
            <w:r w:rsidRPr="003A20F2">
              <w:rPr>
                <w:rFonts w:cs="Simplified Arabic"/>
                <w:rtl/>
              </w:rPr>
              <w:t xml:space="preserve">هاتف: </w:t>
            </w:r>
            <w:r w:rsidRPr="003A20F2">
              <w:rPr>
                <w:rFonts w:cs="Simplified Arabic"/>
              </w:rPr>
              <w:t>( 970/972) 2  2978789</w:t>
            </w:r>
          </w:p>
        </w:tc>
      </w:tr>
      <w:tr w:rsidR="00A347DF" w:rsidRPr="003A20F2" w:rsidTr="00CA0880">
        <w:trPr>
          <w:jc w:val="center"/>
        </w:trPr>
        <w:tc>
          <w:tcPr>
            <w:tcW w:w="5209" w:type="dxa"/>
            <w:vAlign w:val="center"/>
          </w:tcPr>
          <w:p w:rsidR="00A347DF" w:rsidRPr="003A20F2" w:rsidRDefault="00A347DF" w:rsidP="001370FF">
            <w:pPr>
              <w:bidi/>
              <w:rPr>
                <w:rFonts w:cs="Simplified Arabic"/>
                <w:rtl/>
              </w:rPr>
            </w:pPr>
            <w:r w:rsidRPr="003A20F2">
              <w:rPr>
                <w:rFonts w:cs="Simplified Arabic" w:hint="cs"/>
                <w:rtl/>
              </w:rPr>
              <w:t>هاتف مجاني: 1800300300</w:t>
            </w:r>
          </w:p>
        </w:tc>
        <w:tc>
          <w:tcPr>
            <w:tcW w:w="3555" w:type="dxa"/>
            <w:vAlign w:val="center"/>
          </w:tcPr>
          <w:p w:rsidR="00A347DF" w:rsidRPr="003A20F2" w:rsidRDefault="00A347DF" w:rsidP="001370FF">
            <w:pPr>
              <w:bidi/>
              <w:rPr>
                <w:rFonts w:cs="Simplified Arabic"/>
                <w:rtl/>
              </w:rPr>
            </w:pPr>
          </w:p>
        </w:tc>
      </w:tr>
      <w:tr w:rsidR="00A347DF" w:rsidRPr="003A20F2" w:rsidTr="00CA0880">
        <w:trPr>
          <w:jc w:val="center"/>
        </w:trPr>
        <w:tc>
          <w:tcPr>
            <w:tcW w:w="5209" w:type="dxa"/>
            <w:vAlign w:val="center"/>
          </w:tcPr>
          <w:p w:rsidR="00A347DF" w:rsidRPr="003A20F2" w:rsidRDefault="00A347DF" w:rsidP="001370FF">
            <w:pPr>
              <w:bidi/>
              <w:rPr>
                <w:rFonts w:cs="Simplified Arabic"/>
              </w:rPr>
            </w:pPr>
            <w:r w:rsidRPr="003A20F2">
              <w:rPr>
                <w:rFonts w:cs="Simplified Arabic"/>
                <w:rtl/>
              </w:rPr>
              <w:t xml:space="preserve">فاكس: </w:t>
            </w:r>
            <w:r w:rsidRPr="003A20F2">
              <w:rPr>
                <w:rFonts w:cs="Simplified Arabic"/>
              </w:rPr>
              <w:t>( 970/972) 2  2982710</w:t>
            </w:r>
          </w:p>
        </w:tc>
        <w:tc>
          <w:tcPr>
            <w:tcW w:w="3555" w:type="dxa"/>
            <w:vAlign w:val="center"/>
          </w:tcPr>
          <w:p w:rsidR="00A347DF" w:rsidRPr="003A20F2" w:rsidRDefault="00A347DF" w:rsidP="001370FF">
            <w:pPr>
              <w:bidi/>
              <w:rPr>
                <w:rFonts w:cs="Simplified Arabic"/>
                <w:rtl/>
              </w:rPr>
            </w:pPr>
            <w:r w:rsidRPr="003A20F2">
              <w:rPr>
                <w:rFonts w:cs="Simplified Arabic"/>
                <w:rtl/>
              </w:rPr>
              <w:t xml:space="preserve">فاكس: </w:t>
            </w:r>
            <w:r w:rsidRPr="003A20F2">
              <w:rPr>
                <w:rFonts w:cs="Simplified Arabic"/>
              </w:rPr>
              <w:t>( 970/972) 2  2978790</w:t>
            </w:r>
          </w:p>
        </w:tc>
      </w:tr>
      <w:tr w:rsidR="00A347DF" w:rsidRPr="003A20F2" w:rsidTr="00CA0880">
        <w:trPr>
          <w:jc w:val="center"/>
        </w:trPr>
        <w:tc>
          <w:tcPr>
            <w:tcW w:w="5209" w:type="dxa"/>
            <w:vAlign w:val="center"/>
          </w:tcPr>
          <w:p w:rsidR="00A347DF" w:rsidRPr="003A20F2" w:rsidRDefault="00A347DF" w:rsidP="001370FF">
            <w:pPr>
              <w:bidi/>
              <w:rPr>
                <w:rFonts w:cs="Simplified Arabic"/>
                <w:rtl/>
              </w:rPr>
            </w:pPr>
            <w:r w:rsidRPr="003A20F2">
              <w:rPr>
                <w:rFonts w:cs="Simplified Arabic"/>
                <w:rtl/>
              </w:rPr>
              <w:t>بريد إلكتروني:</w:t>
            </w:r>
            <w:r w:rsidRPr="003A20F2">
              <w:rPr>
                <w:rFonts w:cs="Simplified Arabic"/>
              </w:rPr>
              <w:t xml:space="preserve">   </w:t>
            </w:r>
            <w:r w:rsidRPr="003A20F2">
              <w:rPr>
                <w:rFonts w:cs="Simplified Arabic"/>
                <w:rtl/>
              </w:rPr>
              <w:t xml:space="preserve"> </w:t>
            </w:r>
            <w:hyperlink r:id="rId7" w:history="1">
              <w:r w:rsidRPr="003A20F2">
                <w:rPr>
                  <w:rStyle w:val="Hyperlink"/>
                  <w:rFonts w:cs="Simplified Arabic"/>
                </w:rPr>
                <w:t>diwan@pcbs.gov.ps</w:t>
              </w:r>
            </w:hyperlink>
          </w:p>
        </w:tc>
        <w:tc>
          <w:tcPr>
            <w:tcW w:w="3555" w:type="dxa"/>
            <w:vAlign w:val="center"/>
          </w:tcPr>
          <w:p w:rsidR="00A347DF" w:rsidRPr="003A20F2" w:rsidRDefault="00A347DF" w:rsidP="001370FF">
            <w:pPr>
              <w:bidi/>
              <w:rPr>
                <w:rFonts w:cs="Simplified Arabic"/>
                <w:rtl/>
              </w:rPr>
            </w:pPr>
            <w:r w:rsidRPr="003A20F2">
              <w:rPr>
                <w:rFonts w:cs="Simplified Arabic"/>
                <w:rtl/>
              </w:rPr>
              <w:t>بريد إلكتروني:</w:t>
            </w:r>
            <w:r w:rsidRPr="003A20F2">
              <w:rPr>
                <w:rFonts w:cs="Simplified Arabic"/>
              </w:rPr>
              <w:t xml:space="preserve">   </w:t>
            </w:r>
            <w:r w:rsidRPr="003A20F2">
              <w:rPr>
                <w:rFonts w:cs="Simplified Arabic"/>
                <w:rtl/>
              </w:rPr>
              <w:t xml:space="preserve"> </w:t>
            </w:r>
            <w:r w:rsidRPr="003A20F2">
              <w:rPr>
                <w:rStyle w:val="Hyperlink"/>
                <w:rFonts w:cs="Simplified Arabic"/>
              </w:rPr>
              <w:t> </w:t>
            </w:r>
            <w:hyperlink r:id="rId8" w:tgtFrame="_blank" w:history="1">
              <w:r w:rsidRPr="003A20F2">
                <w:rPr>
                  <w:rStyle w:val="Hyperlink"/>
                  <w:rFonts w:cs="Simplified Arabic"/>
                </w:rPr>
                <w:t>info@pmof.ps</w:t>
              </w:r>
            </w:hyperlink>
          </w:p>
        </w:tc>
      </w:tr>
      <w:tr w:rsidR="00A347DF" w:rsidRPr="003A20F2" w:rsidTr="00CA0880">
        <w:trPr>
          <w:jc w:val="center"/>
        </w:trPr>
        <w:tc>
          <w:tcPr>
            <w:tcW w:w="5209" w:type="dxa"/>
            <w:vAlign w:val="center"/>
          </w:tcPr>
          <w:p w:rsidR="00A347DF" w:rsidRPr="003A20F2" w:rsidRDefault="00A347DF" w:rsidP="001370FF">
            <w:pPr>
              <w:bidi/>
              <w:rPr>
                <w:rStyle w:val="Hyperlink"/>
                <w:rtl/>
              </w:rPr>
            </w:pPr>
            <w:r w:rsidRPr="003A20F2">
              <w:rPr>
                <w:rStyle w:val="Hyperlink"/>
                <w:rtl/>
              </w:rPr>
              <w:t>صفحة إلكترونية</w:t>
            </w:r>
            <w:r w:rsidRPr="003A20F2">
              <w:rPr>
                <w:rStyle w:val="Hyperlink"/>
                <w:rFonts w:hint="cs"/>
                <w:rtl/>
              </w:rPr>
              <w:t>:</w:t>
            </w:r>
            <w:r w:rsidRPr="003A20F2">
              <w:rPr>
                <w:rStyle w:val="Hyperlink"/>
              </w:rPr>
              <w:t xml:space="preserve">  </w:t>
            </w:r>
            <w:hyperlink r:id="rId9" w:history="1">
              <w:r w:rsidRPr="003A20F2">
                <w:rPr>
                  <w:rStyle w:val="Hyperlink"/>
                  <w:rFonts w:cs="Simplified Arabic"/>
                </w:rPr>
                <w:t>http://www.pcbs.gov.ps</w:t>
              </w:r>
            </w:hyperlink>
          </w:p>
        </w:tc>
        <w:tc>
          <w:tcPr>
            <w:tcW w:w="3555" w:type="dxa"/>
            <w:vAlign w:val="center"/>
          </w:tcPr>
          <w:p w:rsidR="00A347DF" w:rsidRPr="003A20F2" w:rsidRDefault="00A347DF" w:rsidP="001370FF">
            <w:pPr>
              <w:bidi/>
              <w:rPr>
                <w:rStyle w:val="Hyperlink"/>
                <w:rtl/>
              </w:rPr>
            </w:pPr>
            <w:r w:rsidRPr="003A20F2">
              <w:rPr>
                <w:rStyle w:val="Hyperlink"/>
                <w:rtl/>
              </w:rPr>
              <w:t>صفحة إلكتروني</w:t>
            </w:r>
            <w:r w:rsidRPr="003A20F2">
              <w:rPr>
                <w:rStyle w:val="Hyperlink"/>
                <w:rFonts w:hint="cs"/>
                <w:rtl/>
              </w:rPr>
              <w:t xml:space="preserve">: </w:t>
            </w:r>
            <w:hyperlink r:id="rId10" w:history="1">
              <w:r w:rsidRPr="003A20F2">
                <w:rPr>
                  <w:rStyle w:val="Hyperlink"/>
                  <w:rFonts w:cs="Simplified Arabic"/>
                </w:rPr>
                <w:t>http://www.pmof.ps</w:t>
              </w:r>
            </w:hyperlink>
          </w:p>
        </w:tc>
      </w:tr>
    </w:tbl>
    <w:p w:rsidR="00A347DF" w:rsidRPr="00CF0609" w:rsidRDefault="00A347DF" w:rsidP="00A347DF">
      <w:pPr>
        <w:pStyle w:val="BodyText2"/>
        <w:jc w:val="right"/>
        <w:rPr>
          <w:rFonts w:cs="Simplified Arabic"/>
          <w:szCs w:val="24"/>
          <w:rtl/>
        </w:rPr>
      </w:pPr>
    </w:p>
    <w:p w:rsidR="004D54E3" w:rsidRDefault="004D54E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7D6D43" w:rsidRDefault="007D6D43" w:rsidP="004D54E3">
      <w:pPr>
        <w:pStyle w:val="BodyText"/>
        <w:jc w:val="both"/>
        <w:rPr>
          <w:rFonts w:cs="Simplified Arabic"/>
          <w:szCs w:val="24"/>
          <w:rtl/>
          <w:lang w:val="en-GB"/>
        </w:rPr>
      </w:pPr>
    </w:p>
    <w:p w:rsidR="0013774E" w:rsidRDefault="0013774E" w:rsidP="0013774E">
      <w:pPr>
        <w:bidi/>
        <w:spacing w:after="0" w:line="240" w:lineRule="auto"/>
        <w:rPr>
          <w:rFonts w:ascii="Arial" w:eastAsia="Times New Roman" w:hAnsi="Arial" w:cs="Simplified Arabic"/>
          <w:b/>
          <w:bCs/>
          <w:color w:val="000000"/>
          <w:rtl/>
          <w:lang w:val="en-US"/>
        </w:rPr>
      </w:pPr>
    </w:p>
    <w:p w:rsidR="002856AF" w:rsidRDefault="002856AF" w:rsidP="0013774E">
      <w:pPr>
        <w:bidi/>
        <w:spacing w:after="0" w:line="240" w:lineRule="auto"/>
        <w:rPr>
          <w:rFonts w:ascii="Arial" w:eastAsia="Times New Roman" w:hAnsi="Arial" w:cs="Simplified Arabic"/>
          <w:b/>
          <w:bCs/>
          <w:color w:val="000000"/>
          <w:rtl/>
          <w:lang w:val="en-US"/>
        </w:rPr>
      </w:pPr>
    </w:p>
    <w:p w:rsidR="002856AF" w:rsidRDefault="002856AF" w:rsidP="0013774E">
      <w:pPr>
        <w:bidi/>
        <w:spacing w:after="0" w:line="240" w:lineRule="auto"/>
        <w:rPr>
          <w:rFonts w:ascii="Arial" w:eastAsia="Times New Roman" w:hAnsi="Arial" w:cs="Simplified Arabic"/>
          <w:b/>
          <w:bCs/>
          <w:color w:val="000000"/>
          <w:rtl/>
          <w:lang w:val="en-US"/>
        </w:rPr>
      </w:pPr>
    </w:p>
    <w:p w:rsidR="00102FDB" w:rsidRDefault="00102FDB" w:rsidP="00102FDB">
      <w:pPr>
        <w:bidi/>
        <w:spacing w:after="0" w:line="240" w:lineRule="auto"/>
        <w:rPr>
          <w:rFonts w:ascii="Arial" w:eastAsia="Times New Roman" w:hAnsi="Arial" w:cs="Simplified Arabic"/>
          <w:b/>
          <w:bCs/>
          <w:color w:val="000000"/>
          <w:rtl/>
          <w:lang w:val="en-US"/>
        </w:rPr>
      </w:pPr>
    </w:p>
    <w:p w:rsidR="00102FDB" w:rsidRDefault="00102FDB" w:rsidP="00102FDB">
      <w:pPr>
        <w:bidi/>
        <w:spacing w:after="0" w:line="240" w:lineRule="auto"/>
        <w:rPr>
          <w:rFonts w:ascii="Arial" w:eastAsia="Times New Roman" w:hAnsi="Arial" w:cs="Simplified Arabic"/>
          <w:b/>
          <w:bCs/>
          <w:color w:val="000000"/>
          <w:rtl/>
          <w:lang w:val="en-US"/>
        </w:rPr>
      </w:pPr>
    </w:p>
    <w:p w:rsidR="00102FDB" w:rsidRDefault="00102FDB" w:rsidP="00102FDB">
      <w:pPr>
        <w:bidi/>
        <w:spacing w:after="0" w:line="240" w:lineRule="auto"/>
        <w:rPr>
          <w:rFonts w:ascii="Arial" w:eastAsia="Times New Roman" w:hAnsi="Arial" w:cs="Simplified Arabic"/>
          <w:b/>
          <w:bCs/>
          <w:color w:val="000000"/>
          <w:rtl/>
          <w:lang w:val="en-US"/>
        </w:rPr>
      </w:pPr>
    </w:p>
    <w:p w:rsidR="00586EA3" w:rsidRDefault="00586EA3" w:rsidP="00586EA3">
      <w:pPr>
        <w:bidi/>
        <w:spacing w:after="0" w:line="240" w:lineRule="auto"/>
        <w:rPr>
          <w:rFonts w:ascii="Arial" w:eastAsia="Times New Roman" w:hAnsi="Arial" w:cs="Simplified Arabic"/>
          <w:b/>
          <w:bCs/>
          <w:color w:val="000000"/>
          <w:rtl/>
          <w:lang w:val="en-US"/>
        </w:rPr>
      </w:pPr>
    </w:p>
    <w:p w:rsidR="00586EA3" w:rsidRDefault="00586EA3" w:rsidP="00586EA3">
      <w:pPr>
        <w:bidi/>
        <w:spacing w:after="0" w:line="240" w:lineRule="auto"/>
        <w:rPr>
          <w:rFonts w:ascii="Arial" w:eastAsia="Times New Roman" w:hAnsi="Arial" w:cs="Simplified Arabic"/>
          <w:b/>
          <w:bCs/>
          <w:color w:val="000000"/>
          <w:rtl/>
          <w:lang w:val="en-US"/>
        </w:rPr>
      </w:pPr>
    </w:p>
    <w:p w:rsidR="00586EA3" w:rsidRDefault="00586EA3" w:rsidP="00586EA3">
      <w:pPr>
        <w:bidi/>
        <w:spacing w:after="0" w:line="240" w:lineRule="auto"/>
        <w:rPr>
          <w:rFonts w:ascii="Arial" w:eastAsia="Times New Roman" w:hAnsi="Arial" w:cs="Simplified Arabic"/>
          <w:b/>
          <w:bCs/>
          <w:color w:val="000000"/>
          <w:rtl/>
          <w:lang w:val="en-US"/>
        </w:rPr>
      </w:pPr>
    </w:p>
    <w:p w:rsidR="00586EA3" w:rsidRDefault="00586EA3" w:rsidP="00586EA3">
      <w:pPr>
        <w:bidi/>
        <w:spacing w:after="0" w:line="240" w:lineRule="auto"/>
        <w:rPr>
          <w:rFonts w:ascii="Arial" w:eastAsia="Times New Roman" w:hAnsi="Arial" w:cs="Simplified Arabic"/>
          <w:b/>
          <w:bCs/>
          <w:color w:val="000000"/>
          <w:rtl/>
          <w:lang w:val="en-US"/>
        </w:rPr>
      </w:pPr>
    </w:p>
    <w:p w:rsidR="00586EA3" w:rsidRDefault="00586EA3" w:rsidP="00586EA3">
      <w:pPr>
        <w:bidi/>
        <w:spacing w:after="0" w:line="240" w:lineRule="auto"/>
        <w:rPr>
          <w:rFonts w:ascii="Arial" w:eastAsia="Times New Roman" w:hAnsi="Arial" w:cs="Simplified Arabic"/>
          <w:b/>
          <w:bCs/>
          <w:color w:val="000000"/>
          <w:rtl/>
          <w:lang w:val="en-US"/>
        </w:rPr>
      </w:pPr>
    </w:p>
    <w:tbl>
      <w:tblPr>
        <w:tblpPr w:leftFromText="180" w:rightFromText="180" w:vertAnchor="text" w:horzAnchor="margin" w:tblpXSpec="center" w:tblpY="132"/>
        <w:tblOverlap w:val="never"/>
        <w:bidiVisual/>
        <w:tblW w:w="11111" w:type="dxa"/>
        <w:tblLook w:val="04A0"/>
      </w:tblPr>
      <w:tblGrid>
        <w:gridCol w:w="96"/>
        <w:gridCol w:w="2934"/>
        <w:gridCol w:w="1134"/>
        <w:gridCol w:w="1275"/>
        <w:gridCol w:w="1418"/>
        <w:gridCol w:w="1134"/>
        <w:gridCol w:w="1276"/>
        <w:gridCol w:w="894"/>
        <w:gridCol w:w="950"/>
      </w:tblGrid>
      <w:tr w:rsidR="007D6D43" w:rsidRPr="003A20F2" w:rsidTr="005B67F6">
        <w:trPr>
          <w:trHeight w:hRule="exact" w:val="312"/>
        </w:trPr>
        <w:tc>
          <w:tcPr>
            <w:tcW w:w="11111" w:type="dxa"/>
            <w:gridSpan w:val="9"/>
            <w:tcBorders>
              <w:bottom w:val="single" w:sz="4" w:space="0" w:color="auto"/>
            </w:tcBorders>
            <w:shd w:val="clear" w:color="auto" w:fill="auto"/>
            <w:noWrap/>
            <w:vAlign w:val="center"/>
            <w:hideMark/>
          </w:tcPr>
          <w:p w:rsidR="007D6D43" w:rsidRPr="003A20F2" w:rsidRDefault="007D6D43" w:rsidP="007D6D43">
            <w:pPr>
              <w:bidi/>
              <w:jc w:val="center"/>
              <w:rPr>
                <w:rtl/>
              </w:rPr>
            </w:pPr>
            <w:r w:rsidRPr="003A20F2">
              <w:rPr>
                <w:rFonts w:ascii="Arial" w:hAnsi="Arial" w:cs="Simplified Arabic" w:hint="cs"/>
                <w:b/>
                <w:bCs/>
                <w:color w:val="000000"/>
                <w:rtl/>
              </w:rPr>
              <w:t xml:space="preserve">مالية الحكومة العامة لعام </w:t>
            </w:r>
            <w:r w:rsidRPr="003A20F2">
              <w:rPr>
                <w:rFonts w:ascii="Arial" w:hAnsi="Arial" w:cs="Simplified Arabic"/>
                <w:b/>
                <w:bCs/>
                <w:color w:val="000000"/>
              </w:rPr>
              <w:t>2013</w:t>
            </w:r>
          </w:p>
          <w:p w:rsidR="007D6D43" w:rsidRPr="003A20F2" w:rsidRDefault="007D6D43" w:rsidP="00F302F1">
            <w:pPr>
              <w:jc w:val="center"/>
              <w:rPr>
                <w:rFonts w:ascii="Arial" w:hAnsi="Arial" w:cs="Simplified Arabic"/>
                <w:color w:val="000000"/>
                <w:sz w:val="18"/>
                <w:szCs w:val="18"/>
                <w:rtl/>
              </w:rPr>
            </w:pPr>
          </w:p>
        </w:tc>
      </w:tr>
      <w:tr w:rsidR="007D6D43" w:rsidRPr="003A20F2" w:rsidTr="005B67F6">
        <w:trPr>
          <w:trHeight w:hRule="exact" w:val="312"/>
        </w:trPr>
        <w:tc>
          <w:tcPr>
            <w:tcW w:w="3030"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7D6D43" w:rsidRPr="003A20F2" w:rsidRDefault="007D6D43" w:rsidP="00F302F1">
            <w:pPr>
              <w:jc w:val="center"/>
              <w:rPr>
                <w:rFonts w:ascii="Arial" w:hAnsi="Arial" w:cs="Simplified Arabic"/>
                <w:b/>
                <w:bCs/>
                <w:color w:val="000000"/>
                <w:sz w:val="18"/>
                <w:szCs w:val="18"/>
                <w:rtl/>
              </w:rPr>
            </w:pPr>
            <w:r w:rsidRPr="003A20F2">
              <w:rPr>
                <w:rFonts w:ascii="Arial" w:hAnsi="Arial" w:cs="Simplified Arabic" w:hint="cs"/>
                <w:b/>
                <w:bCs/>
                <w:color w:val="000000"/>
                <w:sz w:val="18"/>
                <w:szCs w:val="18"/>
                <w:rtl/>
              </w:rPr>
              <w:t>المؤشر</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color w:val="000000"/>
                <w:sz w:val="18"/>
                <w:szCs w:val="18"/>
              </w:rPr>
            </w:pPr>
            <w:r w:rsidRPr="003A20F2">
              <w:rPr>
                <w:rFonts w:ascii="Arial" w:hAnsi="Arial" w:cs="Simplified Arabic" w:hint="cs"/>
                <w:color w:val="000000"/>
                <w:sz w:val="18"/>
                <w:szCs w:val="18"/>
                <w:rtl/>
              </w:rPr>
              <w:t xml:space="preserve">القيمة بالمليون دولار أمريكي </w:t>
            </w:r>
          </w:p>
        </w:tc>
        <w:tc>
          <w:tcPr>
            <w:tcW w:w="4254" w:type="dxa"/>
            <w:gridSpan w:val="4"/>
            <w:tcBorders>
              <w:top w:val="single" w:sz="4" w:space="0" w:color="auto"/>
              <w:left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color w:val="000000"/>
                <w:sz w:val="18"/>
                <w:szCs w:val="18"/>
                <w:rtl/>
              </w:rPr>
            </w:pPr>
            <w:r w:rsidRPr="003A20F2">
              <w:rPr>
                <w:rFonts w:ascii="Arial" w:hAnsi="Arial" w:cs="Simplified Arabic" w:hint="cs"/>
                <w:color w:val="000000"/>
                <w:sz w:val="18"/>
                <w:szCs w:val="18"/>
                <w:rtl/>
              </w:rPr>
              <w:t>التوزيع النسبي للإيرادات والنفقات</w:t>
            </w:r>
          </w:p>
        </w:tc>
      </w:tr>
      <w:tr w:rsidR="007D6D43" w:rsidRPr="003A20F2" w:rsidTr="005B67F6">
        <w:trPr>
          <w:trHeight w:hRule="exact" w:val="312"/>
        </w:trPr>
        <w:tc>
          <w:tcPr>
            <w:tcW w:w="3030" w:type="dxa"/>
            <w:gridSpan w:val="2"/>
            <w:vMerge/>
            <w:tcBorders>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F302F1">
            <w:pPr>
              <w:jc w:val="center"/>
              <w:rPr>
                <w:rFonts w:ascii="Arial" w:hAnsi="Arial" w:cs="Simplified Arabic"/>
                <w:b/>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b/>
                <w:bCs/>
                <w:color w:val="000000"/>
                <w:sz w:val="18"/>
                <w:szCs w:val="18"/>
              </w:rPr>
            </w:pPr>
            <w:r w:rsidRPr="003A20F2">
              <w:rPr>
                <w:rFonts w:ascii="Arial" w:hAnsi="Arial" w:cs="Simplified Arabic" w:hint="cs"/>
                <w:b/>
                <w:bCs/>
                <w:color w:val="000000"/>
                <w:sz w:val="18"/>
                <w:szCs w:val="18"/>
                <w:rtl/>
              </w:rPr>
              <w:t>الحكومة العامة</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b/>
                <w:bCs/>
                <w:color w:val="000000"/>
                <w:sz w:val="18"/>
                <w:szCs w:val="18"/>
              </w:rPr>
            </w:pPr>
            <w:r w:rsidRPr="003A20F2">
              <w:rPr>
                <w:rFonts w:ascii="Arial" w:hAnsi="Arial" w:cs="Simplified Arabic" w:hint="cs"/>
                <w:b/>
                <w:bCs/>
                <w:color w:val="000000"/>
                <w:sz w:val="18"/>
                <w:szCs w:val="18"/>
                <w:rtl/>
              </w:rPr>
              <w:t>الحكومة المركزية</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both"/>
              <w:rPr>
                <w:rFonts w:ascii="Arial" w:hAnsi="Arial" w:cs="Simplified Arabic"/>
                <w:b/>
                <w:bCs/>
                <w:color w:val="000000"/>
                <w:sz w:val="18"/>
                <w:szCs w:val="18"/>
                <w:highlight w:val="yellow"/>
              </w:rPr>
            </w:pPr>
            <w:r w:rsidRPr="003A20F2">
              <w:rPr>
                <w:rFonts w:ascii="Arial" w:hAnsi="Arial" w:cs="Simplified Arabic" w:hint="cs"/>
                <w:b/>
                <w:bCs/>
                <w:color w:val="000000"/>
                <w:sz w:val="18"/>
                <w:szCs w:val="18"/>
                <w:rtl/>
              </w:rPr>
              <w:t>الحكومة المحلية*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b/>
                <w:bCs/>
                <w:color w:val="000000"/>
                <w:sz w:val="18"/>
                <w:szCs w:val="18"/>
              </w:rPr>
            </w:pPr>
            <w:r w:rsidRPr="003A20F2">
              <w:rPr>
                <w:rFonts w:ascii="Arial" w:hAnsi="Arial" w:cs="Simplified Arabic" w:hint="cs"/>
                <w:b/>
                <w:bCs/>
                <w:color w:val="000000"/>
                <w:sz w:val="18"/>
                <w:szCs w:val="18"/>
                <w:rtl/>
              </w:rPr>
              <w:t>الحكومة العامة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6D43" w:rsidRPr="003A20F2" w:rsidRDefault="007D6D43" w:rsidP="00F302F1">
            <w:pPr>
              <w:jc w:val="center"/>
              <w:rPr>
                <w:rFonts w:ascii="Arial" w:hAnsi="Arial" w:cs="Simplified Arabic"/>
                <w:b/>
                <w:bCs/>
                <w:color w:val="000000"/>
                <w:sz w:val="18"/>
                <w:szCs w:val="18"/>
              </w:rPr>
            </w:pPr>
            <w:r w:rsidRPr="003A20F2">
              <w:rPr>
                <w:rFonts w:ascii="Arial" w:hAnsi="Arial" w:cs="Simplified Arabic" w:hint="cs"/>
                <w:b/>
                <w:bCs/>
                <w:color w:val="000000"/>
                <w:sz w:val="18"/>
                <w:szCs w:val="18"/>
                <w:rtl/>
              </w:rPr>
              <w:t>الحكومة المركزية</w:t>
            </w:r>
          </w:p>
        </w:tc>
        <w:tc>
          <w:tcPr>
            <w:tcW w:w="1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D6D43" w:rsidRPr="003A20F2" w:rsidRDefault="007D6D43" w:rsidP="00F302F1">
            <w:pPr>
              <w:jc w:val="center"/>
              <w:rPr>
                <w:rFonts w:ascii="Arial" w:hAnsi="Arial" w:cs="Simplified Arabic"/>
                <w:b/>
                <w:bCs/>
                <w:color w:val="000000"/>
                <w:sz w:val="18"/>
                <w:szCs w:val="18"/>
              </w:rPr>
            </w:pPr>
            <w:r w:rsidRPr="003A20F2">
              <w:rPr>
                <w:rFonts w:ascii="Arial" w:hAnsi="Arial" w:cs="Simplified Arabic" w:hint="cs"/>
                <w:b/>
                <w:bCs/>
                <w:color w:val="000000"/>
                <w:sz w:val="18"/>
                <w:szCs w:val="18"/>
                <w:rtl/>
              </w:rPr>
              <w:t>الحكومة المحلية</w:t>
            </w:r>
          </w:p>
        </w:tc>
      </w:tr>
      <w:tr w:rsidR="007D6D43" w:rsidRPr="003A20F2" w:rsidTr="005B67F6">
        <w:trPr>
          <w:trHeight w:hRule="exact" w:val="312"/>
        </w:trPr>
        <w:tc>
          <w:tcPr>
            <w:tcW w:w="3030" w:type="dxa"/>
            <w:gridSpan w:val="2"/>
            <w:tcBorders>
              <w:top w:val="single" w:sz="4" w:space="0" w:color="auto"/>
              <w:left w:val="single" w:sz="4" w:space="0" w:color="auto"/>
              <w:bottom w:val="single" w:sz="4" w:space="0" w:color="auto"/>
              <w:right w:val="single" w:sz="4" w:space="0" w:color="auto"/>
            </w:tcBorders>
            <w:shd w:val="pct10" w:color="auto" w:fill="auto"/>
            <w:noWrap/>
            <w:vAlign w:val="center"/>
            <w:hideMark/>
          </w:tcPr>
          <w:p w:rsidR="007D6D43" w:rsidRPr="003A20F2" w:rsidRDefault="007D6D43" w:rsidP="002856AF">
            <w:pPr>
              <w:bidi/>
              <w:rPr>
                <w:rFonts w:ascii="Arial" w:hAnsi="Arial" w:cs="Simplified Arabic"/>
                <w:b/>
                <w:bCs/>
                <w:color w:val="000000"/>
                <w:sz w:val="18"/>
                <w:szCs w:val="18"/>
                <w:rtl/>
              </w:rPr>
            </w:pPr>
            <w:r w:rsidRPr="003A20F2">
              <w:rPr>
                <w:rFonts w:ascii="Arial" w:hAnsi="Arial" w:cs="Simplified Arabic" w:hint="cs"/>
                <w:b/>
                <w:bCs/>
                <w:color w:val="000000"/>
                <w:sz w:val="18"/>
                <w:szCs w:val="18"/>
                <w:rtl/>
              </w:rPr>
              <w:t>1. الإيرادات</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4049.2</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3640.6</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408.6</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color w:val="000000"/>
                <w:sz w:val="18"/>
                <w:szCs w:val="18"/>
                <w:rtl/>
              </w:rPr>
            </w:pPr>
            <w:r w:rsidRPr="003A20F2">
              <w:rPr>
                <w:rFonts w:ascii="Arial" w:hAnsi="Arial" w:hint="cs"/>
                <w:b/>
                <w:bCs/>
                <w:color w:val="000000"/>
                <w:sz w:val="18"/>
                <w:szCs w:val="18"/>
                <w:rtl/>
              </w:rPr>
              <w:t>100</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color w:val="000000"/>
                <w:sz w:val="18"/>
                <w:szCs w:val="18"/>
                <w:rtl/>
              </w:rPr>
            </w:pPr>
            <w:r w:rsidRPr="003A20F2">
              <w:rPr>
                <w:rFonts w:ascii="Arial" w:hAnsi="Arial" w:hint="cs"/>
                <w:b/>
                <w:bCs/>
                <w:color w:val="000000"/>
                <w:sz w:val="18"/>
                <w:szCs w:val="18"/>
                <w:rtl/>
              </w:rPr>
              <w:t>100</w:t>
            </w:r>
          </w:p>
        </w:tc>
        <w:tc>
          <w:tcPr>
            <w:tcW w:w="184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color w:val="000000"/>
                <w:sz w:val="18"/>
                <w:szCs w:val="18"/>
                <w:rtl/>
              </w:rPr>
            </w:pPr>
            <w:r w:rsidRPr="003A20F2">
              <w:rPr>
                <w:rFonts w:ascii="Arial" w:hAnsi="Arial" w:hint="cs"/>
                <w:b/>
                <w:bCs/>
                <w:color w:val="000000"/>
                <w:sz w:val="18"/>
                <w:szCs w:val="18"/>
                <w:rtl/>
              </w:rPr>
              <w:t>100</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 xml:space="preserve">1.1  ضرائب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2203.9</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2164.8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39.1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59.5</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9.6</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tl/>
              </w:rPr>
            </w:pPr>
            <w:r w:rsidRPr="003A20F2">
              <w:rPr>
                <w:rFonts w:ascii="Arial" w:hAnsi="Arial" w:cs="Simplified Arabic" w:hint="cs"/>
                <w:color w:val="000000"/>
                <w:sz w:val="18"/>
                <w:szCs w:val="18"/>
                <w:rtl/>
              </w:rPr>
              <w:t>2.1  مساهمات اجتماعية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1.0</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3.1  منح ومساعدات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1376.1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1358.2</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17.9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34.0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37.3</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4.4</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4.1  إيرادات أخرى**</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465.1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117.6</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347.5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3.2</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85.0</w:t>
            </w:r>
          </w:p>
        </w:tc>
      </w:tr>
      <w:tr w:rsidR="007D6D43" w:rsidRPr="003A20F2" w:rsidTr="005B67F6">
        <w:trPr>
          <w:trHeight w:hRule="exact" w:val="312"/>
        </w:trPr>
        <w:tc>
          <w:tcPr>
            <w:tcW w:w="3030" w:type="dxa"/>
            <w:gridSpan w:val="2"/>
            <w:tcBorders>
              <w:top w:val="single" w:sz="4" w:space="0" w:color="auto"/>
              <w:left w:val="single" w:sz="4" w:space="0" w:color="auto"/>
              <w:bottom w:val="single" w:sz="4" w:space="0" w:color="auto"/>
              <w:right w:val="single" w:sz="4" w:space="0" w:color="auto"/>
            </w:tcBorders>
            <w:shd w:val="pct10" w:color="auto" w:fill="auto"/>
            <w:noWrap/>
            <w:vAlign w:val="center"/>
            <w:hideMark/>
          </w:tcPr>
          <w:p w:rsidR="007D6D43" w:rsidRPr="003A20F2" w:rsidRDefault="007D6D43" w:rsidP="002856AF">
            <w:pPr>
              <w:bidi/>
              <w:rPr>
                <w:rFonts w:ascii="Arial" w:hAnsi="Arial" w:cs="Simplified Arabic"/>
                <w:b/>
                <w:bCs/>
                <w:color w:val="000000"/>
                <w:sz w:val="18"/>
                <w:szCs w:val="18"/>
                <w:rtl/>
              </w:rPr>
            </w:pPr>
            <w:r w:rsidRPr="003A20F2">
              <w:rPr>
                <w:rFonts w:ascii="Arial" w:hAnsi="Arial" w:cs="Simplified Arabic" w:hint="cs"/>
                <w:b/>
                <w:bCs/>
                <w:color w:val="000000"/>
                <w:sz w:val="18"/>
                <w:szCs w:val="18"/>
                <w:rtl/>
              </w:rPr>
              <w:t>اجمالي النفقات (2 + 1.3)</w:t>
            </w:r>
            <w:r w:rsidRPr="003A20F2">
              <w:rPr>
                <w:rFonts w:ascii="Arial" w:hAnsi="Arial" w:cs="Simplified Arabic" w:hint="cs"/>
                <w:color w:val="000000"/>
                <w:sz w:val="18"/>
                <w:szCs w:val="18"/>
                <w:rtl/>
              </w:rPr>
              <w:t>***</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3927.3</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3520.0</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407.3</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sz w:val="18"/>
                <w:szCs w:val="18"/>
                <w:rtl/>
              </w:rPr>
            </w:pPr>
            <w:r w:rsidRPr="003A20F2">
              <w:rPr>
                <w:rFonts w:ascii="Arial" w:hAnsi="Arial" w:hint="cs"/>
                <w:b/>
                <w:bCs/>
                <w:sz w:val="18"/>
                <w:szCs w:val="18"/>
                <w:rtl/>
              </w:rPr>
              <w:t>100</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sz w:val="18"/>
                <w:szCs w:val="18"/>
                <w:rtl/>
              </w:rPr>
            </w:pPr>
            <w:r w:rsidRPr="003A20F2">
              <w:rPr>
                <w:rFonts w:ascii="Arial" w:hAnsi="Arial" w:hint="cs"/>
                <w:b/>
                <w:bCs/>
                <w:sz w:val="18"/>
                <w:szCs w:val="18"/>
                <w:rtl/>
              </w:rPr>
              <w:t>100</w:t>
            </w:r>
          </w:p>
        </w:tc>
        <w:tc>
          <w:tcPr>
            <w:tcW w:w="184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7D6D43" w:rsidRPr="003A20F2" w:rsidRDefault="007D6D43" w:rsidP="00F302F1">
            <w:pPr>
              <w:jc w:val="center"/>
              <w:rPr>
                <w:rFonts w:ascii="Arial" w:hAnsi="Arial"/>
                <w:b/>
                <w:bCs/>
                <w:sz w:val="18"/>
                <w:szCs w:val="18"/>
                <w:rtl/>
              </w:rPr>
            </w:pPr>
            <w:r w:rsidRPr="003A20F2">
              <w:rPr>
                <w:rFonts w:ascii="Arial" w:hAnsi="Arial" w:hint="cs"/>
                <w:b/>
                <w:bCs/>
                <w:sz w:val="18"/>
                <w:szCs w:val="18"/>
                <w:rtl/>
              </w:rPr>
              <w:t>100</w:t>
            </w:r>
          </w:p>
        </w:tc>
      </w:tr>
      <w:tr w:rsidR="007D6D43" w:rsidRPr="003A20F2" w:rsidTr="005B67F6">
        <w:trPr>
          <w:trHeight w:hRule="exact" w:val="312"/>
        </w:trPr>
        <w:tc>
          <w:tcPr>
            <w:tcW w:w="3030" w:type="dxa"/>
            <w:gridSpan w:val="2"/>
            <w:tcBorders>
              <w:top w:val="single" w:sz="4" w:space="0" w:color="auto"/>
              <w:left w:val="single" w:sz="4" w:space="0" w:color="auto"/>
              <w:bottom w:val="single" w:sz="4" w:space="0" w:color="auto"/>
              <w:right w:val="single" w:sz="4" w:space="0" w:color="auto"/>
            </w:tcBorders>
            <w:shd w:val="pct10" w:color="auto" w:fill="auto"/>
            <w:noWrap/>
            <w:vAlign w:val="center"/>
            <w:hideMark/>
          </w:tcPr>
          <w:p w:rsidR="007D6D43" w:rsidRPr="003A20F2" w:rsidRDefault="007D6D43" w:rsidP="002856AF">
            <w:pPr>
              <w:bidi/>
              <w:rPr>
                <w:rFonts w:ascii="Arial" w:hAnsi="Arial" w:cs="Simplified Arabic"/>
                <w:b/>
                <w:bCs/>
                <w:color w:val="000000"/>
                <w:sz w:val="18"/>
                <w:szCs w:val="18"/>
                <w:rtl/>
              </w:rPr>
            </w:pPr>
            <w:r w:rsidRPr="003A20F2">
              <w:rPr>
                <w:rFonts w:ascii="Arial" w:hAnsi="Arial" w:cs="Simplified Arabic" w:hint="cs"/>
                <w:b/>
                <w:bCs/>
                <w:color w:val="000000"/>
                <w:sz w:val="18"/>
                <w:szCs w:val="18"/>
                <w:rtl/>
              </w:rPr>
              <w:t>2. النفقات الجارية</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3783.6</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3405.9</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377.7</w:t>
            </w:r>
          </w:p>
        </w:tc>
        <w:tc>
          <w:tcPr>
            <w:tcW w:w="4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D43" w:rsidRPr="003A20F2" w:rsidRDefault="007D6D43" w:rsidP="00F302F1">
            <w:pPr>
              <w:rPr>
                <w:rFonts w:ascii="Arial" w:hAnsi="Arial"/>
                <w:b/>
                <w:bCs/>
                <w:sz w:val="18"/>
                <w:szCs w:val="18"/>
                <w:rtl/>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1.2  تعويضات العاملين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2194.1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2080.5</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113.6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55.9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59.1</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27.9</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2.2  استخدام سلع وخدمات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616.7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493.2</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123.5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15.7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14.0</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30.3</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3.2  استهلاك رأس المال الثابت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0.2</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r w:rsidRPr="003A20F2">
              <w:rPr>
                <w:rStyle w:val="FootnoteReference"/>
                <w:rFonts w:ascii="Arial" w:hAnsi="Arial"/>
                <w:color w:val="000000"/>
                <w:sz w:val="18"/>
                <w:szCs w:val="18"/>
                <w:rtl/>
              </w:rPr>
              <w:footnoteReference w:id="1"/>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Pr>
              <w:t>0.1</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4.2  فوائد</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89.3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89.3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hint="cs"/>
                <w:color w:val="000000"/>
                <w:sz w:val="18"/>
                <w:szCs w:val="18"/>
                <w:rtl/>
              </w:rPr>
              <w:t>2.6</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5.2  إعانات 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6.2  منح</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17.9</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17.9</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0.5</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7.2  منافع اجتماعية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688.1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674.9</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13.2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Pr>
              <w:t>17.4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19.2</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3.2</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tl/>
              </w:rPr>
            </w:pPr>
            <w:r w:rsidRPr="003A20F2">
              <w:rPr>
                <w:rFonts w:ascii="Arial" w:hAnsi="Arial" w:cs="Simplified Arabic" w:hint="cs"/>
                <w:color w:val="000000"/>
                <w:sz w:val="18"/>
                <w:szCs w:val="18"/>
                <w:rtl/>
              </w:rPr>
              <w:t>8.2  نفقات أخرى****</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177.3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50.1</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127.2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1.4</w:t>
            </w:r>
          </w:p>
        </w:tc>
        <w:tc>
          <w:tcPr>
            <w:tcW w:w="1844" w:type="dxa"/>
            <w:gridSpan w:val="2"/>
            <w:tcBorders>
              <w:top w:val="nil"/>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31.2</w:t>
            </w:r>
          </w:p>
        </w:tc>
      </w:tr>
      <w:tr w:rsidR="007D6D43" w:rsidRPr="003A20F2" w:rsidTr="005B67F6">
        <w:trPr>
          <w:trHeight w:hRule="exact" w:val="509"/>
        </w:trPr>
        <w:tc>
          <w:tcPr>
            <w:tcW w:w="3030" w:type="dxa"/>
            <w:gridSpan w:val="2"/>
            <w:tcBorders>
              <w:top w:val="nil"/>
              <w:left w:val="single" w:sz="4" w:space="0" w:color="auto"/>
              <w:bottom w:val="single" w:sz="4" w:space="0" w:color="auto"/>
              <w:right w:val="single" w:sz="4" w:space="0" w:color="auto"/>
            </w:tcBorders>
            <w:shd w:val="pct10" w:color="auto" w:fill="auto"/>
            <w:noWrap/>
            <w:vAlign w:val="center"/>
            <w:hideMark/>
          </w:tcPr>
          <w:p w:rsidR="007D6D43" w:rsidRPr="003A20F2" w:rsidRDefault="007D6D43" w:rsidP="002856AF">
            <w:pPr>
              <w:bidi/>
              <w:rPr>
                <w:rFonts w:ascii="Arial" w:hAnsi="Arial" w:cs="Simplified Arabic"/>
                <w:b/>
                <w:bCs/>
                <w:color w:val="000000"/>
                <w:sz w:val="18"/>
                <w:szCs w:val="18"/>
              </w:rPr>
            </w:pPr>
            <w:r w:rsidRPr="003A20F2">
              <w:rPr>
                <w:rFonts w:ascii="Arial" w:hAnsi="Arial" w:cs="Simplified Arabic" w:hint="cs"/>
                <w:b/>
                <w:bCs/>
                <w:color w:val="000000"/>
                <w:sz w:val="18"/>
                <w:szCs w:val="18"/>
                <w:rtl/>
              </w:rPr>
              <w:t>(ص.ر) صافي رصيد التشغيل (1- 2)  **</w:t>
            </w:r>
            <w:r w:rsidRPr="003A20F2">
              <w:rPr>
                <w:rFonts w:ascii="Arial" w:hAnsi="Arial" w:cs="Simplified Arabic" w:hint="cs"/>
                <w:color w:val="000000"/>
                <w:sz w:val="18"/>
                <w:szCs w:val="18"/>
                <w:rtl/>
              </w:rPr>
              <w:t>*</w:t>
            </w:r>
            <w:r w:rsidRPr="003A20F2">
              <w:rPr>
                <w:rFonts w:ascii="Arial" w:hAnsi="Arial" w:cs="Simplified Arabic" w:hint="cs"/>
                <w:b/>
                <w:bCs/>
                <w:color w:val="000000"/>
                <w:sz w:val="18"/>
                <w:szCs w:val="18"/>
                <w:rtl/>
              </w:rPr>
              <w:t>**</w:t>
            </w:r>
          </w:p>
        </w:tc>
        <w:tc>
          <w:tcPr>
            <w:tcW w:w="1134" w:type="dxa"/>
            <w:tcBorders>
              <w:top w:val="nil"/>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265.6</w:t>
            </w:r>
          </w:p>
        </w:tc>
        <w:tc>
          <w:tcPr>
            <w:tcW w:w="1275" w:type="dxa"/>
            <w:tcBorders>
              <w:top w:val="nil"/>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234.7</w:t>
            </w:r>
          </w:p>
        </w:tc>
        <w:tc>
          <w:tcPr>
            <w:tcW w:w="1418" w:type="dxa"/>
            <w:tcBorders>
              <w:top w:val="single" w:sz="4" w:space="0" w:color="auto"/>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30.9</w:t>
            </w:r>
          </w:p>
        </w:tc>
        <w:tc>
          <w:tcPr>
            <w:tcW w:w="42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F302F1">
            <w:pPr>
              <w:rPr>
                <w:rFonts w:ascii="Arial" w:hAnsi="Arial"/>
                <w:b/>
                <w:bCs/>
                <w:sz w:val="18"/>
                <w:szCs w:val="18"/>
                <w:rtl/>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b/>
                <w:bCs/>
                <w:color w:val="000000"/>
                <w:sz w:val="18"/>
                <w:szCs w:val="18"/>
              </w:rPr>
            </w:pPr>
            <w:r w:rsidRPr="003A20F2">
              <w:rPr>
                <w:rFonts w:ascii="Arial" w:hAnsi="Arial" w:cs="Simplified Arabic" w:hint="cs"/>
                <w:b/>
                <w:bCs/>
                <w:color w:val="000000"/>
                <w:sz w:val="18"/>
                <w:szCs w:val="18"/>
                <w:rtl/>
              </w:rPr>
              <w:t>1.3  صافي حيازة الأصول غير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143.7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114.1</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29.6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Pr>
              <w:t>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3.2</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Pr>
              <w:t>7.3</w:t>
            </w: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tl/>
              </w:rPr>
            </w:pPr>
            <w:r w:rsidRPr="003A20F2">
              <w:rPr>
                <w:rFonts w:ascii="Arial" w:hAnsi="Arial" w:cs="Simplified Arabic" w:hint="cs"/>
                <w:color w:val="000000"/>
                <w:sz w:val="18"/>
                <w:szCs w:val="18"/>
                <w:rtl/>
              </w:rPr>
              <w:t>1.1.3  صافي اقتناء أصول ثابتة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117.4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87.8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29.6</w:t>
            </w:r>
          </w:p>
        </w:tc>
        <w:tc>
          <w:tcPr>
            <w:tcW w:w="4254" w:type="dxa"/>
            <w:gridSpan w:val="4"/>
            <w:vMerge w:val="restart"/>
            <w:tcBorders>
              <w:top w:val="single" w:sz="4" w:space="0" w:color="auto"/>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2.1.3  تغير في المخزونات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14.7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14.7</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tl/>
              </w:rPr>
            </w:pPr>
            <w:r w:rsidRPr="003A20F2">
              <w:rPr>
                <w:rFonts w:ascii="Arial" w:hAnsi="Arial" w:cs="Simplified Arabic" w:hint="cs"/>
                <w:color w:val="000000"/>
                <w:sz w:val="18"/>
                <w:szCs w:val="18"/>
                <w:rtl/>
              </w:rPr>
              <w:t>3.1.3  صافي اقتناء نفائس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4.1.3  صافي اقتناء أصول غير منتجة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11.6</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11.6</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621"/>
        </w:trPr>
        <w:tc>
          <w:tcPr>
            <w:tcW w:w="3030" w:type="dxa"/>
            <w:gridSpan w:val="2"/>
            <w:tcBorders>
              <w:top w:val="nil"/>
              <w:left w:val="single" w:sz="4" w:space="0" w:color="auto"/>
              <w:bottom w:val="single" w:sz="4" w:space="0" w:color="auto"/>
              <w:right w:val="single" w:sz="4" w:space="0" w:color="auto"/>
            </w:tcBorders>
            <w:shd w:val="pct10" w:color="auto" w:fill="auto"/>
            <w:noWrap/>
            <w:vAlign w:val="center"/>
            <w:hideMark/>
          </w:tcPr>
          <w:p w:rsidR="007D6D43" w:rsidRPr="003A20F2" w:rsidRDefault="007D6D43" w:rsidP="002856AF">
            <w:pPr>
              <w:bidi/>
              <w:rPr>
                <w:rFonts w:ascii="Arial" w:hAnsi="Arial" w:cs="Simplified Arabic"/>
                <w:b/>
                <w:bCs/>
                <w:color w:val="000000"/>
                <w:sz w:val="18"/>
                <w:szCs w:val="18"/>
                <w:rtl/>
              </w:rPr>
            </w:pPr>
            <w:r w:rsidRPr="003A20F2">
              <w:rPr>
                <w:rFonts w:ascii="Arial" w:hAnsi="Arial" w:cs="Simplified Arabic" w:hint="cs"/>
                <w:b/>
                <w:bCs/>
                <w:color w:val="000000"/>
                <w:sz w:val="18"/>
                <w:szCs w:val="18"/>
                <w:rtl/>
              </w:rPr>
              <w:t>(ص. ق) صافي الإقراض (+) /</w:t>
            </w:r>
          </w:p>
          <w:p w:rsidR="007D6D43" w:rsidRPr="003A20F2" w:rsidRDefault="007D6D43" w:rsidP="002856AF">
            <w:pPr>
              <w:bidi/>
              <w:rPr>
                <w:rFonts w:ascii="Arial" w:hAnsi="Arial" w:cs="Simplified Arabic"/>
                <w:b/>
                <w:bCs/>
                <w:color w:val="000000"/>
                <w:sz w:val="18"/>
                <w:szCs w:val="18"/>
              </w:rPr>
            </w:pPr>
            <w:r w:rsidRPr="003A20F2">
              <w:rPr>
                <w:rFonts w:ascii="Arial" w:hAnsi="Arial" w:cs="Simplified Arabic" w:hint="cs"/>
                <w:b/>
                <w:bCs/>
                <w:color w:val="000000"/>
                <w:sz w:val="18"/>
                <w:szCs w:val="18"/>
                <w:rtl/>
              </w:rPr>
              <w:t>الاقتراض (-)، (ص.ر - 1.3) ******</w:t>
            </w:r>
          </w:p>
        </w:tc>
        <w:tc>
          <w:tcPr>
            <w:tcW w:w="1134" w:type="dxa"/>
            <w:tcBorders>
              <w:top w:val="nil"/>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121.9</w:t>
            </w:r>
          </w:p>
        </w:tc>
        <w:tc>
          <w:tcPr>
            <w:tcW w:w="1275" w:type="dxa"/>
            <w:tcBorders>
              <w:top w:val="nil"/>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120.6</w:t>
            </w:r>
          </w:p>
        </w:tc>
        <w:tc>
          <w:tcPr>
            <w:tcW w:w="1418" w:type="dxa"/>
            <w:tcBorders>
              <w:top w:val="nil"/>
              <w:left w:val="single" w:sz="4" w:space="0" w:color="auto"/>
              <w:bottom w:val="single" w:sz="4" w:space="0" w:color="auto"/>
              <w:right w:val="single" w:sz="4" w:space="0" w:color="auto"/>
            </w:tcBorders>
            <w:shd w:val="pct10" w:color="auto" w:fill="auto"/>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1.3</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rPr>
                <w:rFonts w:ascii="Arial" w:hAnsi="Arial"/>
                <w:b/>
                <w:bCs/>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b/>
                <w:bCs/>
                <w:color w:val="000000"/>
                <w:sz w:val="18"/>
                <w:szCs w:val="18"/>
              </w:rPr>
            </w:pPr>
            <w:r w:rsidRPr="003A20F2">
              <w:rPr>
                <w:rFonts w:ascii="Arial" w:hAnsi="Arial" w:cs="Simplified Arabic" w:hint="cs"/>
                <w:b/>
                <w:bCs/>
                <w:color w:val="000000"/>
                <w:sz w:val="18"/>
                <w:szCs w:val="18"/>
                <w:rtl/>
              </w:rPr>
              <w:t>2.3 صافي حيازة الأصول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374.3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374.3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b/>
                <w:bCs/>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1.2.3 محلي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321.9</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321.9</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2.2.3 أجنبي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52.4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52.4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b/>
                <w:bCs/>
                <w:color w:val="000000"/>
                <w:sz w:val="18"/>
                <w:szCs w:val="18"/>
              </w:rPr>
            </w:pPr>
            <w:r w:rsidRPr="003A20F2">
              <w:rPr>
                <w:rFonts w:ascii="Arial" w:hAnsi="Arial" w:cs="Simplified Arabic" w:hint="cs"/>
                <w:b/>
                <w:bCs/>
                <w:color w:val="000000"/>
                <w:sz w:val="18"/>
                <w:szCs w:val="18"/>
                <w:rtl/>
              </w:rPr>
              <w:t>3.3 صافي تحمل الخصوم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253.4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253.4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b/>
                <w:bCs/>
                <w:color w:val="000000"/>
                <w:sz w:val="18"/>
                <w:szCs w:val="18"/>
              </w:rPr>
            </w:pPr>
            <w:r w:rsidRPr="003A20F2">
              <w:rPr>
                <w:rFonts w:ascii="Arial" w:hAnsi="Arial"/>
                <w:b/>
                <w:bCs/>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b/>
                <w:bCs/>
                <w:sz w:val="18"/>
                <w:szCs w:val="18"/>
              </w:rPr>
            </w:pPr>
          </w:p>
        </w:tc>
      </w:tr>
      <w:tr w:rsidR="007D6D43" w:rsidRPr="003A20F2" w:rsidTr="005B67F6">
        <w:trPr>
          <w:trHeight w:hRule="exact" w:val="312"/>
        </w:trPr>
        <w:tc>
          <w:tcPr>
            <w:tcW w:w="3030"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color w:val="000000"/>
                <w:sz w:val="18"/>
                <w:szCs w:val="18"/>
              </w:rPr>
              <w:t>3</w:t>
            </w:r>
            <w:r w:rsidRPr="003A20F2">
              <w:rPr>
                <w:rFonts w:ascii="Arial" w:hAnsi="Arial" w:cs="Simplified Arabic" w:hint="cs"/>
                <w:color w:val="000000"/>
                <w:sz w:val="18"/>
                <w:szCs w:val="18"/>
                <w:rtl/>
              </w:rPr>
              <w:t>.1.3 محلي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207.4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207.4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olor w:val="000000"/>
                <w:sz w:val="18"/>
                <w:szCs w:val="18"/>
              </w:rPr>
            </w:pPr>
            <w:r w:rsidRPr="003A20F2">
              <w:rPr>
                <w:rFonts w:ascii="Arial" w:hAnsi="Arial"/>
                <w:color w:val="000000"/>
                <w:sz w:val="18"/>
                <w:szCs w:val="18"/>
                <w:rtl/>
              </w:rPr>
              <w:t>0.0</w:t>
            </w:r>
          </w:p>
        </w:tc>
        <w:tc>
          <w:tcPr>
            <w:tcW w:w="4254" w:type="dxa"/>
            <w:gridSpan w:val="4"/>
            <w:vMerge/>
            <w:tcBorders>
              <w:left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trHeight w:hRule="exact" w:val="312"/>
        </w:trPr>
        <w:tc>
          <w:tcPr>
            <w:tcW w:w="30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D43" w:rsidRPr="003A20F2" w:rsidRDefault="007D6D43" w:rsidP="002856AF">
            <w:pPr>
              <w:bidi/>
              <w:rPr>
                <w:rFonts w:ascii="Arial" w:hAnsi="Arial" w:cs="Simplified Arabic"/>
                <w:color w:val="000000"/>
                <w:sz w:val="18"/>
                <w:szCs w:val="18"/>
              </w:rPr>
            </w:pPr>
            <w:r w:rsidRPr="003A20F2">
              <w:rPr>
                <w:rFonts w:ascii="Arial" w:hAnsi="Arial" w:cs="Simplified Arabic" w:hint="cs"/>
                <w:color w:val="000000"/>
                <w:sz w:val="18"/>
                <w:szCs w:val="18"/>
                <w:rtl/>
              </w:rPr>
              <w:t>2.3.3 أجنبي</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s="Simplified Arabic"/>
                <w:color w:val="000000"/>
                <w:sz w:val="18"/>
                <w:szCs w:val="18"/>
              </w:rPr>
            </w:pPr>
            <w:r w:rsidRPr="003A20F2">
              <w:rPr>
                <w:rFonts w:ascii="Arial" w:hAnsi="Arial" w:cs="Simplified Arabic"/>
                <w:color w:val="000000"/>
                <w:sz w:val="18"/>
                <w:szCs w:val="18"/>
                <w:rtl/>
              </w:rPr>
              <w:t>46.0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s="Simplified Arabic"/>
                <w:color w:val="000000"/>
                <w:sz w:val="18"/>
                <w:szCs w:val="18"/>
              </w:rPr>
            </w:pPr>
            <w:r w:rsidRPr="003A20F2">
              <w:rPr>
                <w:rFonts w:ascii="Arial" w:hAnsi="Arial" w:cs="Simplified Arabic"/>
                <w:color w:val="000000"/>
                <w:sz w:val="18"/>
                <w:szCs w:val="18"/>
                <w:rtl/>
              </w:rPr>
              <w:t>46.0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6D43" w:rsidRPr="003A20F2" w:rsidRDefault="007D6D43" w:rsidP="00F302F1">
            <w:pPr>
              <w:jc w:val="center"/>
              <w:rPr>
                <w:rFonts w:ascii="Arial" w:hAnsi="Arial" w:cs="Simplified Arabic"/>
                <w:color w:val="000000"/>
                <w:sz w:val="18"/>
                <w:szCs w:val="18"/>
              </w:rPr>
            </w:pPr>
            <w:r w:rsidRPr="003A20F2">
              <w:rPr>
                <w:rFonts w:ascii="Arial" w:hAnsi="Arial" w:cs="Simplified Arabic"/>
                <w:color w:val="000000"/>
                <w:sz w:val="18"/>
                <w:szCs w:val="18"/>
                <w:rtl/>
              </w:rPr>
              <w:t>0.0</w:t>
            </w:r>
          </w:p>
        </w:tc>
        <w:tc>
          <w:tcPr>
            <w:tcW w:w="4254" w:type="dxa"/>
            <w:gridSpan w:val="4"/>
            <w:vMerge/>
            <w:tcBorders>
              <w:left w:val="single" w:sz="4" w:space="0" w:color="auto"/>
              <w:bottom w:val="single" w:sz="4" w:space="0" w:color="auto"/>
              <w:right w:val="single" w:sz="4" w:space="0" w:color="auto"/>
            </w:tcBorders>
            <w:shd w:val="clear" w:color="auto" w:fill="D9D9D9"/>
            <w:noWrap/>
            <w:vAlign w:val="center"/>
            <w:hideMark/>
          </w:tcPr>
          <w:p w:rsidR="007D6D43" w:rsidRPr="003A20F2" w:rsidRDefault="007D6D43" w:rsidP="00F302F1">
            <w:pPr>
              <w:jc w:val="right"/>
              <w:rPr>
                <w:rFonts w:ascii="Arial" w:hAnsi="Arial"/>
                <w:sz w:val="18"/>
                <w:szCs w:val="18"/>
              </w:rPr>
            </w:pP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center"/>
            <w:hideMark/>
          </w:tcPr>
          <w:p w:rsidR="007D6D43" w:rsidRPr="003A20F2" w:rsidRDefault="007D6D43" w:rsidP="007D6D43">
            <w:pPr>
              <w:bidi/>
              <w:rPr>
                <w:rFonts w:ascii="Arial" w:hAnsi="Arial" w:cs="Simplified Arabic"/>
                <w:b/>
                <w:bCs/>
                <w:sz w:val="18"/>
                <w:szCs w:val="18"/>
              </w:rPr>
            </w:pPr>
            <w:r w:rsidRPr="003A20F2">
              <w:rPr>
                <w:rFonts w:ascii="Arial" w:hAnsi="Arial" w:cs="Simplified Arabic" w:hint="cs"/>
                <w:b/>
                <w:bCs/>
                <w:sz w:val="18"/>
                <w:szCs w:val="18"/>
                <w:rtl/>
              </w:rPr>
              <w:t>ملاحظات:</w:t>
            </w: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bottom"/>
            <w:hideMark/>
          </w:tcPr>
          <w:p w:rsidR="007D6D43" w:rsidRPr="003A20F2" w:rsidRDefault="007D6D43" w:rsidP="007D6D43">
            <w:pPr>
              <w:bidi/>
              <w:rPr>
                <w:rFonts w:ascii="Arial" w:hAnsi="Arial" w:cs="Simplified Arabic"/>
                <w:color w:val="000000"/>
                <w:sz w:val="18"/>
                <w:szCs w:val="18"/>
              </w:rPr>
            </w:pPr>
            <w:r w:rsidRPr="003A20F2">
              <w:rPr>
                <w:rFonts w:ascii="Arial" w:hAnsi="Arial" w:cs="Simplified Arabic" w:hint="cs"/>
                <w:sz w:val="18"/>
                <w:szCs w:val="18"/>
                <w:rtl/>
              </w:rPr>
              <w:t xml:space="preserve">* البيانات الخاصة بالحكومة المحلية تمثل </w:t>
            </w:r>
            <w:r w:rsidRPr="003A20F2">
              <w:rPr>
                <w:rFonts w:ascii="Times New Roman" w:hAnsi="Times New Roman" w:cs="Times New Roman"/>
                <w:sz w:val="18"/>
                <w:szCs w:val="18"/>
                <w:rtl/>
              </w:rPr>
              <w:t>95%</w:t>
            </w:r>
            <w:r w:rsidRPr="003A20F2">
              <w:rPr>
                <w:rFonts w:ascii="Arial" w:hAnsi="Arial" w:cs="Simplified Arabic" w:hint="cs"/>
                <w:sz w:val="18"/>
                <w:szCs w:val="18"/>
                <w:rtl/>
              </w:rPr>
              <w:t xml:space="preserve"> من بيانات الضفة الغربية، كما أنها لا تشمل بيانات قطاع غزة.</w:t>
            </w: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hideMark/>
          </w:tcPr>
          <w:p w:rsidR="007D6D43" w:rsidRPr="0072554D" w:rsidRDefault="007D6D43" w:rsidP="007D6D43">
            <w:pPr>
              <w:pStyle w:val="BlockText"/>
              <w:ind w:left="0"/>
              <w:jc w:val="both"/>
              <w:rPr>
                <w:rFonts w:ascii="Arial" w:hAnsi="Arial" w:cs="Simplified Arabic"/>
                <w:b w:val="0"/>
                <w:bCs w:val="0"/>
                <w:sz w:val="18"/>
                <w:szCs w:val="18"/>
              </w:rPr>
            </w:pPr>
            <w:r w:rsidRPr="0072554D">
              <w:rPr>
                <w:rFonts w:ascii="Arial" w:hAnsi="Arial" w:cs="Simplified Arabic" w:hint="cs"/>
                <w:b w:val="0"/>
                <w:bCs w:val="0"/>
                <w:sz w:val="18"/>
                <w:szCs w:val="18"/>
                <w:rtl/>
              </w:rPr>
              <w:t>**  الرسوم المتحصلة للهيئات المحلية من إعادة بيع الكهرباء والمياه للسكان.</w:t>
            </w:r>
          </w:p>
          <w:p w:rsidR="007D6D43" w:rsidRPr="003A20F2" w:rsidRDefault="007D6D43" w:rsidP="007D6D43">
            <w:pPr>
              <w:bidi/>
              <w:rPr>
                <w:rFonts w:ascii="Arial" w:hAnsi="Arial" w:cs="Simplified Arabic"/>
                <w:sz w:val="18"/>
                <w:szCs w:val="18"/>
              </w:rPr>
            </w:pP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bottom"/>
            <w:hideMark/>
          </w:tcPr>
          <w:p w:rsidR="007D6D43" w:rsidRPr="003A20F2" w:rsidRDefault="007D6D43" w:rsidP="007D6D43">
            <w:pPr>
              <w:bidi/>
              <w:rPr>
                <w:rFonts w:ascii="Arial" w:hAnsi="Arial" w:cs="Simplified Arabic"/>
                <w:sz w:val="18"/>
                <w:szCs w:val="18"/>
                <w:rtl/>
              </w:rPr>
            </w:pPr>
            <w:r w:rsidRPr="003A20F2">
              <w:rPr>
                <w:rFonts w:ascii="Arial" w:hAnsi="Arial" w:cs="Simplified Arabic" w:hint="cs"/>
                <w:sz w:val="18"/>
                <w:szCs w:val="18"/>
                <w:rtl/>
              </w:rPr>
              <w:t xml:space="preserve">*** اجمالي النفقات = النفقات الجارية + </w:t>
            </w:r>
            <w:r w:rsidRPr="003A20F2">
              <w:rPr>
                <w:rFonts w:ascii="Arial" w:hAnsi="Arial" w:cs="Simplified Arabic" w:hint="cs"/>
                <w:color w:val="000000"/>
                <w:sz w:val="18"/>
                <w:szCs w:val="18"/>
                <w:rtl/>
              </w:rPr>
              <w:t xml:space="preserve"> صافي حيازة الأصول غير المالية (نفقات رأسمالية)</w:t>
            </w:r>
          </w:p>
          <w:p w:rsidR="007D6D43" w:rsidRPr="003A20F2" w:rsidRDefault="007D6D43" w:rsidP="007D6D43">
            <w:pPr>
              <w:bidi/>
              <w:rPr>
                <w:rFonts w:ascii="Arial" w:hAnsi="Arial" w:cs="Simplified Arabic"/>
                <w:color w:val="000000"/>
                <w:sz w:val="18"/>
                <w:szCs w:val="18"/>
              </w:rPr>
            </w:pP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bottom"/>
            <w:hideMark/>
          </w:tcPr>
          <w:p w:rsidR="007D6D43" w:rsidRPr="003A20F2" w:rsidRDefault="007D6D43" w:rsidP="007D6D43">
            <w:pPr>
              <w:bidi/>
              <w:rPr>
                <w:rFonts w:ascii="Arial" w:hAnsi="Arial" w:cs="Simplified Arabic"/>
                <w:color w:val="000000"/>
                <w:sz w:val="18"/>
                <w:szCs w:val="18"/>
              </w:rPr>
            </w:pPr>
            <w:r w:rsidRPr="003A20F2">
              <w:rPr>
                <w:rFonts w:ascii="Arial" w:hAnsi="Arial" w:cs="Simplified Arabic" w:hint="cs"/>
                <w:sz w:val="18"/>
                <w:szCs w:val="18"/>
                <w:rtl/>
              </w:rPr>
              <w:t>**** المنح الدراسية ودعم الجمعيات والنفقات الطارئة</w:t>
            </w:r>
            <w:r w:rsidRPr="003A20F2">
              <w:rPr>
                <w:rFonts w:ascii="Arial" w:hAnsi="Arial" w:cs="Simplified Arabic" w:hint="cs"/>
                <w:color w:val="000000"/>
                <w:sz w:val="18"/>
                <w:szCs w:val="18"/>
                <w:rtl/>
              </w:rPr>
              <w:t xml:space="preserve"> للحكومة المركزية، ومصاريف تأمين وصيانة المركبات، وبدل مكافآت للعاملين، ومصاريف تنفيذ مشاريع محلية، والخصم التشجيعي لسداد الديون للحكومة المحلية.</w:t>
            </w: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bottom"/>
            <w:hideMark/>
          </w:tcPr>
          <w:p w:rsidR="007D6D43" w:rsidRPr="003A20F2" w:rsidRDefault="007D6D43" w:rsidP="007D6D43">
            <w:pPr>
              <w:bidi/>
              <w:rPr>
                <w:rFonts w:ascii="Arial" w:hAnsi="Arial" w:cs="Simplified Arabic"/>
                <w:color w:val="000000"/>
                <w:sz w:val="18"/>
                <w:szCs w:val="18"/>
                <w:rtl/>
              </w:rPr>
            </w:pPr>
            <w:r w:rsidRPr="003A20F2">
              <w:rPr>
                <w:rFonts w:ascii="Arial" w:hAnsi="Arial" w:cs="Simplified Arabic" w:hint="cs"/>
                <w:sz w:val="18"/>
                <w:szCs w:val="18"/>
                <w:rtl/>
              </w:rPr>
              <w:t xml:space="preserve">***** صافي رصيد التشغيل = الإيرادات </w:t>
            </w:r>
            <w:r w:rsidRPr="003A20F2">
              <w:rPr>
                <w:rFonts w:ascii="Arial" w:hAnsi="Arial" w:cs="Simplified Arabic"/>
                <w:sz w:val="18"/>
                <w:szCs w:val="18"/>
                <w:rtl/>
              </w:rPr>
              <w:t>–</w:t>
            </w:r>
            <w:r w:rsidRPr="003A20F2">
              <w:rPr>
                <w:rFonts w:ascii="Arial" w:hAnsi="Arial" w:cs="Simplified Arabic" w:hint="cs"/>
                <w:sz w:val="18"/>
                <w:szCs w:val="18"/>
                <w:rtl/>
              </w:rPr>
              <w:t xml:space="preserve"> النفقات الجارية.</w:t>
            </w:r>
          </w:p>
        </w:tc>
      </w:tr>
      <w:tr w:rsidR="007D6D43" w:rsidRPr="003A20F2" w:rsidTr="005B67F6">
        <w:trPr>
          <w:gridBefore w:val="1"/>
          <w:gridAfter w:val="1"/>
          <w:wBefore w:w="96" w:type="dxa"/>
          <w:wAfter w:w="950" w:type="dxa"/>
          <w:trHeight w:hRule="exact" w:val="284"/>
        </w:trPr>
        <w:tc>
          <w:tcPr>
            <w:tcW w:w="10065" w:type="dxa"/>
            <w:gridSpan w:val="7"/>
            <w:tcBorders>
              <w:top w:val="nil"/>
              <w:left w:val="nil"/>
              <w:bottom w:val="nil"/>
              <w:right w:val="nil"/>
            </w:tcBorders>
            <w:shd w:val="clear" w:color="auto" w:fill="auto"/>
            <w:noWrap/>
            <w:vAlign w:val="bottom"/>
            <w:hideMark/>
          </w:tcPr>
          <w:p w:rsidR="007D6D43" w:rsidRPr="003A20F2" w:rsidRDefault="007D6D43" w:rsidP="007D6D43">
            <w:pPr>
              <w:bidi/>
              <w:rPr>
                <w:rFonts w:ascii="Arial" w:hAnsi="Arial" w:cs="Simplified Arabic"/>
                <w:color w:val="000000"/>
                <w:sz w:val="18"/>
                <w:szCs w:val="18"/>
              </w:rPr>
            </w:pPr>
            <w:r w:rsidRPr="003A20F2">
              <w:rPr>
                <w:rFonts w:ascii="Arial" w:hAnsi="Arial" w:cs="Simplified Arabic" w:hint="cs"/>
                <w:sz w:val="18"/>
                <w:szCs w:val="18"/>
                <w:rtl/>
              </w:rPr>
              <w:t xml:space="preserve">****** صافي الإقراض/ الاقتراض = صافي رصيد التشغيل </w:t>
            </w:r>
            <w:r w:rsidRPr="003A20F2">
              <w:rPr>
                <w:rFonts w:ascii="Arial" w:hAnsi="Arial" w:cs="Simplified Arabic"/>
                <w:sz w:val="18"/>
                <w:szCs w:val="18"/>
                <w:rtl/>
              </w:rPr>
              <w:t>–</w:t>
            </w:r>
            <w:r w:rsidRPr="003A20F2">
              <w:rPr>
                <w:rFonts w:ascii="Arial" w:hAnsi="Arial" w:cs="Simplified Arabic" w:hint="cs"/>
                <w:sz w:val="18"/>
                <w:szCs w:val="18"/>
                <w:rtl/>
              </w:rPr>
              <w:t xml:space="preserve"> صافي حيازة الأصول غير المالية.</w:t>
            </w:r>
          </w:p>
        </w:tc>
      </w:tr>
    </w:tbl>
    <w:p w:rsidR="007D5E9C" w:rsidRPr="007D6D43" w:rsidRDefault="007D5E9C" w:rsidP="007D6D43">
      <w:pPr>
        <w:pStyle w:val="BodyText"/>
        <w:jc w:val="both"/>
        <w:rPr>
          <w:rFonts w:cs="Simplified Arabic"/>
          <w:szCs w:val="24"/>
          <w:lang w:val="en-GB"/>
        </w:rPr>
      </w:pPr>
    </w:p>
    <w:sectPr w:rsidR="007D5E9C" w:rsidRPr="007D6D43" w:rsidSect="00586EA3">
      <w:headerReference w:type="default" r:id="rId11"/>
      <w:pgSz w:w="11906" w:h="16838"/>
      <w:pgMar w:top="567" w:right="1191" w:bottom="56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2F1" w:rsidRDefault="00F302F1" w:rsidP="001557BF">
      <w:pPr>
        <w:spacing w:after="0" w:line="240" w:lineRule="auto"/>
      </w:pPr>
      <w:r>
        <w:separator/>
      </w:r>
    </w:p>
  </w:endnote>
  <w:endnote w:type="continuationSeparator" w:id="0">
    <w:p w:rsidR="00F302F1" w:rsidRDefault="00F302F1" w:rsidP="00155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2F1" w:rsidRDefault="00F302F1" w:rsidP="001557BF">
      <w:pPr>
        <w:spacing w:after="0" w:line="240" w:lineRule="auto"/>
      </w:pPr>
      <w:r>
        <w:separator/>
      </w:r>
    </w:p>
  </w:footnote>
  <w:footnote w:type="continuationSeparator" w:id="0">
    <w:p w:rsidR="00F302F1" w:rsidRDefault="00F302F1" w:rsidP="001557BF">
      <w:pPr>
        <w:spacing w:after="0" w:line="240" w:lineRule="auto"/>
      </w:pPr>
      <w:r>
        <w:continuationSeparator/>
      </w:r>
    </w:p>
  </w:footnote>
  <w:footnote w:id="1">
    <w:p w:rsidR="007D6D43" w:rsidRPr="00A90BFA" w:rsidRDefault="007D6D43" w:rsidP="007D6D43">
      <w:pPr>
        <w:pStyle w:val="FootnoteText"/>
        <w:jc w:val="left"/>
        <w:rPr>
          <w:rFonts w:ascii="Simplified Arabic" w:hAnsi="Simplified Arabic" w:cs="Simplified Arabic"/>
        </w:rPr>
      </w:pPr>
      <w:r w:rsidRPr="00A90BFA">
        <w:rPr>
          <w:rStyle w:val="FootnoteReference"/>
          <w:rFonts w:ascii="Simplified Arabic" w:hAnsi="Simplified Arabic" w:cs="Simplified Arabic"/>
        </w:rPr>
        <w:footnoteRef/>
      </w:r>
      <w:r w:rsidRPr="00A90BFA">
        <w:rPr>
          <w:rFonts w:ascii="Simplified Arabic" w:hAnsi="Simplified Arabic" w:cs="Simplified Arabic"/>
          <w:rtl/>
        </w:rPr>
        <w:t xml:space="preserve"> النسبة تقترب من الصفر  وليست صفر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jc w:val="center"/>
      <w:tblBorders>
        <w:bottom w:val="single" w:sz="4" w:space="0" w:color="auto"/>
      </w:tblBorders>
      <w:tblLayout w:type="fixed"/>
      <w:tblLook w:val="0000"/>
    </w:tblPr>
    <w:tblGrid>
      <w:gridCol w:w="3686"/>
      <w:gridCol w:w="2693"/>
      <w:gridCol w:w="3827"/>
    </w:tblGrid>
    <w:tr w:rsidR="001557BF" w:rsidRPr="003A20F2" w:rsidTr="007D6D43">
      <w:trPr>
        <w:trHeight w:val="1843"/>
        <w:jc w:val="center"/>
      </w:trPr>
      <w:tc>
        <w:tcPr>
          <w:tcW w:w="3686" w:type="dxa"/>
          <w:vAlign w:val="center"/>
        </w:tcPr>
        <w:p w:rsidR="001557BF" w:rsidRPr="003A20F2" w:rsidRDefault="001557BF" w:rsidP="00F302F1">
          <w:pPr>
            <w:tabs>
              <w:tab w:val="right" w:pos="0"/>
            </w:tabs>
            <w:spacing w:line="500" w:lineRule="exact"/>
            <w:rPr>
              <w:b/>
              <w:bCs/>
              <w:sz w:val="28"/>
              <w:szCs w:val="28"/>
            </w:rPr>
          </w:pPr>
          <w:r w:rsidRPr="003A20F2">
            <w:rPr>
              <w:rFonts w:cs="Simplified Arabic" w:hint="cs"/>
              <w:b/>
              <w:bCs/>
              <w:sz w:val="28"/>
              <w:szCs w:val="28"/>
              <w:rtl/>
            </w:rPr>
            <w:t>وزارة المالية الفلسطينية</w:t>
          </w:r>
        </w:p>
      </w:tc>
      <w:tc>
        <w:tcPr>
          <w:tcW w:w="2693" w:type="dxa"/>
          <w:vAlign w:val="center"/>
        </w:tcPr>
        <w:p w:rsidR="001557BF" w:rsidRPr="003A20F2" w:rsidRDefault="00C33F20" w:rsidP="00F302F1">
          <w:pPr>
            <w:jc w:val="center"/>
            <w:rPr>
              <w:rFonts w:cs="Simplified Arabic"/>
              <w:b/>
              <w:bCs/>
              <w:sz w:val="28"/>
              <w:szCs w:val="28"/>
            </w:rPr>
          </w:pPr>
          <w:r>
            <w:rPr>
              <w:rFonts w:cs="Simplified Arabic"/>
              <w:b/>
              <w:bCs/>
              <w:noProof/>
              <w:sz w:val="28"/>
              <w:szCs w:val="28"/>
              <w:lang w:val="en-US"/>
            </w:rPr>
            <w:drawing>
              <wp:inline distT="0" distB="0" distL="0" distR="0">
                <wp:extent cx="6858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800" cy="723900"/>
                        </a:xfrm>
                        <a:prstGeom prst="rect">
                          <a:avLst/>
                        </a:prstGeom>
                        <a:noFill/>
                        <a:ln w="9525">
                          <a:noFill/>
                          <a:miter lim="800000"/>
                          <a:headEnd/>
                          <a:tailEnd/>
                        </a:ln>
                      </pic:spPr>
                    </pic:pic>
                  </a:graphicData>
                </a:graphic>
              </wp:inline>
            </w:drawing>
          </w:r>
        </w:p>
        <w:p w:rsidR="001557BF" w:rsidRDefault="001557BF" w:rsidP="00F302F1">
          <w:pPr>
            <w:pStyle w:val="Heading8"/>
            <w:tabs>
              <w:tab w:val="right" w:pos="34"/>
            </w:tabs>
            <w:spacing w:line="500" w:lineRule="exact"/>
            <w:ind w:left="176" w:hanging="142"/>
            <w:rPr>
              <w:rFonts w:cs="Times New Roman"/>
              <w:szCs w:val="28"/>
            </w:rPr>
          </w:pPr>
          <w:r>
            <w:rPr>
              <w:rFonts w:cs="Times New Roman" w:hint="cs"/>
              <w:szCs w:val="28"/>
              <w:rtl/>
            </w:rPr>
            <w:t xml:space="preserve">  فلسطين  </w:t>
          </w:r>
        </w:p>
      </w:tc>
      <w:tc>
        <w:tcPr>
          <w:tcW w:w="3827" w:type="dxa"/>
          <w:vAlign w:val="center"/>
        </w:tcPr>
        <w:p w:rsidR="001557BF" w:rsidRPr="003A20F2" w:rsidRDefault="001557BF" w:rsidP="00F302F1">
          <w:pPr>
            <w:jc w:val="center"/>
            <w:rPr>
              <w:rFonts w:cs="Simplified Arabic"/>
              <w:b/>
              <w:bCs/>
              <w:sz w:val="28"/>
              <w:szCs w:val="28"/>
              <w:rtl/>
            </w:rPr>
          </w:pPr>
        </w:p>
        <w:p w:rsidR="001557BF" w:rsidRPr="003A20F2" w:rsidRDefault="001557BF" w:rsidP="00F302F1">
          <w:pPr>
            <w:rPr>
              <w:rFonts w:cs="Simplified Arabic"/>
              <w:b/>
              <w:bCs/>
              <w:sz w:val="28"/>
              <w:szCs w:val="28"/>
              <w:rtl/>
            </w:rPr>
          </w:pPr>
          <w:r w:rsidRPr="003A20F2">
            <w:rPr>
              <w:rFonts w:cs="Simplified Arabic"/>
              <w:b/>
              <w:bCs/>
              <w:sz w:val="28"/>
              <w:szCs w:val="28"/>
              <w:rtl/>
            </w:rPr>
            <w:t>الجهاز المركزي للإحصاء الفلسطيني</w:t>
          </w:r>
        </w:p>
        <w:p w:rsidR="001557BF" w:rsidRPr="003A20F2" w:rsidRDefault="001557BF" w:rsidP="00F302F1">
          <w:pPr>
            <w:rPr>
              <w:rFonts w:cs="Simplified Arabic"/>
              <w:sz w:val="28"/>
              <w:szCs w:val="28"/>
              <w:rtl/>
            </w:rPr>
          </w:pPr>
        </w:p>
      </w:tc>
    </w:tr>
  </w:tbl>
  <w:p w:rsidR="001557BF" w:rsidRPr="00102FDB" w:rsidRDefault="001557BF" w:rsidP="00102FDB">
    <w:pPr>
      <w:pStyle w:val="Header"/>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1"/>
    <w:footnote w:id="0"/>
  </w:footnotePr>
  <w:endnotePr>
    <w:endnote w:id="-1"/>
    <w:endnote w:id="0"/>
  </w:endnotePr>
  <w:compat/>
  <w:rsids>
    <w:rsidRoot w:val="001557BF"/>
    <w:rsid w:val="00102FDB"/>
    <w:rsid w:val="001370FF"/>
    <w:rsid w:val="0013774E"/>
    <w:rsid w:val="001557BF"/>
    <w:rsid w:val="001E1386"/>
    <w:rsid w:val="0028142A"/>
    <w:rsid w:val="002856AF"/>
    <w:rsid w:val="00363560"/>
    <w:rsid w:val="003A20F2"/>
    <w:rsid w:val="004D47C5"/>
    <w:rsid w:val="004D54E3"/>
    <w:rsid w:val="004E78D5"/>
    <w:rsid w:val="0050634E"/>
    <w:rsid w:val="00586EA3"/>
    <w:rsid w:val="005B67F6"/>
    <w:rsid w:val="00604CFA"/>
    <w:rsid w:val="00660D5A"/>
    <w:rsid w:val="006975E3"/>
    <w:rsid w:val="00747CAA"/>
    <w:rsid w:val="0077272C"/>
    <w:rsid w:val="007A0BA3"/>
    <w:rsid w:val="007D5E9C"/>
    <w:rsid w:val="007D6D43"/>
    <w:rsid w:val="00996C42"/>
    <w:rsid w:val="009B6BE0"/>
    <w:rsid w:val="00A16DD4"/>
    <w:rsid w:val="00A347DF"/>
    <w:rsid w:val="00AA39B2"/>
    <w:rsid w:val="00BA6824"/>
    <w:rsid w:val="00C33F20"/>
    <w:rsid w:val="00CA0880"/>
    <w:rsid w:val="00D950CB"/>
    <w:rsid w:val="00E179AE"/>
    <w:rsid w:val="00EE6064"/>
    <w:rsid w:val="00F302F1"/>
    <w:rsid w:val="00F6379F"/>
    <w:rsid w:val="00F934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60"/>
    <w:pPr>
      <w:spacing w:after="200" w:line="276" w:lineRule="auto"/>
    </w:pPr>
    <w:rPr>
      <w:sz w:val="22"/>
      <w:szCs w:val="22"/>
      <w:lang w:val="en-GB"/>
    </w:rPr>
  </w:style>
  <w:style w:type="paragraph" w:styleId="Heading8">
    <w:name w:val="heading 8"/>
    <w:basedOn w:val="Normal"/>
    <w:next w:val="Normal"/>
    <w:link w:val="Heading8Char"/>
    <w:qFormat/>
    <w:rsid w:val="001557BF"/>
    <w:pPr>
      <w:keepNext/>
      <w:spacing w:after="0" w:line="240" w:lineRule="auto"/>
      <w:jc w:val="center"/>
      <w:outlineLvl w:val="7"/>
    </w:pPr>
    <w:rPr>
      <w:rFonts w:ascii="Times New Roman" w:eastAsia="Times New Roman" w:hAnsi="Times New Roman" w:cs="Traditional Arabic"/>
      <w:b/>
      <w:bCs/>
      <w:sz w:val="28"/>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7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57BF"/>
  </w:style>
  <w:style w:type="paragraph" w:styleId="Footer">
    <w:name w:val="footer"/>
    <w:basedOn w:val="Normal"/>
    <w:link w:val="FooterChar"/>
    <w:uiPriority w:val="99"/>
    <w:semiHidden/>
    <w:unhideWhenUsed/>
    <w:rsid w:val="001557B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557BF"/>
  </w:style>
  <w:style w:type="paragraph" w:styleId="BalloonText">
    <w:name w:val="Balloon Text"/>
    <w:basedOn w:val="Normal"/>
    <w:link w:val="BalloonTextChar"/>
    <w:uiPriority w:val="99"/>
    <w:semiHidden/>
    <w:unhideWhenUsed/>
    <w:rsid w:val="00155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BF"/>
    <w:rPr>
      <w:rFonts w:ascii="Tahoma" w:hAnsi="Tahoma" w:cs="Tahoma"/>
      <w:sz w:val="16"/>
      <w:szCs w:val="16"/>
    </w:rPr>
  </w:style>
  <w:style w:type="character" w:customStyle="1" w:styleId="Heading8Char">
    <w:name w:val="Heading 8 Char"/>
    <w:basedOn w:val="DefaultParagraphFont"/>
    <w:link w:val="Heading8"/>
    <w:rsid w:val="001557BF"/>
    <w:rPr>
      <w:rFonts w:ascii="Times New Roman" w:eastAsia="Times New Roman" w:hAnsi="Times New Roman" w:cs="Traditional Arabic"/>
      <w:b/>
      <w:bCs/>
      <w:sz w:val="28"/>
      <w:szCs w:val="33"/>
      <w:lang w:val="en-US"/>
    </w:rPr>
  </w:style>
  <w:style w:type="paragraph" w:styleId="BodyText">
    <w:name w:val="Body Text"/>
    <w:basedOn w:val="Normal"/>
    <w:link w:val="BodyTextChar"/>
    <w:semiHidden/>
    <w:rsid w:val="001557BF"/>
    <w:pPr>
      <w:bidi/>
      <w:spacing w:after="0" w:line="240" w:lineRule="auto"/>
      <w:jc w:val="right"/>
    </w:pPr>
    <w:rPr>
      <w:rFonts w:ascii="Arial" w:eastAsia="Times New Roman" w:hAnsi="Arial" w:cs="Traditional Arabic"/>
      <w:sz w:val="24"/>
      <w:szCs w:val="28"/>
      <w:lang w:val="en-US"/>
    </w:rPr>
  </w:style>
  <w:style w:type="character" w:customStyle="1" w:styleId="BodyTextChar">
    <w:name w:val="Body Text Char"/>
    <w:basedOn w:val="DefaultParagraphFont"/>
    <w:link w:val="BodyText"/>
    <w:semiHidden/>
    <w:rsid w:val="001557BF"/>
    <w:rPr>
      <w:rFonts w:ascii="Arial" w:eastAsia="Times New Roman" w:hAnsi="Arial" w:cs="Traditional Arabic"/>
      <w:sz w:val="24"/>
      <w:szCs w:val="28"/>
      <w:lang w:val="en-US"/>
    </w:rPr>
  </w:style>
  <w:style w:type="paragraph" w:styleId="BodyText2">
    <w:name w:val="Body Text 2"/>
    <w:basedOn w:val="Normal"/>
    <w:link w:val="BodyText2Char"/>
    <w:uiPriority w:val="99"/>
    <w:semiHidden/>
    <w:unhideWhenUsed/>
    <w:rsid w:val="001557BF"/>
    <w:pPr>
      <w:spacing w:after="120" w:line="480" w:lineRule="auto"/>
    </w:pPr>
  </w:style>
  <w:style w:type="character" w:customStyle="1" w:styleId="BodyText2Char">
    <w:name w:val="Body Text 2 Char"/>
    <w:basedOn w:val="DefaultParagraphFont"/>
    <w:link w:val="BodyText2"/>
    <w:uiPriority w:val="99"/>
    <w:semiHidden/>
    <w:rsid w:val="001557BF"/>
  </w:style>
  <w:style w:type="character" w:styleId="PageNumber">
    <w:name w:val="page number"/>
    <w:basedOn w:val="DefaultParagraphFont"/>
    <w:semiHidden/>
    <w:rsid w:val="004D47C5"/>
  </w:style>
  <w:style w:type="paragraph" w:styleId="BlockText">
    <w:name w:val="Block Text"/>
    <w:basedOn w:val="Normal"/>
    <w:rsid w:val="004D54E3"/>
    <w:pPr>
      <w:tabs>
        <w:tab w:val="right" w:pos="9495"/>
      </w:tabs>
      <w:bidi/>
      <w:spacing w:after="0" w:line="240" w:lineRule="auto"/>
      <w:ind w:left="-2" w:right="993"/>
      <w:jc w:val="center"/>
    </w:pPr>
    <w:rPr>
      <w:rFonts w:ascii="Times New Roman" w:eastAsia="Times New Roman" w:hAnsi="Times New Roman" w:cs="Traditional Arabic"/>
      <w:b/>
      <w:bCs/>
      <w:sz w:val="28"/>
      <w:szCs w:val="33"/>
      <w:lang w:val="en-US"/>
    </w:rPr>
  </w:style>
  <w:style w:type="character" w:styleId="Hyperlink">
    <w:name w:val="Hyperlink"/>
    <w:basedOn w:val="DefaultParagraphFont"/>
    <w:semiHidden/>
    <w:rsid w:val="00A347DF"/>
    <w:rPr>
      <w:color w:val="0000FF"/>
      <w:u w:val="single"/>
    </w:rPr>
  </w:style>
  <w:style w:type="paragraph" w:styleId="FootnoteText">
    <w:name w:val="footnote text"/>
    <w:basedOn w:val="Normal"/>
    <w:link w:val="FootnoteTextChar"/>
    <w:semiHidden/>
    <w:rsid w:val="007D6D43"/>
    <w:pPr>
      <w:bidi/>
      <w:spacing w:after="0" w:line="240" w:lineRule="auto"/>
      <w:jc w:val="right"/>
    </w:pPr>
    <w:rPr>
      <w:rFonts w:ascii="Times New Roman" w:eastAsia="Times New Roman" w:hAnsi="Times New Roman" w:cs="Traditional Arabic"/>
      <w:sz w:val="20"/>
      <w:szCs w:val="20"/>
      <w:lang w:val="en-US"/>
    </w:rPr>
  </w:style>
  <w:style w:type="character" w:customStyle="1" w:styleId="FootnoteTextChar">
    <w:name w:val="Footnote Text Char"/>
    <w:basedOn w:val="DefaultParagraphFont"/>
    <w:link w:val="FootnoteText"/>
    <w:semiHidden/>
    <w:rsid w:val="007D6D43"/>
    <w:rPr>
      <w:rFonts w:ascii="Times New Roman" w:eastAsia="Times New Roman" w:hAnsi="Times New Roman" w:cs="Traditional Arabic"/>
      <w:sz w:val="20"/>
      <w:szCs w:val="20"/>
      <w:lang w:val="en-US"/>
    </w:rPr>
  </w:style>
  <w:style w:type="character" w:styleId="FootnoteReference">
    <w:name w:val="footnote reference"/>
    <w:basedOn w:val="DefaultParagraphFont"/>
    <w:semiHidden/>
    <w:rsid w:val="007D6D4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mof.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wan@pcbs.gov.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mof.ps/" TargetMode="External"/><Relationship Id="rId4" Type="http://schemas.openxmlformats.org/officeDocument/2006/relationships/webSettings" Target="webSettings.xml"/><Relationship Id="rId9" Type="http://schemas.openxmlformats.org/officeDocument/2006/relationships/hyperlink" Target="http://www.pcbs.gov.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D6CD6-F652-40D2-8015-5D4F542D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6765</CharactersWithSpaces>
  <SharedDoc>false</SharedDoc>
  <HLinks>
    <vt:vector size="24" baseType="variant">
      <vt:variant>
        <vt:i4>6881323</vt:i4>
      </vt:variant>
      <vt:variant>
        <vt:i4>9</vt:i4>
      </vt:variant>
      <vt:variant>
        <vt:i4>0</vt:i4>
      </vt:variant>
      <vt:variant>
        <vt:i4>5</vt:i4>
      </vt:variant>
      <vt:variant>
        <vt:lpwstr>http://www.pmof.ps/</vt:lpwstr>
      </vt:variant>
      <vt:variant>
        <vt:lpwstr/>
      </vt:variant>
      <vt:variant>
        <vt:i4>2424865</vt:i4>
      </vt:variant>
      <vt:variant>
        <vt:i4>6</vt:i4>
      </vt:variant>
      <vt:variant>
        <vt:i4>0</vt:i4>
      </vt:variant>
      <vt:variant>
        <vt:i4>5</vt:i4>
      </vt:variant>
      <vt:variant>
        <vt:lpwstr>http://www.pcbs.gov.ps/</vt:lpwstr>
      </vt:variant>
      <vt:variant>
        <vt:lpwstr/>
      </vt:variant>
      <vt:variant>
        <vt:i4>5636218</vt:i4>
      </vt:variant>
      <vt:variant>
        <vt:i4>3</vt:i4>
      </vt:variant>
      <vt:variant>
        <vt:i4>0</vt:i4>
      </vt:variant>
      <vt:variant>
        <vt:i4>5</vt:i4>
      </vt:variant>
      <vt:variant>
        <vt:lpwstr>mailto:info@pmof.ps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sissam</dc:creator>
  <cp:lastModifiedBy>adwikat</cp:lastModifiedBy>
  <cp:revision>2</cp:revision>
  <cp:lastPrinted>2014-08-20T10:39:00Z</cp:lastPrinted>
  <dcterms:created xsi:type="dcterms:W3CDTF">2018-08-29T06:14:00Z</dcterms:created>
  <dcterms:modified xsi:type="dcterms:W3CDTF">2018-08-29T06:14:00Z</dcterms:modified>
</cp:coreProperties>
</file>