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17" w:rsidRDefault="00785917" w:rsidP="00785917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يعلن الرقم القياسي لكميات الانتاج الصناعي </w:t>
      </w:r>
    </w:p>
    <w:p w:rsidR="00785917" w:rsidRDefault="00785917" w:rsidP="00785917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للعام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ولشهر كانون أول، 12/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D30970" w:rsidRPr="00D30970" w:rsidRDefault="00D30970" w:rsidP="00785917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16"/>
          <w:szCs w:val="16"/>
          <w:rtl/>
        </w:rPr>
      </w:pPr>
    </w:p>
    <w:p w:rsidR="00BC5454" w:rsidRPr="00D30970" w:rsidRDefault="002A3C6A" w:rsidP="00785917">
      <w:pPr>
        <w:pStyle w:val="Header"/>
        <w:tabs>
          <w:tab w:val="left" w:pos="5925"/>
        </w:tabs>
        <w:jc w:val="both"/>
        <w:rPr>
          <w:rFonts w:cs="Simplified Arabic"/>
          <w:b/>
          <w:bCs/>
          <w:sz w:val="28"/>
          <w:szCs w:val="28"/>
          <w:rtl/>
        </w:rPr>
      </w:pPr>
      <w:r w:rsidRPr="00D30970">
        <w:rPr>
          <w:rFonts w:cs="Simplified Arabic" w:hint="cs"/>
          <w:b/>
          <w:bCs/>
          <w:sz w:val="28"/>
          <w:szCs w:val="28"/>
          <w:rtl/>
        </w:rPr>
        <w:t>ارتفاع</w:t>
      </w:r>
      <w:r w:rsidR="00BC5454" w:rsidRPr="00D30970">
        <w:rPr>
          <w:rFonts w:cs="Simplified Arabic" w:hint="cs"/>
          <w:b/>
          <w:bCs/>
          <w:sz w:val="28"/>
          <w:szCs w:val="28"/>
          <w:rtl/>
        </w:rPr>
        <w:t xml:space="preserve"> في مؤشر الرقم القياسي لكميات الإنتاج الصناعي في فلسطين خلال العام </w:t>
      </w:r>
      <w:r w:rsidRPr="00D30970">
        <w:rPr>
          <w:rFonts w:cs="Simplified Arabic" w:hint="cs"/>
          <w:b/>
          <w:bCs/>
          <w:sz w:val="28"/>
          <w:szCs w:val="28"/>
          <w:rtl/>
        </w:rPr>
        <w:t>2025</w:t>
      </w:r>
    </w:p>
    <w:p w:rsidR="00BC5454" w:rsidRPr="00D30970" w:rsidRDefault="00BC5454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 الرقم القياسي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لكميات الإنتاج الصناعي </w:t>
      </w:r>
      <w:r w:rsidR="002A3C6A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نسبته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/>
          <w:sz w:val="26"/>
          <w:szCs w:val="26"/>
          <w:u w:val="none"/>
          <w:lang w:val="en-US"/>
        </w:rPr>
        <w:t>3.39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2A3C6A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مقارنة 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بالعام </w:t>
      </w:r>
      <w:r w:rsidR="002A3C6A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2024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، </w:t>
      </w:r>
      <w:r w:rsid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حيث بلغ الرقم القياسي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العام لكميات الإنتاج الصناعي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82.72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خلال العام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مقارنة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بـ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80.01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خلال العام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(سنة الأساس 2019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)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.</w:t>
      </w:r>
    </w:p>
    <w:p w:rsidR="00BC5454" w:rsidRPr="0083205F" w:rsidRDefault="00BC5454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2"/>
          <w:szCs w:val="12"/>
          <w:u w:val="none"/>
          <w:rtl/>
        </w:rPr>
      </w:pPr>
    </w:p>
    <w:p w:rsidR="00BC5454" w:rsidRPr="00D30970" w:rsidRDefault="00BC5454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على مستوى الأنشطة الرئيسية</w:t>
      </w:r>
      <w:r w:rsidRPr="00D30970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المكونة للمؤشر</w:t>
      </w:r>
      <w:r w:rsidRPr="00D30970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سجلت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أنش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طة 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الصناعات التحويلية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4.48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40414D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 </w:t>
      </w:r>
      <w:r w:rsidR="0040414D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وأ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نشطة 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3.22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في حين سجلت 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أنشطة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وأنشطة الصرف الصحي وإدارة النفايات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40414D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22.67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%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2A3C6A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أنشطة </w:t>
      </w:r>
      <w:r w:rsidR="002A3C6A"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التعدين واستغلال المحاجر </w:t>
      </w:r>
      <w:r w:rsid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              </w:t>
      </w:r>
      <w:r w:rsidR="002A3C6A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2.60</w:t>
      </w:r>
      <w:r w:rsidR="002A3C6A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BC5454" w:rsidRPr="0083205F" w:rsidRDefault="00BC5454" w:rsidP="00785917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12"/>
          <w:szCs w:val="12"/>
          <w:rtl/>
        </w:rPr>
      </w:pPr>
    </w:p>
    <w:p w:rsidR="00D30970" w:rsidRDefault="00BC5454" w:rsidP="00785917">
      <w:pPr>
        <w:pStyle w:val="Header"/>
        <w:tabs>
          <w:tab w:val="center" w:pos="4677"/>
        </w:tabs>
        <w:ind w:left="-1"/>
        <w:jc w:val="center"/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</w:pPr>
      <w:r w:rsidRPr="00D30970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الجدول </w:t>
      </w:r>
      <w:r w:rsidRPr="00D30970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أدناه</w:t>
      </w:r>
      <w:r w:rsidRPr="00D30970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 يوضح نسب التغّير</w:t>
      </w:r>
      <w:r w:rsidRPr="00D30970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السنوية </w:t>
      </w:r>
      <w:r w:rsidRPr="00D30970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>في الرقم القياسي لكميات الإنتاج الصناعي في فلسطين</w:t>
      </w:r>
    </w:p>
    <w:p w:rsidR="00BC5454" w:rsidRPr="00D30970" w:rsidRDefault="00BC5454" w:rsidP="00785917">
      <w:pPr>
        <w:pStyle w:val="Header"/>
        <w:tabs>
          <w:tab w:val="center" w:pos="4677"/>
        </w:tabs>
        <w:ind w:left="-1"/>
        <w:jc w:val="center"/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</w:pPr>
      <w:r w:rsidRPr="00D30970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 </w:t>
      </w:r>
      <w:r w:rsidRPr="00D30970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للسنوات: 2013</w:t>
      </w:r>
      <w:r w:rsidRPr="00D30970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 – </w:t>
      </w:r>
      <w:r w:rsidR="002F38DE" w:rsidRPr="00D30970">
        <w:rPr>
          <w:rFonts w:ascii="Simplified Arabic" w:hAnsi="Simplified Arabic" w:cs="Simplified Arabic"/>
          <w:b/>
          <w:bCs/>
          <w:snapToGrid/>
          <w:sz w:val="26"/>
          <w:szCs w:val="26"/>
          <w:lang w:val="en-US" w:eastAsia="ar-SA"/>
        </w:rPr>
        <w:t>2025</w:t>
      </w:r>
    </w:p>
    <w:p w:rsidR="00BC5454" w:rsidRPr="0083205F" w:rsidRDefault="00BC5454" w:rsidP="00785917">
      <w:pPr>
        <w:pStyle w:val="Header"/>
        <w:tabs>
          <w:tab w:val="center" w:pos="4677"/>
        </w:tabs>
        <w:ind w:left="-1"/>
        <w:jc w:val="both"/>
        <w:rPr>
          <w:rFonts w:cs="Simplified Arabic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193"/>
      </w:tblGrid>
      <w:tr w:rsidR="00BC5454" w:rsidRPr="00D30970" w:rsidTr="00D30970">
        <w:trPr>
          <w:trHeight w:val="331"/>
          <w:tblHeader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-180"/>
              <w:jc w:val="center"/>
              <w:rPr>
                <w:rFonts w:cs="Simplified Arabic"/>
                <w:b/>
                <w:bCs/>
                <w:sz w:val="24"/>
                <w:szCs w:val="24"/>
                <w:lang w:eastAsia="ar-SA"/>
              </w:rPr>
            </w:pPr>
            <w:r w:rsidRPr="00D30970">
              <w:rPr>
                <w:rFonts w:cs="Simplified Arabic" w:hint="cs"/>
                <w:b/>
                <w:bCs/>
                <w:sz w:val="24"/>
                <w:szCs w:val="24"/>
                <w:rtl/>
                <w:lang w:eastAsia="ar-SA"/>
              </w:rPr>
              <w:t>السنة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35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D30970">
              <w:rPr>
                <w:rFonts w:cs="Simplified Arabic" w:hint="cs"/>
                <w:b/>
                <w:bCs/>
                <w:sz w:val="24"/>
                <w:szCs w:val="24"/>
                <w:rtl/>
                <w:lang w:eastAsia="ar-SA"/>
              </w:rPr>
              <w:t>نسب التغير %</w:t>
            </w:r>
          </w:p>
        </w:tc>
      </w:tr>
      <w:tr w:rsidR="00BC5454" w:rsidRPr="00D30970" w:rsidTr="00D30970">
        <w:trPr>
          <w:trHeight w:hRule="exact" w:val="300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+ 7.82</w:t>
            </w:r>
          </w:p>
        </w:tc>
      </w:tr>
      <w:tr w:rsidR="00BC5454" w:rsidRPr="00D30970" w:rsidTr="00D30970">
        <w:trPr>
          <w:trHeight w:hRule="exact" w:val="300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- 3.92</w:t>
            </w:r>
          </w:p>
        </w:tc>
      </w:tr>
      <w:tr w:rsidR="00BC5454" w:rsidRPr="00D30970" w:rsidTr="00D30970">
        <w:trPr>
          <w:trHeight w:hRule="exact" w:val="374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- 3.80</w:t>
            </w:r>
          </w:p>
        </w:tc>
      </w:tr>
      <w:tr w:rsidR="00BC5454" w:rsidRPr="00D30970" w:rsidTr="00D30970">
        <w:trPr>
          <w:trHeight w:hRule="exact" w:val="365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+ 0.96</w:t>
            </w:r>
          </w:p>
        </w:tc>
      </w:tr>
      <w:tr w:rsidR="00BC5454" w:rsidRPr="00D30970" w:rsidTr="00D30970">
        <w:trPr>
          <w:trHeight w:hRule="exact" w:val="356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+ 4.11</w:t>
            </w:r>
          </w:p>
        </w:tc>
      </w:tr>
      <w:tr w:rsidR="00BC5454" w:rsidRPr="00D30970" w:rsidTr="00D30970">
        <w:trPr>
          <w:trHeight w:hRule="exact" w:val="365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2018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- 3.9</w:t>
            </w: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BC5454" w:rsidRPr="00D30970" w:rsidTr="00D30970">
        <w:trPr>
          <w:trHeight w:hRule="exact" w:val="356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2019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 xml:space="preserve">+ </w:t>
            </w: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3.86</w:t>
            </w:r>
          </w:p>
        </w:tc>
      </w:tr>
      <w:tr w:rsidR="00BC5454" w:rsidRPr="00D30970" w:rsidTr="00D30970">
        <w:trPr>
          <w:trHeight w:hRule="exact" w:val="365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2020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 xml:space="preserve">- </w:t>
            </w: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7.95</w:t>
            </w:r>
          </w:p>
        </w:tc>
      </w:tr>
      <w:tr w:rsidR="00BC5454" w:rsidRPr="00D30970" w:rsidTr="00D30970">
        <w:trPr>
          <w:trHeight w:hRule="exact" w:val="300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2021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eastAsia="ar-SA"/>
              </w:rPr>
            </w:pPr>
            <w:r w:rsidRPr="00D30970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 xml:space="preserve">+ </w:t>
            </w: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14.13</w:t>
            </w:r>
          </w:p>
        </w:tc>
      </w:tr>
      <w:tr w:rsidR="00BC5454" w:rsidRPr="00D30970" w:rsidTr="00D30970">
        <w:trPr>
          <w:trHeight w:hRule="exact" w:val="338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2022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+ 3.27</w:t>
            </w:r>
          </w:p>
        </w:tc>
      </w:tr>
      <w:tr w:rsidR="00BC5454" w:rsidRPr="00D30970" w:rsidTr="00D30970">
        <w:trPr>
          <w:trHeight w:hRule="exact" w:val="338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2023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- 8.01</w:t>
            </w:r>
          </w:p>
        </w:tc>
      </w:tr>
      <w:tr w:rsidR="00BC5454" w:rsidRPr="00D30970" w:rsidTr="00D30970">
        <w:trPr>
          <w:trHeight w:hRule="exact" w:val="365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2024</w:t>
            </w:r>
          </w:p>
        </w:tc>
        <w:tc>
          <w:tcPr>
            <w:tcW w:w="3193" w:type="dxa"/>
            <w:vAlign w:val="center"/>
          </w:tcPr>
          <w:p w:rsidR="00BC5454" w:rsidRPr="00D30970" w:rsidRDefault="00BC5454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-</w:t>
            </w:r>
            <w:r w:rsidR="0087158E"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 xml:space="preserve"> </w:t>
            </w: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19.84</w:t>
            </w:r>
          </w:p>
        </w:tc>
      </w:tr>
      <w:tr w:rsidR="00BC5454" w:rsidRPr="00D30970" w:rsidTr="009F2881">
        <w:trPr>
          <w:trHeight w:hRule="exact" w:val="428"/>
          <w:jc w:val="center"/>
        </w:trPr>
        <w:tc>
          <w:tcPr>
            <w:tcW w:w="2267" w:type="dxa"/>
            <w:vAlign w:val="center"/>
          </w:tcPr>
          <w:p w:rsidR="00BC5454" w:rsidRPr="00D30970" w:rsidRDefault="00BC5454" w:rsidP="00785917">
            <w:pPr>
              <w:pStyle w:val="Header"/>
              <w:ind w:right="34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2025</w:t>
            </w:r>
          </w:p>
        </w:tc>
        <w:tc>
          <w:tcPr>
            <w:tcW w:w="3193" w:type="dxa"/>
            <w:vAlign w:val="center"/>
          </w:tcPr>
          <w:p w:rsidR="00BC5454" w:rsidRPr="00D30970" w:rsidRDefault="0087158E" w:rsidP="00785917">
            <w:pPr>
              <w:pStyle w:val="Header"/>
              <w:ind w:right="28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</w:pPr>
            <w:r w:rsidRPr="00D30970">
              <w:rPr>
                <w:rFonts w:ascii="Simplified Arabic" w:hAnsi="Simplified Arabic" w:cs="Simplified Arabic" w:hint="cs"/>
                <w:sz w:val="24"/>
                <w:szCs w:val="24"/>
                <w:rtl/>
                <w:lang w:eastAsia="ar-SA"/>
              </w:rPr>
              <w:t>+ 3.39</w:t>
            </w:r>
          </w:p>
        </w:tc>
      </w:tr>
    </w:tbl>
    <w:p w:rsidR="00D30970" w:rsidRPr="00785917" w:rsidRDefault="00D30970" w:rsidP="00785917">
      <w:pPr>
        <w:pStyle w:val="Header"/>
        <w:tabs>
          <w:tab w:val="clear" w:pos="4320"/>
          <w:tab w:val="clear" w:pos="8640"/>
          <w:tab w:val="left" w:pos="1749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ab/>
      </w:r>
    </w:p>
    <w:p w:rsidR="0034751A" w:rsidRPr="00D30970" w:rsidRDefault="006177A3" w:rsidP="0078591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D3097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انخفاض</w:t>
      </w:r>
      <w:r w:rsidR="005330D5" w:rsidRPr="00D3097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r w:rsidR="00D820EC" w:rsidRPr="00D309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A7294B" w:rsidRPr="00D309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751A" w:rsidRPr="00D3097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القياسي لكميات الإنتاج الصناعي في فلسطين خلال شهر </w:t>
      </w:r>
      <w:r w:rsidR="00D04C71" w:rsidRPr="00D309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كانون أول </w:t>
      </w:r>
      <w:r w:rsidR="003E7455" w:rsidRPr="00D309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  <w:r w:rsidR="00D820EC" w:rsidRPr="00D3097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</w:p>
    <w:p w:rsidR="00D820EC" w:rsidRPr="00D30970" w:rsidRDefault="00D820EC" w:rsidP="0078591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6177A3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</w:t>
      </w:r>
      <w:r w:rsidR="008856E9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177A3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مقداره</w:t>
      </w:r>
      <w:r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1673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1.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03</w:t>
      </w:r>
      <w:r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كانون أول</w:t>
      </w:r>
      <w:r w:rsidR="008A5643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D1673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D8100E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40414D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، إ</w:t>
      </w:r>
      <w:r w:rsidR="008D23B6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ذ </w:t>
      </w:r>
      <w:r w:rsidR="006177A3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83</w:t>
      </w:r>
      <w:r w:rsidR="00D1673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.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50</w:t>
      </w:r>
      <w:r w:rsidR="008856E9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كانون أول</w:t>
      </w:r>
      <w:r w:rsidR="007C07D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6177A3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84</w:t>
      </w:r>
      <w:r w:rsidR="00D1673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.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37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D1673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D04C71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ثاني</w:t>
      </w:r>
      <w:r w:rsidR="00CC5E67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D30970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D30970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D30970" w:rsidRDefault="0034751A" w:rsidP="00785917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D04C71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كانون أول</w:t>
      </w:r>
      <w:r w:rsidR="007C07D7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</w:t>
      </w:r>
      <w:r w:rsidR="002804C6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 مع الشهر السابق</w:t>
      </w:r>
    </w:p>
    <w:p w:rsidR="00785917" w:rsidRPr="00785917" w:rsidRDefault="00785917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D04C71" w:rsidRPr="00D30970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3.28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04C71" w:rsidRPr="00785917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D04C71" w:rsidRPr="00D30970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2.82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كانون أول 2025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04C71" w:rsidRPr="00785917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F05D96" w:rsidRPr="00D30970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كانون أول 2025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والمعدات، و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الأخرى، 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الكيماويات والمنتجات الكيميائية، و</w:t>
      </w:r>
      <w:r w:rsidR="00F05D96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الورق ومنتجات الورق، وصناعة المشروبات، </w:t>
      </w:r>
      <w:r w:rsidR="00F05D96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المنسوجات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D04C71" w:rsidRPr="00D30970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في بعض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أهمها؛ </w:t>
      </w:r>
      <w:r w:rsidR="00F05D96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F05D96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الأثاث، 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التبغ</w:t>
      </w:r>
      <w:r w:rsidR="00F05D96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.</w:t>
      </w:r>
    </w:p>
    <w:p w:rsidR="00D04C71" w:rsidRPr="00785917" w:rsidRDefault="00D04C71" w:rsidP="00785917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6177A3" w:rsidRPr="00D30970" w:rsidRDefault="006177A3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04C71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</w:t>
      </w:r>
      <w:r w:rsidR="0040414D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D04C71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04C71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14.87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6177A3" w:rsidRPr="00785917" w:rsidRDefault="006177A3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6177A3" w:rsidRPr="00D30970" w:rsidRDefault="00D04C71" w:rsidP="00785917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177A3"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6177A3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6177A3"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6177A3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D16737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16737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4.68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6177A3" w:rsidRPr="00D30970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6177A3" w:rsidRPr="00D30970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6177A3" w:rsidRPr="00D30970" w:rsidRDefault="006177A3" w:rsidP="00785917">
      <w:pPr>
        <w:pStyle w:val="Title"/>
        <w:ind w:firstLine="720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D30970" w:rsidRDefault="00BC5454" w:rsidP="00785917">
      <w:pPr>
        <w:pStyle w:val="Title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الجدول أدناه يوضح نسب التغير الشهرية في الرقم القياسي لكميات الإنتاج الصناعي للفترة:</w:t>
      </w:r>
    </w:p>
    <w:p w:rsidR="00BC5454" w:rsidRPr="00D30970" w:rsidRDefault="00BC5454" w:rsidP="00785917">
      <w:pPr>
        <w:pStyle w:val="Title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كانون ثاني </w:t>
      </w:r>
      <w:r w:rsidRPr="00D30970">
        <w:rPr>
          <w:rFonts w:ascii="Simplified Arabic" w:hAnsi="Simplified Arabic" w:cs="Simplified Arabic"/>
          <w:sz w:val="26"/>
          <w:szCs w:val="26"/>
          <w:u w:val="none"/>
          <w:rtl/>
        </w:rPr>
        <w:t>–</w:t>
      </w:r>
      <w:r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كانون أول </w:t>
      </w:r>
      <w:r w:rsidR="009C1D57" w:rsidRP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="00D30970">
        <w:rPr>
          <w:rFonts w:ascii="Simplified Arabic" w:hAnsi="Simplified Arabic" w:cs="Simplified Arabic" w:hint="cs"/>
          <w:sz w:val="26"/>
          <w:szCs w:val="26"/>
          <w:u w:val="none"/>
          <w:rtl/>
        </w:rPr>
        <w:t>:</w:t>
      </w:r>
    </w:p>
    <w:tbl>
      <w:tblPr>
        <w:bidiVisual/>
        <w:tblW w:w="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1846"/>
      </w:tblGrid>
      <w:tr w:rsidR="00BC5454" w:rsidRPr="00D30970" w:rsidTr="00D30970">
        <w:trPr>
          <w:trHeight w:val="389"/>
          <w:tblHeader/>
          <w:jc w:val="center"/>
        </w:trPr>
        <w:tc>
          <w:tcPr>
            <w:tcW w:w="2615" w:type="dxa"/>
            <w:vAlign w:val="center"/>
          </w:tcPr>
          <w:p w:rsidR="00BC5454" w:rsidRPr="00D30970" w:rsidRDefault="00BC5454" w:rsidP="00785917">
            <w:pPr>
              <w:pStyle w:val="Title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u w:val="none"/>
                <w:rtl/>
              </w:rPr>
              <w:t>الشهر</w:t>
            </w:r>
          </w:p>
        </w:tc>
        <w:tc>
          <w:tcPr>
            <w:tcW w:w="1846" w:type="dxa"/>
          </w:tcPr>
          <w:p w:rsidR="00BC5454" w:rsidRPr="00D30970" w:rsidRDefault="00BC5454" w:rsidP="00785917">
            <w:pPr>
              <w:pStyle w:val="Title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u w:val="none"/>
                <w:rtl/>
              </w:rPr>
              <w:t>نسبة التغير (%)</w:t>
            </w:r>
          </w:p>
        </w:tc>
      </w:tr>
      <w:tr w:rsidR="00AD13F1" w:rsidRPr="00D30970" w:rsidTr="00D30970">
        <w:trPr>
          <w:trHeight w:val="246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كانون ثاني</w:t>
            </w:r>
          </w:p>
        </w:tc>
        <w:tc>
          <w:tcPr>
            <w:tcW w:w="1846" w:type="dxa"/>
            <w:vAlign w:val="center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lang w:eastAsia="en-US"/>
              </w:rPr>
            </w:pPr>
            <w:r w:rsidRPr="00D30970">
              <w:rPr>
                <w:rFonts w:ascii="Simplified Arabic" w:hAnsi="Simplified Arabic" w:cs="Simplified Arabic"/>
              </w:rPr>
              <w:t>- 1.26</w:t>
            </w:r>
          </w:p>
        </w:tc>
      </w:tr>
      <w:tr w:rsidR="00AD13F1" w:rsidRPr="00D30970" w:rsidTr="00D30970">
        <w:trPr>
          <w:trHeight w:val="327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شباط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  <w:lang w:eastAsia="en-US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+ 1.86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آذار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- 2.83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نيسان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+ 0.94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أيار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+ 3.57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حزيران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- 9.41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تموز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+ 14.34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آب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+ 3.11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أيلول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+ 5.78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تشرين أول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- 7.48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تشرين ثاني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- 1.57</w:t>
            </w:r>
          </w:p>
        </w:tc>
      </w:tr>
      <w:tr w:rsidR="00AD13F1" w:rsidRPr="00D30970" w:rsidTr="00D30970">
        <w:trPr>
          <w:trHeight w:val="403"/>
          <w:jc w:val="center"/>
        </w:trPr>
        <w:tc>
          <w:tcPr>
            <w:tcW w:w="2615" w:type="dxa"/>
            <w:vAlign w:val="center"/>
          </w:tcPr>
          <w:p w:rsidR="00AD13F1" w:rsidRPr="00D30970" w:rsidRDefault="00AD13F1" w:rsidP="00785917">
            <w:pPr>
              <w:pStyle w:val="Title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D30970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>كانون أول</w:t>
            </w:r>
          </w:p>
        </w:tc>
        <w:tc>
          <w:tcPr>
            <w:tcW w:w="1846" w:type="dxa"/>
            <w:shd w:val="clear" w:color="auto" w:fill="auto"/>
            <w:vAlign w:val="bottom"/>
          </w:tcPr>
          <w:p w:rsidR="00AD13F1" w:rsidRPr="00D30970" w:rsidRDefault="00AD13F1" w:rsidP="0078591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D30970">
              <w:rPr>
                <w:rFonts w:ascii="Simplified Arabic" w:hAnsi="Simplified Arabic" w:cs="Simplified Arabic"/>
                <w:color w:val="000000"/>
              </w:rPr>
              <w:t>- 1.03</w:t>
            </w:r>
          </w:p>
        </w:tc>
      </w:tr>
    </w:tbl>
    <w:p w:rsidR="00785917" w:rsidRDefault="00785917" w:rsidP="00785917">
      <w:pPr>
        <w:pStyle w:val="Title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D30970" w:rsidRDefault="00BC5454" w:rsidP="00785917">
      <w:pPr>
        <w:pStyle w:val="Title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>الاتجاه العام لحركة الأرقام القياسية لكميات الإنتاج الصناعي في فلسطين</w:t>
      </w: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للفترة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>:</w:t>
      </w: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</w:p>
    <w:p w:rsidR="00BC5454" w:rsidRPr="00D30970" w:rsidRDefault="00BC5454" w:rsidP="00785917">
      <w:pPr>
        <w:pStyle w:val="Title"/>
        <w:rPr>
          <w:rFonts w:ascii="Simplified Arabic" w:hAnsi="Simplified Arabic" w:cs="Simplified Arabic"/>
          <w:sz w:val="28"/>
          <w:szCs w:val="28"/>
          <w:u w:val="none"/>
        </w:rPr>
      </w:pP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كانون ثاني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– </w:t>
      </w: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كانون أول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2F38DE"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>(</w:t>
      </w: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سنة الأساس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Pr="00D30970">
        <w:rPr>
          <w:rFonts w:ascii="Simplified Arabic" w:hAnsi="Simplified Arabic" w:cs="Simplified Arabic" w:hint="cs"/>
          <w:sz w:val="28"/>
          <w:szCs w:val="28"/>
          <w:u w:val="none"/>
          <w:rtl/>
        </w:rPr>
        <w:t>2019</w:t>
      </w:r>
      <w:r w:rsidRPr="00D30970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= 100)</w:t>
      </w:r>
    </w:p>
    <w:p w:rsidR="00BC5454" w:rsidRPr="00D30970" w:rsidRDefault="00BC5454" w:rsidP="00785917">
      <w:pPr>
        <w:pStyle w:val="Title"/>
        <w:rPr>
          <w:rFonts w:ascii="Simplified Arabic" w:hAnsi="Simplified Arabic" w:cs="Simplified Arabic" w:hint="cs"/>
          <w:b w:val="0"/>
          <w:bCs w:val="0"/>
          <w:sz w:val="2"/>
          <w:szCs w:val="2"/>
          <w:u w:val="none"/>
          <w:rtl/>
        </w:rPr>
      </w:pPr>
    </w:p>
    <w:p w:rsidR="00BC5454" w:rsidRPr="0083205F" w:rsidRDefault="00780FB2" w:rsidP="00785917">
      <w:pPr>
        <w:pStyle w:val="Title"/>
        <w:rPr>
          <w:rFonts w:ascii="Simplified Arabic" w:hAnsi="Simplified Arabic" w:cs="Simplified Arabic" w:hint="cs"/>
          <w:b w:val="0"/>
          <w:bCs w:val="0"/>
          <w:sz w:val="12"/>
          <w:szCs w:val="12"/>
          <w:u w:val="none"/>
          <w:rtl/>
        </w:rPr>
      </w:pPr>
      <w:r w:rsidRPr="0083205F">
        <w:rPr>
          <w:rFonts w:ascii="Simplified Arabic" w:hAnsi="Simplified Arabic" w:cs="Simplified Arabic"/>
          <w:b w:val="0"/>
          <w:bCs w:val="0"/>
          <w:u w:val="none"/>
          <w:lang w:val="en-GB" w:eastAsia="en-GB"/>
        </w:rPr>
        <w:drawing>
          <wp:inline distT="0" distB="0" distL="0" distR="0">
            <wp:extent cx="3555365" cy="249428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0970" w:rsidRDefault="00D30970" w:rsidP="00785917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3A5B7F" w:rsidRPr="00D30970" w:rsidRDefault="003A5B7F" w:rsidP="00785917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D30970">
        <w:rPr>
          <w:rFonts w:cs="Simplified Arabic" w:hint="cs"/>
          <w:b/>
          <w:bCs/>
          <w:rtl/>
        </w:rPr>
        <w:t>تنويه لمستخدمي البيانات:</w:t>
      </w:r>
    </w:p>
    <w:p w:rsidR="00936AA6" w:rsidRPr="00D30970" w:rsidRDefault="003A5B7F" w:rsidP="00785917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30970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D30970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D30970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D30970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D30970">
        <w:rPr>
          <w:rFonts w:ascii="Simplified Arabic" w:cs="Simplified Arabic" w:hint="cs"/>
          <w:sz w:val="24"/>
          <w:szCs w:val="24"/>
          <w:rtl/>
        </w:rPr>
        <w:t>تشرين</w:t>
      </w:r>
      <w:r w:rsidRPr="00D30970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D30970">
        <w:rPr>
          <w:rFonts w:ascii="Simplified Arabic" w:cs="Simplified Arabic" w:hint="cs"/>
          <w:sz w:val="24"/>
          <w:szCs w:val="24"/>
          <w:rtl/>
        </w:rPr>
        <w:t>أول</w:t>
      </w:r>
      <w:r w:rsidRPr="00D30970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D30970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D30970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D30970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D30970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D30970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D04C71" w:rsidRPr="00D30970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CE1755" w:rsidRPr="00D3097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D30970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D3097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E5ECA" w:rsidRPr="00C72F4C" w:rsidRDefault="008E5ECA" w:rsidP="00785917">
      <w:pPr>
        <w:pStyle w:val="ListParagraph"/>
        <w:tabs>
          <w:tab w:val="left" w:pos="282"/>
        </w:tabs>
        <w:spacing w:line="240" w:lineRule="auto"/>
        <w:ind w:left="0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bookmarkEnd w:id="0"/>
    <w:bookmarkEnd w:id="1"/>
    <w:p w:rsidR="00BA5028" w:rsidRPr="00C72F4C" w:rsidRDefault="00BA5028" w:rsidP="00785917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sectPr w:rsidR="00BA5028" w:rsidRPr="00C72F4C" w:rsidSect="00785917">
      <w:footerReference w:type="even" r:id="rId9"/>
      <w:footerReference w:type="default" r:id="rId10"/>
      <w:type w:val="continuous"/>
      <w:pgSz w:w="11907" w:h="16840" w:code="9"/>
      <w:pgMar w:top="851" w:right="851" w:bottom="851" w:left="851" w:header="720" w:footer="356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7B" w:rsidRDefault="0049707B">
      <w:r>
        <w:separator/>
      </w:r>
    </w:p>
  </w:endnote>
  <w:endnote w:type="continuationSeparator" w:id="0">
    <w:p w:rsidR="0049707B" w:rsidRDefault="0049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917" w:rsidRDefault="007859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FB2">
      <w:rPr>
        <w:noProof/>
        <w:rtl/>
      </w:rPr>
      <w:t>1</w:t>
    </w:r>
    <w:r>
      <w:rPr>
        <w:noProof/>
      </w:rPr>
      <w:fldChar w:fldCharType="end"/>
    </w:r>
  </w:p>
  <w:p w:rsidR="00785917" w:rsidRDefault="00785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7B" w:rsidRDefault="0049707B">
      <w:r>
        <w:separator/>
      </w:r>
    </w:p>
  </w:footnote>
  <w:footnote w:type="continuationSeparator" w:id="0">
    <w:p w:rsidR="0049707B" w:rsidRDefault="0049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1B40"/>
    <w:rsid w:val="00042556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32F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694A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58D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C6A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8DE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14D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516E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9707B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9E9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3B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177A3"/>
    <w:rsid w:val="006213B4"/>
    <w:rsid w:val="006226FF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2D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0FB2"/>
    <w:rsid w:val="00781C0D"/>
    <w:rsid w:val="0078206B"/>
    <w:rsid w:val="00782EE1"/>
    <w:rsid w:val="0078317B"/>
    <w:rsid w:val="0078331A"/>
    <w:rsid w:val="00783FF0"/>
    <w:rsid w:val="00785675"/>
    <w:rsid w:val="00785917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158E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546E"/>
    <w:rsid w:val="008D6A68"/>
    <w:rsid w:val="008D6B9A"/>
    <w:rsid w:val="008D7C58"/>
    <w:rsid w:val="008E1071"/>
    <w:rsid w:val="008E3783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D57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2881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D79"/>
    <w:rsid w:val="00AC6F61"/>
    <w:rsid w:val="00AD0A01"/>
    <w:rsid w:val="00AD0FC5"/>
    <w:rsid w:val="00AD13F1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5DBB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5454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13BA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43CA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4C71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16737"/>
    <w:rsid w:val="00D20F85"/>
    <w:rsid w:val="00D22F51"/>
    <w:rsid w:val="00D240C1"/>
    <w:rsid w:val="00D24168"/>
    <w:rsid w:val="00D258CF"/>
    <w:rsid w:val="00D30970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3801"/>
    <w:rsid w:val="00F04D8C"/>
    <w:rsid w:val="00F05144"/>
    <w:rsid w:val="00F0553D"/>
    <w:rsid w:val="00F05D96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074B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F1679-2A11-4376-A09C-3565D48B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02421821166157"/>
          <c:y val="7.254915661139627E-2"/>
          <c:w val="0.83871230381916551"/>
          <c:h val="0.552547510508555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350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907695166422797E-2"/>
                  <c:y val="3.625522918850161E-2"/>
                </c:manualLayout>
              </c:layout>
              <c:spPr/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E6-4625-8F04-E1A054E95AC6}"/>
                </c:ext>
              </c:extLst>
            </c:dLbl>
            <c:dLbl>
              <c:idx val="11"/>
              <c:layout>
                <c:manualLayout>
                  <c:x val="-7.8662733529990172E-3"/>
                  <c:y val="4.0650345327994324E-2"/>
                </c:manualLayout>
              </c:layout>
              <c:spPr/>
              <c:txPr>
                <a:bodyPr/>
                <a:lstStyle/>
                <a:p>
                  <a:pPr>
                    <a:defRPr sz="9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E6-4625-8F04-E1A054E95A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 </c:v>
                </c:pt>
                <c:pt idx="1">
                  <c:v>شباط </c:v>
                </c:pt>
                <c:pt idx="2">
                  <c:v>آذار </c:v>
                </c:pt>
                <c:pt idx="3">
                  <c:v>نيسان </c:v>
                </c:pt>
                <c:pt idx="4">
                  <c:v>أيار </c:v>
                </c:pt>
                <c:pt idx="5">
                  <c:v>حزيران </c:v>
                </c:pt>
                <c:pt idx="6">
                  <c:v>تموز </c:v>
                </c:pt>
                <c:pt idx="7">
                  <c:v>آب </c:v>
                </c:pt>
                <c:pt idx="8">
                  <c:v>أيلول </c:v>
                </c:pt>
                <c:pt idx="9">
                  <c:v>تشرين أول </c:v>
                </c:pt>
                <c:pt idx="10">
                  <c:v>تشرين ثاني  </c:v>
                </c:pt>
                <c:pt idx="11">
                  <c:v>كانون أول 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79.251091717523352</c:v>
                </c:pt>
                <c:pt idx="1">
                  <c:v>80.725038117835936</c:v>
                </c:pt>
                <c:pt idx="2">
                  <c:v>78.442317109698081</c:v>
                </c:pt>
                <c:pt idx="3">
                  <c:v>79.181201989222757</c:v>
                </c:pt>
                <c:pt idx="4">
                  <c:v>82.006580415393316</c:v>
                </c:pt>
                <c:pt idx="5">
                  <c:v>74.288235026172302</c:v>
                </c:pt>
                <c:pt idx="6">
                  <c:v>84.942413712024972</c:v>
                </c:pt>
                <c:pt idx="7">
                  <c:v>87.583464398149701</c:v>
                </c:pt>
                <c:pt idx="8">
                  <c:v>92.645076244246169</c:v>
                </c:pt>
                <c:pt idx="9">
                  <c:v>85.717637910838192</c:v>
                </c:pt>
                <c:pt idx="10">
                  <c:v>84.372930094423381</c:v>
                </c:pt>
                <c:pt idx="11">
                  <c:v>83.50128768875939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5E6-4625-8F04-E1A054E95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262736"/>
        <c:axId val="1"/>
      </c:lineChart>
      <c:catAx>
        <c:axId val="240262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2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6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5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0262736"/>
        <c:crosses val="autoZero"/>
        <c:crossBetween val="between"/>
      </c:valAx>
      <c:spPr>
        <a:noFill/>
        <a:ln w="25350">
          <a:noFill/>
        </a:ln>
      </c:spPr>
    </c:plotArea>
    <c:plotVisOnly val="1"/>
    <c:dispBlanksAs val="gap"/>
    <c:showDLblsOverMax val="0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5EA8-F984-4C75-893F-6E72CDA3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2026-02-02T11:16:00Z</cp:lastPrinted>
  <dcterms:created xsi:type="dcterms:W3CDTF">2026-02-05T07:11:00Z</dcterms:created>
  <dcterms:modified xsi:type="dcterms:W3CDTF">2026-02-05T07:11:00Z</dcterms:modified>
</cp:coreProperties>
</file>