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C67" w:rsidRDefault="00A07C67" w:rsidP="00036485">
      <w:pPr>
        <w:pStyle w:val="Header"/>
        <w:tabs>
          <w:tab w:val="left" w:pos="5925"/>
        </w:tabs>
        <w:jc w:val="center"/>
        <w:rPr>
          <w:rFonts w:cs="Simplified Arabic" w:hint="cs"/>
          <w:b/>
          <w:bCs/>
          <w:sz w:val="32"/>
          <w:szCs w:val="32"/>
          <w:rtl/>
        </w:rPr>
      </w:pPr>
    </w:p>
    <w:p w:rsidR="00A07C67" w:rsidRDefault="00A07C67" w:rsidP="00036485">
      <w:pPr>
        <w:pStyle w:val="Header"/>
        <w:tabs>
          <w:tab w:val="left" w:pos="5925"/>
        </w:tabs>
        <w:jc w:val="center"/>
        <w:rPr>
          <w:rFonts w:cs="Simplified Arabic"/>
          <w:b/>
          <w:bCs/>
          <w:sz w:val="32"/>
          <w:szCs w:val="32"/>
          <w:rtl/>
        </w:rPr>
      </w:pPr>
    </w:p>
    <w:p w:rsidR="00A07C67" w:rsidRPr="00A07C67" w:rsidRDefault="00036485" w:rsidP="00183FC1">
      <w:pPr>
        <w:pStyle w:val="Header"/>
        <w:tabs>
          <w:tab w:val="left" w:pos="5925"/>
        </w:tabs>
        <w:jc w:val="center"/>
        <w:rPr>
          <w:rFonts w:cs="Simplified Arabic"/>
          <w:b/>
          <w:bCs/>
          <w:sz w:val="32"/>
          <w:szCs w:val="32"/>
          <w:rtl/>
        </w:rPr>
      </w:pPr>
      <w:r w:rsidRPr="00A07C67">
        <w:rPr>
          <w:rFonts w:cs="Simplified Arabic" w:hint="cs"/>
          <w:b/>
          <w:bCs/>
          <w:sz w:val="32"/>
          <w:szCs w:val="32"/>
          <w:rtl/>
        </w:rPr>
        <w:t xml:space="preserve">الاحصاء الفلسطيني: ارتفاع الرقم القياسي لكميات الإنتاج الصناعي في فلسطين </w:t>
      </w:r>
    </w:p>
    <w:p w:rsidR="00DC1D80" w:rsidRPr="00A07C67" w:rsidRDefault="00036485" w:rsidP="00A07C67">
      <w:pPr>
        <w:pStyle w:val="Header"/>
        <w:tabs>
          <w:tab w:val="left" w:pos="5925"/>
        </w:tabs>
        <w:jc w:val="center"/>
        <w:rPr>
          <w:rFonts w:asciiTheme="majorBidi" w:hAnsiTheme="majorBidi" w:cstheme="majorBidi"/>
          <w:b/>
          <w:bCs/>
          <w:sz w:val="32"/>
          <w:szCs w:val="32"/>
          <w:rtl/>
        </w:rPr>
      </w:pPr>
      <w:r w:rsidRPr="00A07C67">
        <w:rPr>
          <w:rFonts w:cs="Simplified Arabic" w:hint="cs"/>
          <w:b/>
          <w:bCs/>
          <w:sz w:val="32"/>
          <w:szCs w:val="32"/>
          <w:rtl/>
        </w:rPr>
        <w:t xml:space="preserve">خلال شهر تشرين ثاني، </w:t>
      </w:r>
      <w:r w:rsidRPr="00A07C67">
        <w:rPr>
          <w:rFonts w:asciiTheme="majorBidi" w:hAnsiTheme="majorBidi" w:cstheme="majorBidi"/>
          <w:b/>
          <w:bCs/>
          <w:sz w:val="32"/>
          <w:szCs w:val="32"/>
          <w:rtl/>
        </w:rPr>
        <w:t>11/2015</w:t>
      </w:r>
      <w:bookmarkStart w:id="0" w:name="OLE_LINK3"/>
      <w:bookmarkStart w:id="1" w:name="OLE_LINK4"/>
    </w:p>
    <w:p w:rsidR="00A07C67" w:rsidRPr="00A07C67" w:rsidRDefault="00A07C67" w:rsidP="00A07C67">
      <w:pPr>
        <w:pStyle w:val="Header"/>
        <w:tabs>
          <w:tab w:val="left" w:pos="5925"/>
        </w:tabs>
        <w:jc w:val="center"/>
        <w:rPr>
          <w:rFonts w:cs="Simplified Arabic"/>
          <w:b/>
          <w:bCs/>
          <w:sz w:val="16"/>
          <w:szCs w:val="16"/>
          <w:rtl/>
        </w:rPr>
      </w:pPr>
    </w:p>
    <w:p w:rsidR="00DC1D80" w:rsidRPr="00A07C67" w:rsidRDefault="00DC1D80" w:rsidP="00A07C67">
      <w:pPr>
        <w:ind w:left="-1"/>
        <w:jc w:val="lowKashida"/>
        <w:rPr>
          <w:rFonts w:cs="Simplified Arabic"/>
          <w:sz w:val="24"/>
          <w:szCs w:val="24"/>
          <w:rtl/>
        </w:rPr>
      </w:pPr>
      <w:r w:rsidRPr="00A07C67">
        <w:rPr>
          <w:rFonts w:cs="Simplified Arabic" w:hint="cs"/>
          <w:sz w:val="24"/>
          <w:szCs w:val="24"/>
          <w:rtl/>
        </w:rPr>
        <w:t xml:space="preserve">سجل </w:t>
      </w:r>
      <w:r w:rsidRPr="00A07C67">
        <w:rPr>
          <w:rFonts w:cs="Simplified Arabic"/>
          <w:sz w:val="24"/>
          <w:szCs w:val="24"/>
          <w:rtl/>
        </w:rPr>
        <w:t xml:space="preserve">الرقم القياسي </w:t>
      </w:r>
      <w:r w:rsidRPr="00A07C67">
        <w:rPr>
          <w:rFonts w:cs="Simplified Arabic" w:hint="cs"/>
          <w:sz w:val="24"/>
          <w:szCs w:val="24"/>
          <w:rtl/>
        </w:rPr>
        <w:t>لكميات الإنتاج الصناعي ارتفاعاً بنسبة 3.76% خلال شهر تشرين ثاني 2015</w:t>
      </w:r>
      <w:r w:rsidRPr="00A07C67">
        <w:rPr>
          <w:rFonts w:cs="Simplified Arabic"/>
          <w:sz w:val="24"/>
          <w:szCs w:val="24"/>
          <w:rtl/>
        </w:rPr>
        <w:t xml:space="preserve"> </w:t>
      </w:r>
      <w:r w:rsidRPr="00A07C67">
        <w:rPr>
          <w:rFonts w:cs="Simplified Arabic" w:hint="cs"/>
          <w:sz w:val="24"/>
          <w:szCs w:val="24"/>
          <w:rtl/>
        </w:rPr>
        <w:t>مقارنة                                                                                                                                                                                                                                                                                                         بشهر تشرين أول 2015، إذ ارتفع الرقم القياسي لكميات الإنتاج الصناعي إلى 109.64 خلال شهر تشرين ثاني 2015 مقارنة بـ 105.67 خلال الشهر السابق (سنة الأساس2011= 100)</w:t>
      </w:r>
      <w:r w:rsidRPr="00A07C67">
        <w:rPr>
          <w:rFonts w:cs="Simplified Arabic"/>
          <w:sz w:val="24"/>
          <w:szCs w:val="24"/>
        </w:rPr>
        <w:t>.</w:t>
      </w:r>
    </w:p>
    <w:p w:rsidR="00DC1D80" w:rsidRPr="00A07C67" w:rsidRDefault="00DC1D80" w:rsidP="00A07C67">
      <w:pPr>
        <w:pStyle w:val="Heading9"/>
        <w:ind w:left="-1"/>
        <w:jc w:val="both"/>
        <w:rPr>
          <w:rtl/>
        </w:rPr>
      </w:pPr>
      <w:r w:rsidRPr="00A07C67">
        <w:rPr>
          <w:rFonts w:hint="cs"/>
          <w:rtl/>
        </w:rPr>
        <w:t>حركة كميات الإنتاج الصناعي على مستوى الأنشطة الاقتصادية الرئيسية</w:t>
      </w:r>
    </w:p>
    <w:p w:rsidR="00DC1D80" w:rsidRPr="00A07C67" w:rsidRDefault="00DC1D80" w:rsidP="00A07C67">
      <w:pPr>
        <w:jc w:val="both"/>
        <w:rPr>
          <w:sz w:val="24"/>
          <w:szCs w:val="24"/>
          <w:rtl/>
        </w:rPr>
      </w:pPr>
      <w:r w:rsidRPr="00A07C67">
        <w:rPr>
          <w:rFonts w:cs="Simplified Arabic" w:hint="cs"/>
          <w:sz w:val="24"/>
          <w:szCs w:val="24"/>
          <w:rtl/>
        </w:rPr>
        <w:t xml:space="preserve">سجلت أنشطة </w:t>
      </w:r>
      <w:r w:rsidRPr="00A07C67">
        <w:rPr>
          <w:rFonts w:cs="Simplified Arabic" w:hint="cs"/>
          <w:b/>
          <w:bCs/>
          <w:sz w:val="24"/>
          <w:szCs w:val="24"/>
          <w:rtl/>
        </w:rPr>
        <w:t xml:space="preserve">الصناعة التحويلية </w:t>
      </w:r>
      <w:r w:rsidRPr="00A07C67">
        <w:rPr>
          <w:rFonts w:cs="Simplified Arabic" w:hint="cs"/>
          <w:sz w:val="24"/>
          <w:szCs w:val="24"/>
          <w:rtl/>
        </w:rPr>
        <w:t>ارتفاعاً بنسبة 9.48% خلال شهر تشرين ثاني 2015 مقارنة بالشهر السابق والتي تشكل أهميتها النسبية 80.56% من إجمالي أنشطة الصناعة.</w:t>
      </w:r>
    </w:p>
    <w:p w:rsidR="00DC1D80" w:rsidRPr="00A07C67" w:rsidRDefault="00DC1D80" w:rsidP="00A07C67">
      <w:pPr>
        <w:jc w:val="both"/>
        <w:rPr>
          <w:sz w:val="24"/>
          <w:szCs w:val="24"/>
          <w:rtl/>
        </w:rPr>
      </w:pPr>
      <w:r w:rsidRPr="00A07C67">
        <w:rPr>
          <w:rFonts w:cs="Simplified Arabic" w:hint="cs"/>
          <w:sz w:val="24"/>
          <w:szCs w:val="24"/>
          <w:rtl/>
        </w:rPr>
        <w:t>في حين سجل نشاط</w:t>
      </w:r>
      <w:r w:rsidRPr="00A07C67">
        <w:rPr>
          <w:rFonts w:cs="Simplified Arabic" w:hint="cs"/>
          <w:b/>
          <w:bCs/>
          <w:sz w:val="24"/>
          <w:szCs w:val="24"/>
          <w:rtl/>
        </w:rPr>
        <w:t xml:space="preserve"> إنتاج وجمع وتوزيع الكهرباء والمياه</w:t>
      </w:r>
      <w:r w:rsidRPr="00A07C67">
        <w:rPr>
          <w:rFonts w:cs="Simplified Arabic" w:hint="cs"/>
          <w:sz w:val="24"/>
          <w:szCs w:val="24"/>
          <w:rtl/>
        </w:rPr>
        <w:t xml:space="preserve"> انخفاضاً حاداً مقداره 14.93% والذي تشكل أهميته النسبية 14.85% من إجمالي أنشطة الصناعة.</w:t>
      </w:r>
    </w:p>
    <w:p w:rsidR="00DC1D80" w:rsidRPr="00A07C67" w:rsidRDefault="00DC1D80" w:rsidP="00A07C67">
      <w:pPr>
        <w:jc w:val="both"/>
        <w:rPr>
          <w:sz w:val="24"/>
          <w:szCs w:val="24"/>
          <w:rtl/>
        </w:rPr>
      </w:pPr>
      <w:r w:rsidRPr="00A07C67">
        <w:rPr>
          <w:rFonts w:cs="Simplified Arabic" w:hint="cs"/>
          <w:sz w:val="24"/>
          <w:szCs w:val="24"/>
          <w:rtl/>
        </w:rPr>
        <w:t xml:space="preserve">سجل نشاط </w:t>
      </w:r>
      <w:r w:rsidRPr="00A07C67">
        <w:rPr>
          <w:rFonts w:cs="Simplified Arabic" w:hint="cs"/>
          <w:b/>
          <w:bCs/>
          <w:sz w:val="24"/>
          <w:szCs w:val="24"/>
          <w:rtl/>
        </w:rPr>
        <w:t xml:space="preserve">التعدين واستغلال المحاجر </w:t>
      </w:r>
      <w:r w:rsidRPr="00A07C67">
        <w:rPr>
          <w:rFonts w:cs="Simplified Arabic" w:hint="cs"/>
          <w:sz w:val="24"/>
          <w:szCs w:val="24"/>
          <w:rtl/>
        </w:rPr>
        <w:t>انخفاضاً مقداره 7.62% والذي تشكل أهميته النسبية 4.59% من إجمالي أنشطة الصناعة.</w:t>
      </w:r>
    </w:p>
    <w:p w:rsidR="00DC1D80" w:rsidRPr="00A07C67" w:rsidRDefault="00DC1D80" w:rsidP="00A07C67">
      <w:pPr>
        <w:ind w:left="-1"/>
        <w:jc w:val="lowKashida"/>
        <w:rPr>
          <w:rFonts w:cs="Simplified Arabic"/>
          <w:sz w:val="24"/>
          <w:szCs w:val="24"/>
          <w:rtl/>
        </w:rPr>
      </w:pPr>
      <w:r w:rsidRPr="00A07C67">
        <w:rPr>
          <w:rFonts w:cs="Simplified Arabic" w:hint="cs"/>
          <w:sz w:val="24"/>
          <w:szCs w:val="24"/>
          <w:rtl/>
        </w:rPr>
        <w:t xml:space="preserve">أما على صعيد الأنشطة الفرعية والتي لها تأثير نسبي كبير على مجمل الرقم القياسي، فقد سجلت بعض الصناعات ارتفاعاً خلال شهر تشرين ثاني 2015 مقارنة بشهر تشرين أول 2015 أهمها </w:t>
      </w:r>
      <w:r w:rsidRPr="00A07C67">
        <w:rPr>
          <w:rFonts w:cs="Simplified Arabic"/>
          <w:sz w:val="24"/>
          <w:szCs w:val="24"/>
          <w:rtl/>
        </w:rPr>
        <w:t xml:space="preserve">صنع </w:t>
      </w:r>
      <w:r w:rsidRPr="00A07C67">
        <w:rPr>
          <w:rFonts w:cs="Simplified Arabic" w:hint="cs"/>
          <w:sz w:val="24"/>
          <w:szCs w:val="24"/>
          <w:rtl/>
        </w:rPr>
        <w:t>الأثاث، وصنع الفلزات الثمينة وغير الحديدية القاعدية، وصنع المنتجات النفطية المكررة، و</w:t>
      </w:r>
      <w:r w:rsidRPr="00A07C67">
        <w:rPr>
          <w:rFonts w:cs="Simplified Arabic"/>
          <w:sz w:val="24"/>
          <w:szCs w:val="24"/>
          <w:rtl/>
        </w:rPr>
        <w:t>صنع منتجات المعادن المشكلة عدا الماكينات والمعدات</w:t>
      </w:r>
      <w:r w:rsidRPr="00A07C67">
        <w:rPr>
          <w:rFonts w:cs="Simplified Arabic" w:hint="cs"/>
          <w:sz w:val="24"/>
          <w:szCs w:val="24"/>
          <w:rtl/>
        </w:rPr>
        <w:t>، وصنع المواد والمنتجات الكيماوية.</w:t>
      </w:r>
    </w:p>
    <w:p w:rsidR="00A07C67" w:rsidRDefault="00DC1D80" w:rsidP="00A07C67">
      <w:pPr>
        <w:ind w:left="-1"/>
        <w:jc w:val="lowKashida"/>
        <w:rPr>
          <w:rFonts w:cs="Simplified Arabic"/>
          <w:sz w:val="24"/>
          <w:szCs w:val="24"/>
          <w:rtl/>
        </w:rPr>
      </w:pPr>
      <w:r w:rsidRPr="00A07C67">
        <w:rPr>
          <w:rFonts w:cs="Simplified Arabic" w:hint="cs"/>
          <w:sz w:val="24"/>
          <w:szCs w:val="24"/>
          <w:rtl/>
        </w:rPr>
        <w:t>من ناحية أخرى سجل الرقم القياسي لكميات الإنتاج الصناعي انخفاضاً في بعض الأنشطة أهمها إنتاج وجمع وتوزيع الكهرباء، ونشاط صنع الملابس باستثناء الملابس الفرائية، وصنع منتجات التبغ، وصنع منتجات المعادن اللافلزية الأخرى، وصنع عجائن الورق والورق المقوى (الكرتون)، وصنع المنتجات الغذائية والمشروبات المرطبة.</w:t>
      </w:r>
    </w:p>
    <w:p w:rsidR="00A07C67" w:rsidRPr="00A07C67" w:rsidRDefault="00DC1D80" w:rsidP="00A07C67">
      <w:pPr>
        <w:spacing w:after="0"/>
        <w:ind w:left="-1"/>
        <w:jc w:val="center"/>
        <w:rPr>
          <w:rFonts w:cs="Simplified Arabic"/>
          <w:b/>
          <w:bCs/>
          <w:sz w:val="24"/>
          <w:szCs w:val="24"/>
          <w:rtl/>
        </w:rPr>
      </w:pPr>
      <w:r w:rsidRPr="00A07C67">
        <w:rPr>
          <w:rFonts w:cs="Simplified Arabic" w:hint="cs"/>
          <w:b/>
          <w:bCs/>
          <w:sz w:val="24"/>
          <w:szCs w:val="24"/>
          <w:rtl/>
        </w:rPr>
        <w:t>الرقم القياسي لكميات الإنتاج الصناعي للأشهر</w:t>
      </w:r>
    </w:p>
    <w:p w:rsidR="00DC1D80" w:rsidRPr="00A07C67" w:rsidRDefault="00DC1D80" w:rsidP="00A07C67">
      <w:pPr>
        <w:spacing w:after="0"/>
        <w:ind w:left="-1"/>
        <w:jc w:val="center"/>
        <w:rPr>
          <w:rFonts w:cs="Simplified Arabic"/>
          <w:sz w:val="24"/>
          <w:szCs w:val="24"/>
          <w:rtl/>
        </w:rPr>
      </w:pPr>
      <w:r w:rsidRPr="00A07C67">
        <w:rPr>
          <w:rFonts w:cs="Simplified Arabic" w:hint="cs"/>
          <w:b/>
          <w:bCs/>
          <w:sz w:val="24"/>
          <w:szCs w:val="24"/>
          <w:rtl/>
        </w:rPr>
        <w:t xml:space="preserve">تشرين ثاني </w:t>
      </w:r>
      <w:r w:rsidRPr="00A07C67">
        <w:rPr>
          <w:rFonts w:asciiTheme="majorBidi" w:hAnsiTheme="majorBidi" w:cstheme="majorBidi"/>
          <w:b/>
          <w:bCs/>
          <w:sz w:val="24"/>
          <w:szCs w:val="24"/>
          <w:rtl/>
        </w:rPr>
        <w:t>2014</w:t>
      </w:r>
      <w:r w:rsidRPr="00A07C67">
        <w:rPr>
          <w:rFonts w:cs="Simplified Arabic" w:hint="cs"/>
          <w:b/>
          <w:bCs/>
          <w:sz w:val="24"/>
          <w:szCs w:val="24"/>
          <w:rtl/>
        </w:rPr>
        <w:t xml:space="preserve"> </w:t>
      </w:r>
      <w:r w:rsidRPr="00A07C67">
        <w:rPr>
          <w:rFonts w:cs="Simplified Arabic"/>
          <w:b/>
          <w:bCs/>
          <w:sz w:val="24"/>
          <w:szCs w:val="24"/>
          <w:rtl/>
        </w:rPr>
        <w:t>–</w:t>
      </w:r>
      <w:r w:rsidRPr="00A07C67">
        <w:rPr>
          <w:rFonts w:cs="Simplified Arabic" w:hint="cs"/>
          <w:b/>
          <w:bCs/>
          <w:sz w:val="24"/>
          <w:szCs w:val="24"/>
          <w:rtl/>
        </w:rPr>
        <w:t xml:space="preserve"> تشرين ثاني </w:t>
      </w:r>
      <w:r w:rsidRPr="00A07C67">
        <w:rPr>
          <w:rFonts w:asciiTheme="majorBidi" w:hAnsiTheme="majorBidi" w:cstheme="majorBidi"/>
          <w:b/>
          <w:bCs/>
          <w:sz w:val="24"/>
          <w:szCs w:val="24"/>
          <w:rtl/>
        </w:rPr>
        <w:t>2015</w:t>
      </w:r>
      <w:r w:rsidRPr="00A07C67">
        <w:rPr>
          <w:rFonts w:cs="Simplified Arabic" w:hint="cs"/>
          <w:b/>
          <w:bCs/>
          <w:sz w:val="24"/>
          <w:szCs w:val="24"/>
          <w:rtl/>
        </w:rPr>
        <w:t xml:space="preserve"> (سنة الأساس </w:t>
      </w:r>
      <w:r w:rsidRPr="00A07C67">
        <w:rPr>
          <w:rFonts w:asciiTheme="majorBidi" w:hAnsiTheme="majorBidi" w:cstheme="majorBidi"/>
          <w:b/>
          <w:bCs/>
          <w:sz w:val="24"/>
          <w:szCs w:val="24"/>
          <w:rtl/>
        </w:rPr>
        <w:t xml:space="preserve">2011 = 100 </w:t>
      </w:r>
      <w:r w:rsidRPr="00A07C67">
        <w:rPr>
          <w:rFonts w:cs="Simplified Arabic" w:hint="cs"/>
          <w:b/>
          <w:bCs/>
          <w:sz w:val="24"/>
          <w:szCs w:val="24"/>
          <w:rtl/>
        </w:rPr>
        <w:t>)</w:t>
      </w:r>
      <w:r w:rsidRPr="00A07C67">
        <w:rPr>
          <w:rFonts w:cs="Simplified Arabic"/>
          <w:b/>
          <w:bCs/>
          <w:sz w:val="24"/>
          <w:szCs w:val="24"/>
          <w:rtl/>
        </w:rPr>
        <w:t xml:space="preserve"> </w:t>
      </w:r>
    </w:p>
    <w:p w:rsidR="00DC1D80" w:rsidRDefault="00DC1D80" w:rsidP="00DC1D80">
      <w:pPr>
        <w:pStyle w:val="Header"/>
        <w:tabs>
          <w:tab w:val="left" w:pos="5925"/>
        </w:tabs>
        <w:ind w:left="141" w:hanging="141"/>
        <w:jc w:val="center"/>
        <w:rPr>
          <w:rFonts w:cs="Simplified Arabic"/>
          <w:b/>
          <w:bCs/>
          <w:snapToGrid/>
          <w:sz w:val="16"/>
          <w:szCs w:val="16"/>
          <w:rtl/>
          <w:lang w:eastAsia="ar-SA"/>
        </w:rPr>
      </w:pPr>
      <w:r w:rsidRPr="00A07C67">
        <w:rPr>
          <w:rFonts w:cs="Simplified Arabic"/>
          <w:b/>
          <w:bCs/>
          <w:noProof/>
          <w:snapToGrid/>
          <w:sz w:val="26"/>
          <w:szCs w:val="26"/>
        </w:rPr>
        <w:drawing>
          <wp:inline distT="0" distB="0" distL="0" distR="0">
            <wp:extent cx="3190875" cy="2171700"/>
            <wp:effectExtent l="19050" t="0" r="9525"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A07C67" w:rsidRPr="00A07C67" w:rsidRDefault="00A07C67" w:rsidP="00DC1D80">
      <w:pPr>
        <w:pStyle w:val="Header"/>
        <w:tabs>
          <w:tab w:val="left" w:pos="5925"/>
        </w:tabs>
        <w:ind w:left="141" w:hanging="141"/>
        <w:jc w:val="center"/>
        <w:rPr>
          <w:rFonts w:cs="Simplified Arabic"/>
          <w:b/>
          <w:bCs/>
          <w:snapToGrid/>
          <w:sz w:val="16"/>
          <w:szCs w:val="16"/>
          <w:rtl/>
          <w:lang w:eastAsia="ar-SA"/>
        </w:rPr>
      </w:pPr>
    </w:p>
    <w:p w:rsidR="00A07C67" w:rsidRPr="00A07C67" w:rsidRDefault="00A07C67" w:rsidP="00A07C67">
      <w:pPr>
        <w:pStyle w:val="Header"/>
        <w:tabs>
          <w:tab w:val="left" w:pos="5925"/>
        </w:tabs>
        <w:ind w:left="141" w:hanging="141"/>
        <w:jc w:val="both"/>
        <w:rPr>
          <w:rFonts w:cs="Simplified Arabic"/>
          <w:b/>
          <w:bCs/>
          <w:snapToGrid/>
          <w:lang w:eastAsia="ar-SA"/>
        </w:rPr>
      </w:pPr>
      <w:r w:rsidRPr="00A07C67">
        <w:rPr>
          <w:rFonts w:cs="Simplified Arabic" w:hint="cs"/>
          <w:b/>
          <w:bCs/>
          <w:snapToGrid/>
          <w:rtl/>
          <w:lang w:eastAsia="ar-SA"/>
        </w:rPr>
        <w:t xml:space="preserve">ملاحظة: </w:t>
      </w:r>
      <w:r w:rsidRPr="00A07C67">
        <w:rPr>
          <w:rFonts w:cs="Simplified Arabic" w:hint="cs"/>
          <w:rtl/>
        </w:rPr>
        <w:t xml:space="preserve">الأهمية النسبية للأنشطة تمثل التوزيع النسبي للقيمة المضافة للأنشطة الصناعية في العام 2009. </w:t>
      </w:r>
      <w:r>
        <w:rPr>
          <w:rFonts w:cs="Simplified Arabic" w:hint="cs"/>
          <w:b/>
          <w:bCs/>
          <w:snapToGrid/>
          <w:rtl/>
          <w:lang w:eastAsia="ar-SA"/>
        </w:rPr>
        <w:t xml:space="preserve"> </w:t>
      </w:r>
      <w:bookmarkEnd w:id="0"/>
      <w:bookmarkEnd w:id="1"/>
    </w:p>
    <w:sectPr w:rsidR="00A07C67" w:rsidRPr="00A07C67" w:rsidSect="00DC1D80">
      <w:pgSz w:w="11906" w:h="16838"/>
      <w:pgMar w:top="720" w:right="720" w:bottom="720" w:left="72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036485"/>
    <w:rsid w:val="00036485"/>
    <w:rsid w:val="00183FC1"/>
    <w:rsid w:val="005E7849"/>
    <w:rsid w:val="00A07C67"/>
    <w:rsid w:val="00CA0B64"/>
    <w:rsid w:val="00D14D97"/>
    <w:rsid w:val="00DC1D80"/>
    <w:rsid w:val="00EB7B9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B93"/>
    <w:pPr>
      <w:bidi/>
    </w:pPr>
  </w:style>
  <w:style w:type="paragraph" w:styleId="Heading9">
    <w:name w:val="heading 9"/>
    <w:basedOn w:val="Normal"/>
    <w:next w:val="Normal"/>
    <w:link w:val="Heading9Char"/>
    <w:qFormat/>
    <w:rsid w:val="00DC1D80"/>
    <w:pPr>
      <w:keepNext/>
      <w:spacing w:after="0" w:line="240" w:lineRule="auto"/>
      <w:jc w:val="center"/>
      <w:outlineLvl w:val="8"/>
    </w:pPr>
    <w:rPr>
      <w:rFonts w:ascii="Times New Roman" w:eastAsia="Times New Roman" w:hAnsi="Times New Roman" w:cs="Simplified Arabic"/>
      <w:b/>
      <w:bCs/>
      <w:noProof/>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6485"/>
    <w:pPr>
      <w:tabs>
        <w:tab w:val="center" w:pos="4320"/>
        <w:tab w:val="right" w:pos="8640"/>
      </w:tabs>
      <w:spacing w:after="0" w:line="240" w:lineRule="auto"/>
    </w:pPr>
    <w:rPr>
      <w:rFonts w:ascii="Times New Roman" w:eastAsia="Times New Roman" w:hAnsi="Times New Roman" w:cs="Traditional Arabic"/>
      <w:snapToGrid w:val="0"/>
      <w:sz w:val="20"/>
      <w:szCs w:val="20"/>
    </w:rPr>
  </w:style>
  <w:style w:type="character" w:customStyle="1" w:styleId="HeaderChar">
    <w:name w:val="Header Char"/>
    <w:basedOn w:val="DefaultParagraphFont"/>
    <w:link w:val="Header"/>
    <w:uiPriority w:val="99"/>
    <w:rsid w:val="00036485"/>
    <w:rPr>
      <w:rFonts w:ascii="Times New Roman" w:eastAsia="Times New Roman" w:hAnsi="Times New Roman" w:cs="Traditional Arabic"/>
      <w:snapToGrid w:val="0"/>
      <w:sz w:val="20"/>
      <w:szCs w:val="20"/>
    </w:rPr>
  </w:style>
  <w:style w:type="character" w:customStyle="1" w:styleId="Heading9Char">
    <w:name w:val="Heading 9 Char"/>
    <w:basedOn w:val="DefaultParagraphFont"/>
    <w:link w:val="Heading9"/>
    <w:rsid w:val="00DC1D80"/>
    <w:rPr>
      <w:rFonts w:ascii="Times New Roman" w:eastAsia="Times New Roman" w:hAnsi="Times New Roman" w:cs="Simplified Arabic"/>
      <w:b/>
      <w:bCs/>
      <w:noProof/>
      <w:sz w:val="24"/>
      <w:szCs w:val="24"/>
      <w:lang w:eastAsia="ar-SA"/>
    </w:rPr>
  </w:style>
  <w:style w:type="paragraph" w:styleId="BodyText">
    <w:name w:val="Body Text"/>
    <w:basedOn w:val="Normal"/>
    <w:link w:val="BodyTextChar"/>
    <w:semiHidden/>
    <w:rsid w:val="00DC1D80"/>
    <w:pPr>
      <w:spacing w:after="0" w:line="240" w:lineRule="auto"/>
      <w:jc w:val="lowKashida"/>
    </w:pPr>
    <w:rPr>
      <w:rFonts w:ascii="Times New Roman" w:eastAsia="Times New Roman" w:hAnsi="Times New Roman" w:cs="Simplified Arabic"/>
      <w:snapToGrid w:val="0"/>
      <w:sz w:val="20"/>
      <w:szCs w:val="20"/>
    </w:rPr>
  </w:style>
  <w:style w:type="character" w:customStyle="1" w:styleId="BodyTextChar">
    <w:name w:val="Body Text Char"/>
    <w:basedOn w:val="DefaultParagraphFont"/>
    <w:link w:val="BodyText"/>
    <w:semiHidden/>
    <w:rsid w:val="00DC1D80"/>
    <w:rPr>
      <w:rFonts w:ascii="Times New Roman" w:eastAsia="Times New Roman" w:hAnsi="Times New Roman" w:cs="Simplified Arabic"/>
      <w:snapToGrid w:val="0"/>
      <w:sz w:val="20"/>
      <w:szCs w:val="20"/>
    </w:rPr>
  </w:style>
  <w:style w:type="character" w:styleId="Hyperlink">
    <w:name w:val="Hyperlink"/>
    <w:basedOn w:val="DefaultParagraphFont"/>
    <w:uiPriority w:val="99"/>
    <w:unhideWhenUsed/>
    <w:rsid w:val="00DC1D80"/>
    <w:rPr>
      <w:color w:val="0000FF"/>
      <w:u w:val="single"/>
    </w:rPr>
  </w:style>
  <w:style w:type="paragraph" w:styleId="BalloonText">
    <w:name w:val="Balloon Text"/>
    <w:basedOn w:val="Normal"/>
    <w:link w:val="BalloonTextChar"/>
    <w:uiPriority w:val="99"/>
    <w:semiHidden/>
    <w:unhideWhenUsed/>
    <w:rsid w:val="00DC1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plotArea>
      <c:layout>
        <c:manualLayout>
          <c:layoutTarget val="inner"/>
          <c:xMode val="edge"/>
          <c:yMode val="edge"/>
          <c:x val="0.15148552667475707"/>
          <c:y val="3.2608695652173954E-2"/>
          <c:w val="0.85065561151145919"/>
          <c:h val="0.63509680855110584"/>
        </c:manualLayout>
      </c:layout>
      <c:lineChart>
        <c:grouping val="standard"/>
        <c:ser>
          <c:idx val="0"/>
          <c:order val="0"/>
          <c:marker>
            <c:symbol val="none"/>
          </c:marker>
          <c:dLbls>
            <c:dLbl>
              <c:idx val="0"/>
              <c:layout>
                <c:manualLayout>
                  <c:x val="-6.6906367886809884E-2"/>
                  <c:y val="4.3477119707862555E-2"/>
                </c:manualLayout>
              </c:layout>
              <c:spPr/>
              <c:txPr>
                <a:bodyPr/>
                <a:lstStyle/>
                <a:p>
                  <a:pPr>
                    <a:defRPr sz="899" b="0" i="0" u="none" strike="noStrike" baseline="0">
                      <a:solidFill>
                        <a:srgbClr val="000000"/>
                      </a:solidFill>
                      <a:latin typeface="Arial"/>
                      <a:ea typeface="Arial"/>
                      <a:cs typeface="Arial"/>
                    </a:defRPr>
                  </a:pPr>
                  <a:endParaRPr lang="ar-SA"/>
                </a:p>
              </c:txPr>
              <c:dLblPos val="r"/>
              <c:showVal val="1"/>
            </c:dLbl>
            <c:dLbl>
              <c:idx val="12"/>
              <c:layout>
                <c:manualLayout>
                  <c:x val="-3.7629704889039477E-7"/>
                  <c:y val="-3.8647723382403305E-2"/>
                </c:manualLayout>
              </c:layout>
              <c:spPr/>
              <c:txPr>
                <a:bodyPr/>
                <a:lstStyle/>
                <a:p>
                  <a:pPr>
                    <a:defRPr sz="899" b="0" i="0" u="none" strike="noStrike" baseline="0">
                      <a:solidFill>
                        <a:srgbClr val="000000"/>
                      </a:solidFill>
                      <a:latin typeface="Arial"/>
                      <a:ea typeface="Arial"/>
                      <a:cs typeface="Arial"/>
                    </a:defRPr>
                  </a:pPr>
                  <a:endParaRPr lang="ar-SA"/>
                </a:p>
              </c:txPr>
              <c:dLblPos val="r"/>
              <c:showVal val="1"/>
            </c:dLbl>
            <c:delete val="1"/>
          </c:dLbls>
          <c:cat>
            <c:strRef>
              <c:f>Sheet1!$A$5:$M$5</c:f>
              <c:strCache>
                <c:ptCount val="13"/>
                <c:pt idx="0">
                  <c:v>تشرين ثاني 2014</c:v>
                </c:pt>
                <c:pt idx="1">
                  <c:v>كانون أول 2014</c:v>
                </c:pt>
                <c:pt idx="2">
                  <c:v>كانون ثاني 2015</c:v>
                </c:pt>
                <c:pt idx="3">
                  <c:v>شباط 2015</c:v>
                </c:pt>
                <c:pt idx="4">
                  <c:v>آذار 2015</c:v>
                </c:pt>
                <c:pt idx="5">
                  <c:v>نيسان 2015</c:v>
                </c:pt>
                <c:pt idx="6">
                  <c:v>أيار 2015</c:v>
                </c:pt>
                <c:pt idx="7">
                  <c:v>حزيران 2015</c:v>
                </c:pt>
                <c:pt idx="8">
                  <c:v>تموز 2015</c:v>
                </c:pt>
                <c:pt idx="9">
                  <c:v>آب 2015</c:v>
                </c:pt>
                <c:pt idx="10">
                  <c:v>أيلول 2015</c:v>
                </c:pt>
                <c:pt idx="11">
                  <c:v>تشرين أول 2015</c:v>
                </c:pt>
                <c:pt idx="12">
                  <c:v>تشرين ثاني 2015</c:v>
                </c:pt>
              </c:strCache>
            </c:strRef>
          </c:cat>
          <c:val>
            <c:numRef>
              <c:f>Sheet1!$A$6:$M$6</c:f>
              <c:numCache>
                <c:formatCode>0.00</c:formatCode>
                <c:ptCount val="13"/>
                <c:pt idx="0">
                  <c:v>109.94785402643232</c:v>
                </c:pt>
                <c:pt idx="1">
                  <c:v>133.4</c:v>
                </c:pt>
                <c:pt idx="2">
                  <c:v>97.990000000000023</c:v>
                </c:pt>
                <c:pt idx="3">
                  <c:v>116.21000000000002</c:v>
                </c:pt>
                <c:pt idx="4">
                  <c:v>94.86</c:v>
                </c:pt>
                <c:pt idx="5">
                  <c:v>99.82</c:v>
                </c:pt>
                <c:pt idx="6">
                  <c:v>108.33</c:v>
                </c:pt>
                <c:pt idx="7">
                  <c:v>115.14999999999999</c:v>
                </c:pt>
                <c:pt idx="8">
                  <c:v>104.48</c:v>
                </c:pt>
                <c:pt idx="9">
                  <c:v>114.82</c:v>
                </c:pt>
                <c:pt idx="10">
                  <c:v>101.97</c:v>
                </c:pt>
                <c:pt idx="11">
                  <c:v>105.66999999999999</c:v>
                </c:pt>
                <c:pt idx="12">
                  <c:v>109.64</c:v>
                </c:pt>
              </c:numCache>
            </c:numRef>
          </c:val>
        </c:ser>
        <c:marker val="1"/>
        <c:axId val="88090112"/>
        <c:axId val="88091648"/>
      </c:lineChart>
      <c:catAx>
        <c:axId val="88090112"/>
        <c:scaling>
          <c:orientation val="minMax"/>
        </c:scaling>
        <c:axPos val="b"/>
        <c:numFmt formatCode="General" sourceLinked="1"/>
        <c:tickLblPos val="nextTo"/>
        <c:txPr>
          <a:bodyPr rot="-5400000" vert="horz"/>
          <a:lstStyle/>
          <a:p>
            <a:pPr>
              <a:defRPr sz="849" b="0" i="0" u="none" strike="noStrike" baseline="0">
                <a:solidFill>
                  <a:srgbClr val="000000"/>
                </a:solidFill>
                <a:latin typeface="Arial"/>
                <a:ea typeface="Arial"/>
                <a:cs typeface="Arial"/>
              </a:defRPr>
            </a:pPr>
            <a:endParaRPr lang="ar-SA"/>
          </a:p>
        </c:txPr>
        <c:crossAx val="88091648"/>
        <c:crossesAt val="90"/>
        <c:auto val="1"/>
        <c:lblAlgn val="ctr"/>
        <c:lblOffset val="100"/>
      </c:catAx>
      <c:valAx>
        <c:axId val="88091648"/>
        <c:scaling>
          <c:orientation val="minMax"/>
          <c:max val="135"/>
          <c:min val="90"/>
        </c:scaling>
        <c:axPos val="l"/>
        <c:numFmt formatCode="0" sourceLinked="0"/>
        <c:tickLblPos val="nextTo"/>
        <c:txPr>
          <a:bodyPr rot="0" vert="horz"/>
          <a:lstStyle/>
          <a:p>
            <a:pPr>
              <a:defRPr sz="999" b="0" i="0" u="none" strike="noStrike" baseline="0">
                <a:solidFill>
                  <a:srgbClr val="000000"/>
                </a:solidFill>
                <a:latin typeface="Arial"/>
                <a:ea typeface="Arial"/>
                <a:cs typeface="Arial"/>
              </a:defRPr>
            </a:pPr>
            <a:endParaRPr lang="ar-SA"/>
          </a:p>
        </c:txPr>
        <c:crossAx val="88090112"/>
        <c:crosses val="autoZero"/>
        <c:crossBetween val="between"/>
        <c:majorUnit val="5"/>
        <c:minorUnit val="1"/>
      </c:valAx>
    </c:plotArea>
    <c:plotVisOnly val="1"/>
    <c:dispBlanksAs val="gap"/>
  </c:chart>
  <c:txPr>
    <a:bodyPr/>
    <a:lstStyle/>
    <a:p>
      <a:pPr>
        <a:defRPr sz="999" b="0" i="0" u="none" strike="noStrike" baseline="0">
          <a:solidFill>
            <a:srgbClr val="000000"/>
          </a:solidFill>
          <a:latin typeface="Arial"/>
          <a:ea typeface="Arial"/>
          <a:cs typeface="Arial"/>
        </a:defRPr>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hbadran</dc:creator>
  <cp:keywords/>
  <dc:description/>
  <cp:lastModifiedBy>LOAYS</cp:lastModifiedBy>
  <cp:revision>3</cp:revision>
  <cp:lastPrinted>2016-01-04T07:19:00Z</cp:lastPrinted>
  <dcterms:created xsi:type="dcterms:W3CDTF">2016-01-04T07:20:00Z</dcterms:created>
  <dcterms:modified xsi:type="dcterms:W3CDTF">2016-01-04T07:56:00Z</dcterms:modified>
</cp:coreProperties>
</file>