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71C" w:rsidRPr="00B6271C" w:rsidRDefault="00B6271C" w:rsidP="00B6271C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OLE_LINK3"/>
      <w:bookmarkStart w:id="1" w:name="OLE_LINK4"/>
      <w:r w:rsidRPr="00B6271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الاحصاء الفلسطيني يعلن الرقم القياسي لكميات الانتاج الصناعي </w:t>
      </w:r>
    </w:p>
    <w:p w:rsidR="00B6271C" w:rsidRPr="00B6271C" w:rsidRDefault="00B6271C" w:rsidP="00B6271C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B6271C">
        <w:rPr>
          <w:rFonts w:ascii="Simplified Arabic" w:hAnsi="Simplified Arabic" w:cs="Simplified Arabic"/>
          <w:b/>
          <w:bCs/>
          <w:sz w:val="32"/>
          <w:szCs w:val="32"/>
          <w:rtl/>
        </w:rPr>
        <w:t>للعام 2023 ولشهر كانون أول، 12/2023</w:t>
      </w:r>
    </w:p>
    <w:p w:rsidR="00B6271C" w:rsidRPr="00B6271C" w:rsidRDefault="00B6271C" w:rsidP="00B6271C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A6329B" w:rsidRPr="00B6271C" w:rsidRDefault="00B6271C" w:rsidP="00B6271C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627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E6C17" w:rsidRPr="00B6271C">
        <w:rPr>
          <w:rFonts w:ascii="Simplified Arabic" w:hAnsi="Simplified Arabic" w:cs="Simplified Arabic"/>
          <w:b/>
          <w:bCs/>
          <w:sz w:val="28"/>
          <w:szCs w:val="28"/>
          <w:rtl/>
        </w:rPr>
        <w:t>انخفاض حاد في</w:t>
      </w:r>
      <w:r w:rsidR="00A6329B" w:rsidRPr="00B627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مؤشر الرقم القياسي لكميات الإنتاج الصناعي في فلسطين خلال العام </w:t>
      </w:r>
      <w:r w:rsidR="00416BA7" w:rsidRPr="00B6271C">
        <w:rPr>
          <w:rFonts w:ascii="Simplified Arabic" w:hAnsi="Simplified Arabic" w:cs="Simplified Arabic"/>
          <w:b/>
          <w:bCs/>
          <w:sz w:val="28"/>
          <w:szCs w:val="28"/>
          <w:rtl/>
        </w:rPr>
        <w:t>2023</w:t>
      </w:r>
    </w:p>
    <w:p w:rsidR="00A6329B" w:rsidRPr="00B6271C" w:rsidRDefault="00A6329B" w:rsidP="00B6271C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 الرقم القياسي</w:t>
      </w:r>
      <w:r w:rsidRPr="00B6271C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لكميات الإنتاج الصناعي </w:t>
      </w:r>
      <w:r w:rsidR="001E6C17" w:rsidRPr="00B6271C">
        <w:rPr>
          <w:rFonts w:ascii="Simplified Arabic" w:hAnsi="Simplified Arabic" w:cs="Simplified Arabic"/>
          <w:sz w:val="26"/>
          <w:szCs w:val="26"/>
          <w:u w:val="none"/>
          <w:rtl/>
        </w:rPr>
        <w:t>انخفاضاً حاداً</w:t>
      </w:r>
      <w:r w:rsidRPr="00B6271C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</w:t>
      </w:r>
      <w:r w:rsidR="001E6C17" w:rsidRPr="00B6271C">
        <w:rPr>
          <w:rFonts w:ascii="Simplified Arabic" w:hAnsi="Simplified Arabic" w:cs="Simplified Arabic"/>
          <w:sz w:val="26"/>
          <w:szCs w:val="26"/>
          <w:u w:val="none"/>
          <w:rtl/>
        </w:rPr>
        <w:t>مقداره</w:t>
      </w:r>
      <w:r w:rsidRPr="00B6271C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</w:t>
      </w:r>
      <w:r w:rsidR="001E6C17" w:rsidRPr="00B6271C">
        <w:rPr>
          <w:rFonts w:ascii="Simplified Arabic" w:hAnsi="Simplified Arabic" w:cs="Simplified Arabic"/>
          <w:sz w:val="26"/>
          <w:szCs w:val="26"/>
          <w:u w:val="none"/>
          <w:rtl/>
        </w:rPr>
        <w:t>8.01</w:t>
      </w:r>
      <w:r w:rsidRPr="00B6271C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% خلال العام </w:t>
      </w:r>
      <w:r w:rsidR="00416BA7" w:rsidRPr="00B6271C">
        <w:rPr>
          <w:rFonts w:ascii="Simplified Arabic" w:hAnsi="Simplified Arabic" w:cs="Simplified Arabic"/>
          <w:sz w:val="26"/>
          <w:szCs w:val="26"/>
          <w:u w:val="none"/>
          <w:rtl/>
        </w:rPr>
        <w:t>2023</w:t>
      </w:r>
      <w:r w:rsidRPr="00B6271C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مقارنة بالعام </w:t>
      </w:r>
      <w:r w:rsidR="00416BA7" w:rsidRPr="00B6271C">
        <w:rPr>
          <w:rFonts w:ascii="Simplified Arabic" w:hAnsi="Simplified Arabic" w:cs="Simplified Arabic"/>
          <w:sz w:val="26"/>
          <w:szCs w:val="26"/>
          <w:u w:val="none"/>
          <w:rtl/>
        </w:rPr>
        <w:t>2022</w:t>
      </w: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، حيث بلغ الرقم القياسي العام لكميات الإنتاج الصناعي </w:t>
      </w:r>
      <w:r w:rsidR="001E6C17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99.81</w:t>
      </w: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العام 202</w:t>
      </w:r>
      <w:r w:rsidR="00416BA7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3</w:t>
      </w: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بـ </w:t>
      </w:r>
      <w:r w:rsidR="001E6C17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108.50</w:t>
      </w: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العام 202</w:t>
      </w:r>
      <w:r w:rsidR="00416BA7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2</w:t>
      </w:r>
      <w:r w:rsidR="00B6271C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(سنة الأساس 2019 = 100).</w:t>
      </w:r>
    </w:p>
    <w:p w:rsidR="00A6329B" w:rsidRPr="00B6271C" w:rsidRDefault="00A6329B" w:rsidP="00B6271C">
      <w:pPr>
        <w:pStyle w:val="Title"/>
        <w:jc w:val="left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A6329B" w:rsidRPr="00B6271C" w:rsidRDefault="00A6329B" w:rsidP="00B6271C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B6271C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  <w:lang w:val="en-US" w:eastAsia="ar-SA"/>
        </w:rPr>
        <w:t>على مستوى الأنشطة الرئيسية المكونة للمؤشر سجلت</w:t>
      </w: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B6271C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  <w:lang w:val="en-US" w:eastAsia="ar-SA"/>
        </w:rPr>
        <w:t>أنش</w:t>
      </w: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طة </w:t>
      </w:r>
      <w:r w:rsidR="00B06D00" w:rsidRPr="00B6271C">
        <w:rPr>
          <w:rFonts w:ascii="Simplified Arabic" w:hAnsi="Simplified Arabic" w:cs="Simplified Arabic"/>
          <w:sz w:val="26"/>
          <w:szCs w:val="26"/>
          <w:u w:val="none"/>
          <w:rtl/>
        </w:rPr>
        <w:t>إمدادات المياه وأنشطة الصرف الصحي وإدارة النفايات ومعالجتها</w:t>
      </w:r>
      <w:r w:rsidR="00B06D00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انخفاضاً </w:t>
      </w:r>
      <w:r w:rsidR="00C75432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حاداً </w:t>
      </w:r>
      <w:r w:rsidR="00B06D00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مقداره 16.29%،</w:t>
      </w:r>
      <w:r w:rsidR="00B06D00" w:rsidRPr="00B6271C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</w:t>
      </w:r>
      <w:r w:rsidR="00B06D00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وأنشطة </w:t>
      </w:r>
      <w:r w:rsidR="00B06D00" w:rsidRPr="00B6271C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الصناعات التحويلية </w:t>
      </w:r>
      <w:r w:rsidR="00B06D00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انخفاضاً </w:t>
      </w:r>
      <w:r w:rsidR="00C75432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حاداً </w:t>
      </w:r>
      <w:r w:rsidR="00B06D00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مقداره 8.91%، </w:t>
      </w:r>
      <w:r w:rsidR="00C75432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في حين سجلت</w:t>
      </w:r>
      <w:r w:rsidR="00597279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="00597279" w:rsidRPr="00B6271C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التعدين واستغلال المحاجر </w:t>
      </w:r>
      <w:r w:rsidR="00597279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ارتفاعاً نسبته 3.74%، و</w:t>
      </w:r>
      <w:r w:rsidR="00C75432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انشطة </w:t>
      </w:r>
      <w:r w:rsidRPr="00B6271C">
        <w:rPr>
          <w:rFonts w:ascii="Simplified Arabic" w:hAnsi="Simplified Arabic" w:cs="Simplified Arabic"/>
          <w:sz w:val="26"/>
          <w:szCs w:val="26"/>
          <w:u w:val="none"/>
          <w:rtl/>
        </w:rPr>
        <w:t>إمدادات الكهرباء والغاز والبخار وتكييف الهواء</w:t>
      </w: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ارتفاعاً نسبته </w:t>
      </w:r>
      <w:r w:rsidR="00B06D00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0.48</w:t>
      </w: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</w:t>
      </w:r>
      <w:r w:rsidR="00597279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.</w:t>
      </w: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</w:p>
    <w:p w:rsidR="00A6329B" w:rsidRPr="00B6271C" w:rsidRDefault="00A6329B" w:rsidP="00B6271C">
      <w:pPr>
        <w:pStyle w:val="Header"/>
        <w:tabs>
          <w:tab w:val="left" w:pos="5925"/>
        </w:tabs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EE7354" w:rsidRDefault="00A6329B" w:rsidP="00B6271C">
      <w:pPr>
        <w:pStyle w:val="Header"/>
        <w:tabs>
          <w:tab w:val="center" w:pos="4677"/>
        </w:tabs>
        <w:ind w:left="-1"/>
        <w:jc w:val="center"/>
        <w:rPr>
          <w:rFonts w:ascii="Simplified Arabic" w:hAnsi="Simplified Arabic" w:cs="Simplified Arabic"/>
          <w:b/>
          <w:bCs/>
          <w:snapToGrid/>
          <w:sz w:val="28"/>
          <w:szCs w:val="28"/>
          <w:rtl/>
          <w:lang w:val="en-US" w:eastAsia="ar-SA"/>
        </w:rPr>
      </w:pPr>
      <w:r w:rsidRPr="00B6271C">
        <w:rPr>
          <w:rFonts w:ascii="Simplified Arabic" w:hAnsi="Simplified Arabic" w:cs="Simplified Arabic"/>
          <w:b/>
          <w:bCs/>
          <w:snapToGrid/>
          <w:sz w:val="28"/>
          <w:szCs w:val="28"/>
          <w:rtl/>
          <w:lang w:val="en-US" w:eastAsia="ar-SA"/>
        </w:rPr>
        <w:t xml:space="preserve">الجدول أدناه يوضح نسب التغّير السنوية في الرقم القياسي لكميات الإنتاج الصناعي في فلسطين </w:t>
      </w:r>
    </w:p>
    <w:p w:rsidR="00B6271C" w:rsidRPr="00B6271C" w:rsidRDefault="00EE7354" w:rsidP="00EE7354">
      <w:pPr>
        <w:pStyle w:val="Header"/>
        <w:tabs>
          <w:tab w:val="center" w:pos="4677"/>
        </w:tabs>
        <w:ind w:left="-1"/>
        <w:jc w:val="center"/>
        <w:rPr>
          <w:rFonts w:ascii="Simplified Arabic" w:hAnsi="Simplified Arabic" w:cs="Simplified Arabic"/>
          <w:b/>
          <w:bCs/>
          <w:snapToGrid/>
          <w:sz w:val="28"/>
          <w:szCs w:val="28"/>
          <w:rtl/>
          <w:lang w:val="en-US" w:eastAsia="ar-SA"/>
        </w:rPr>
      </w:pPr>
      <w:r>
        <w:rPr>
          <w:rFonts w:ascii="Simplified Arabic" w:hAnsi="Simplified Arabic" w:cs="Simplified Arabic"/>
          <w:b/>
          <w:bCs/>
          <w:snapToGrid/>
          <w:sz w:val="28"/>
          <w:szCs w:val="28"/>
          <w:rtl/>
          <w:lang w:val="en-US" w:eastAsia="ar-SA"/>
        </w:rPr>
        <w:t>للسنوات</w:t>
      </w:r>
      <w:r>
        <w:rPr>
          <w:rFonts w:ascii="Simplified Arabic" w:hAnsi="Simplified Arabic" w:cs="Simplified Arabic" w:hint="cs"/>
          <w:b/>
          <w:bCs/>
          <w:snapToGrid/>
          <w:sz w:val="28"/>
          <w:szCs w:val="28"/>
          <w:rtl/>
          <w:lang w:val="en-US" w:eastAsia="ar-SA"/>
        </w:rPr>
        <w:t>:</w:t>
      </w:r>
      <w:r w:rsidRPr="00EE7354">
        <w:rPr>
          <w:rFonts w:ascii="Simplified Arabic" w:hAnsi="Simplified Arabic" w:cs="Simplified Arabic"/>
          <w:b/>
          <w:bCs/>
          <w:snapToGrid/>
          <w:sz w:val="28"/>
          <w:szCs w:val="28"/>
          <w:rtl/>
          <w:lang w:val="en-US" w:eastAsia="ar-SA"/>
        </w:rPr>
        <w:t xml:space="preserve"> </w:t>
      </w:r>
      <w:r w:rsidRPr="00B6271C">
        <w:rPr>
          <w:rFonts w:ascii="Simplified Arabic" w:hAnsi="Simplified Arabic" w:cs="Simplified Arabic"/>
          <w:b/>
          <w:bCs/>
          <w:snapToGrid/>
          <w:sz w:val="28"/>
          <w:szCs w:val="28"/>
          <w:rtl/>
          <w:lang w:val="en-US" w:eastAsia="ar-SA"/>
        </w:rPr>
        <w:t>20</w:t>
      </w:r>
      <w:bookmarkStart w:id="2" w:name="_GoBack"/>
      <w:bookmarkEnd w:id="2"/>
      <w:r w:rsidRPr="00B6271C">
        <w:rPr>
          <w:rFonts w:ascii="Simplified Arabic" w:hAnsi="Simplified Arabic" w:cs="Simplified Arabic"/>
          <w:b/>
          <w:bCs/>
          <w:snapToGrid/>
          <w:sz w:val="28"/>
          <w:szCs w:val="28"/>
          <w:rtl/>
          <w:lang w:val="en-US" w:eastAsia="ar-SA"/>
        </w:rPr>
        <w:t xml:space="preserve">12 – </w:t>
      </w:r>
      <w:r w:rsidRPr="00B6271C">
        <w:rPr>
          <w:rFonts w:ascii="Simplified Arabic" w:hAnsi="Simplified Arabic" w:cs="Simplified Arabic"/>
          <w:b/>
          <w:bCs/>
          <w:snapToGrid/>
          <w:sz w:val="28"/>
          <w:szCs w:val="28"/>
          <w:lang w:val="en-US" w:eastAsia="ar-SA"/>
        </w:rPr>
        <w:t>2023</w:t>
      </w:r>
    </w:p>
    <w:p w:rsidR="00A6329B" w:rsidRPr="00B6271C" w:rsidRDefault="00A6329B" w:rsidP="00B6271C">
      <w:pPr>
        <w:pStyle w:val="Header"/>
        <w:tabs>
          <w:tab w:val="center" w:pos="4677"/>
        </w:tabs>
        <w:ind w:left="-1"/>
        <w:jc w:val="both"/>
        <w:rPr>
          <w:rFonts w:ascii="Simplified Arabic" w:hAnsi="Simplified Arabic" w:cs="Simplified Arabic"/>
          <w:sz w:val="8"/>
          <w:szCs w:val="8"/>
          <w:rtl/>
          <w:lang w:eastAsia="ar-SA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3412"/>
      </w:tblGrid>
      <w:tr w:rsidR="00A6329B" w:rsidRPr="00B6271C" w:rsidTr="00B6271C">
        <w:trPr>
          <w:trHeight w:val="378"/>
          <w:tblHeader/>
          <w:jc w:val="center"/>
        </w:trPr>
        <w:tc>
          <w:tcPr>
            <w:tcW w:w="2423" w:type="dxa"/>
            <w:vAlign w:val="center"/>
          </w:tcPr>
          <w:p w:rsidR="00A6329B" w:rsidRPr="00B6271C" w:rsidRDefault="00A6329B" w:rsidP="00B6271C">
            <w:pPr>
              <w:pStyle w:val="Header"/>
              <w:ind w:right="-18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ar-SA"/>
              </w:rPr>
            </w:pPr>
            <w:r w:rsidRPr="00B6271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eastAsia="ar-SA"/>
              </w:rPr>
              <w:t>السنة</w:t>
            </w:r>
          </w:p>
        </w:tc>
        <w:tc>
          <w:tcPr>
            <w:tcW w:w="3412" w:type="dxa"/>
            <w:vAlign w:val="center"/>
          </w:tcPr>
          <w:p w:rsidR="00A6329B" w:rsidRPr="00B6271C" w:rsidRDefault="00A6329B" w:rsidP="00B6271C">
            <w:pPr>
              <w:pStyle w:val="Header"/>
              <w:ind w:right="35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eastAsia="ar-SA"/>
              </w:rPr>
            </w:pPr>
            <w:r w:rsidRPr="00B6271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eastAsia="ar-SA"/>
              </w:rPr>
              <w:t>نسب التغير %</w:t>
            </w:r>
          </w:p>
        </w:tc>
      </w:tr>
      <w:tr w:rsidR="00A6329B" w:rsidRPr="00B6271C" w:rsidTr="00B6271C">
        <w:trPr>
          <w:trHeight w:hRule="exact" w:val="342"/>
          <w:jc w:val="center"/>
        </w:trPr>
        <w:tc>
          <w:tcPr>
            <w:tcW w:w="2423" w:type="dxa"/>
            <w:vAlign w:val="center"/>
          </w:tcPr>
          <w:p w:rsidR="00A6329B" w:rsidRPr="00B6271C" w:rsidRDefault="00A6329B" w:rsidP="00B6271C">
            <w:pPr>
              <w:pStyle w:val="Header"/>
              <w:ind w:right="34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</w:pPr>
            <w:r w:rsidRPr="00B6271C"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  <w:t>2012</w:t>
            </w:r>
          </w:p>
        </w:tc>
        <w:tc>
          <w:tcPr>
            <w:tcW w:w="3412" w:type="dxa"/>
            <w:vAlign w:val="center"/>
          </w:tcPr>
          <w:p w:rsidR="00A6329B" w:rsidRPr="00B6271C" w:rsidRDefault="00A6329B" w:rsidP="00B6271C">
            <w:pPr>
              <w:pStyle w:val="Header"/>
              <w:ind w:right="28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</w:pPr>
            <w:r w:rsidRPr="00B6271C"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  <w:t>+ 6.39</w:t>
            </w:r>
          </w:p>
        </w:tc>
      </w:tr>
      <w:tr w:rsidR="00A6329B" w:rsidRPr="00B6271C" w:rsidTr="00B6271C">
        <w:trPr>
          <w:trHeight w:hRule="exact" w:val="342"/>
          <w:jc w:val="center"/>
        </w:trPr>
        <w:tc>
          <w:tcPr>
            <w:tcW w:w="2423" w:type="dxa"/>
            <w:vAlign w:val="center"/>
          </w:tcPr>
          <w:p w:rsidR="00A6329B" w:rsidRPr="00B6271C" w:rsidRDefault="00A6329B" w:rsidP="00B6271C">
            <w:pPr>
              <w:pStyle w:val="Header"/>
              <w:ind w:right="34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</w:pPr>
            <w:r w:rsidRPr="00B6271C">
              <w:rPr>
                <w:rFonts w:ascii="Simplified Arabic" w:hAnsi="Simplified Arabic" w:cs="Simplified Arabic"/>
                <w:sz w:val="24"/>
                <w:szCs w:val="24"/>
                <w:lang w:eastAsia="ar-SA"/>
              </w:rPr>
              <w:t>2013</w:t>
            </w:r>
          </w:p>
        </w:tc>
        <w:tc>
          <w:tcPr>
            <w:tcW w:w="3412" w:type="dxa"/>
            <w:vAlign w:val="center"/>
          </w:tcPr>
          <w:p w:rsidR="00A6329B" w:rsidRPr="00B6271C" w:rsidRDefault="00A6329B" w:rsidP="00B6271C">
            <w:pPr>
              <w:pStyle w:val="Header"/>
              <w:ind w:right="28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</w:pPr>
            <w:r w:rsidRPr="00B6271C"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  <w:t>+ 7.82</w:t>
            </w:r>
          </w:p>
        </w:tc>
      </w:tr>
      <w:tr w:rsidR="00A6329B" w:rsidRPr="00B6271C" w:rsidTr="00B6271C">
        <w:trPr>
          <w:trHeight w:hRule="exact" w:val="342"/>
          <w:jc w:val="center"/>
        </w:trPr>
        <w:tc>
          <w:tcPr>
            <w:tcW w:w="2423" w:type="dxa"/>
            <w:vAlign w:val="center"/>
          </w:tcPr>
          <w:p w:rsidR="00A6329B" w:rsidRPr="00B6271C" w:rsidRDefault="00A6329B" w:rsidP="00B6271C">
            <w:pPr>
              <w:pStyle w:val="Header"/>
              <w:ind w:right="34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</w:pPr>
            <w:r w:rsidRPr="00B6271C">
              <w:rPr>
                <w:rFonts w:ascii="Simplified Arabic" w:hAnsi="Simplified Arabic" w:cs="Simplified Arabic"/>
                <w:sz w:val="24"/>
                <w:szCs w:val="24"/>
                <w:lang w:eastAsia="ar-SA"/>
              </w:rPr>
              <w:t>2014</w:t>
            </w:r>
          </w:p>
        </w:tc>
        <w:tc>
          <w:tcPr>
            <w:tcW w:w="3412" w:type="dxa"/>
            <w:vAlign w:val="center"/>
          </w:tcPr>
          <w:p w:rsidR="00A6329B" w:rsidRPr="00B6271C" w:rsidRDefault="00A6329B" w:rsidP="00B6271C">
            <w:pPr>
              <w:pStyle w:val="Header"/>
              <w:ind w:right="28"/>
              <w:jc w:val="center"/>
              <w:rPr>
                <w:rFonts w:ascii="Simplified Arabic" w:hAnsi="Simplified Arabic" w:cs="Simplified Arabic"/>
                <w:sz w:val="24"/>
                <w:szCs w:val="24"/>
                <w:lang w:eastAsia="ar-SA"/>
              </w:rPr>
            </w:pPr>
            <w:r w:rsidRPr="00B6271C"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  <w:t>- 3.92</w:t>
            </w:r>
          </w:p>
        </w:tc>
      </w:tr>
      <w:tr w:rsidR="00A6329B" w:rsidRPr="00B6271C" w:rsidTr="00B6271C">
        <w:trPr>
          <w:trHeight w:hRule="exact" w:val="342"/>
          <w:jc w:val="center"/>
        </w:trPr>
        <w:tc>
          <w:tcPr>
            <w:tcW w:w="2423" w:type="dxa"/>
            <w:vAlign w:val="center"/>
          </w:tcPr>
          <w:p w:rsidR="00A6329B" w:rsidRPr="00B6271C" w:rsidRDefault="00A6329B" w:rsidP="00B6271C">
            <w:pPr>
              <w:pStyle w:val="Header"/>
              <w:ind w:right="34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</w:pPr>
            <w:r w:rsidRPr="00B6271C">
              <w:rPr>
                <w:rFonts w:ascii="Simplified Arabic" w:hAnsi="Simplified Arabic" w:cs="Simplified Arabic"/>
                <w:sz w:val="24"/>
                <w:szCs w:val="24"/>
                <w:lang w:eastAsia="ar-SA"/>
              </w:rPr>
              <w:t>2015</w:t>
            </w:r>
          </w:p>
        </w:tc>
        <w:tc>
          <w:tcPr>
            <w:tcW w:w="3412" w:type="dxa"/>
            <w:vAlign w:val="center"/>
          </w:tcPr>
          <w:p w:rsidR="00A6329B" w:rsidRPr="00B6271C" w:rsidRDefault="00A6329B" w:rsidP="00B6271C">
            <w:pPr>
              <w:pStyle w:val="Header"/>
              <w:ind w:right="28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</w:pPr>
            <w:r w:rsidRPr="00B6271C"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  <w:t>- 3.80</w:t>
            </w:r>
          </w:p>
        </w:tc>
      </w:tr>
      <w:tr w:rsidR="00A6329B" w:rsidRPr="00B6271C" w:rsidTr="00B6271C">
        <w:trPr>
          <w:trHeight w:hRule="exact" w:val="342"/>
          <w:jc w:val="center"/>
        </w:trPr>
        <w:tc>
          <w:tcPr>
            <w:tcW w:w="2423" w:type="dxa"/>
            <w:vAlign w:val="center"/>
          </w:tcPr>
          <w:p w:rsidR="00A6329B" w:rsidRPr="00B6271C" w:rsidRDefault="00A6329B" w:rsidP="00B6271C">
            <w:pPr>
              <w:pStyle w:val="Header"/>
              <w:ind w:right="34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</w:pPr>
            <w:r w:rsidRPr="00B6271C">
              <w:rPr>
                <w:rFonts w:ascii="Simplified Arabic" w:hAnsi="Simplified Arabic" w:cs="Simplified Arabic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3412" w:type="dxa"/>
            <w:vAlign w:val="center"/>
          </w:tcPr>
          <w:p w:rsidR="00A6329B" w:rsidRPr="00B6271C" w:rsidRDefault="00A6329B" w:rsidP="00B6271C">
            <w:pPr>
              <w:pStyle w:val="Header"/>
              <w:ind w:right="28"/>
              <w:jc w:val="center"/>
              <w:rPr>
                <w:rFonts w:ascii="Simplified Arabic" w:hAnsi="Simplified Arabic" w:cs="Simplified Arabic"/>
                <w:sz w:val="24"/>
                <w:szCs w:val="24"/>
                <w:lang w:eastAsia="ar-SA"/>
              </w:rPr>
            </w:pPr>
            <w:r w:rsidRPr="00B6271C"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  <w:t>+ 0.96</w:t>
            </w:r>
          </w:p>
        </w:tc>
      </w:tr>
      <w:tr w:rsidR="00A6329B" w:rsidRPr="00B6271C" w:rsidTr="00B6271C">
        <w:trPr>
          <w:trHeight w:hRule="exact" w:val="342"/>
          <w:jc w:val="center"/>
        </w:trPr>
        <w:tc>
          <w:tcPr>
            <w:tcW w:w="2423" w:type="dxa"/>
            <w:vAlign w:val="center"/>
          </w:tcPr>
          <w:p w:rsidR="00A6329B" w:rsidRPr="00B6271C" w:rsidRDefault="00A6329B" w:rsidP="00B6271C">
            <w:pPr>
              <w:pStyle w:val="Header"/>
              <w:ind w:right="34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</w:pPr>
            <w:r w:rsidRPr="00B6271C">
              <w:rPr>
                <w:rFonts w:ascii="Simplified Arabic" w:hAnsi="Simplified Arabic" w:cs="Simplified Arabic"/>
                <w:sz w:val="24"/>
                <w:szCs w:val="24"/>
                <w:lang w:eastAsia="ar-SA"/>
              </w:rPr>
              <w:t>2017</w:t>
            </w:r>
          </w:p>
        </w:tc>
        <w:tc>
          <w:tcPr>
            <w:tcW w:w="3412" w:type="dxa"/>
            <w:vAlign w:val="center"/>
          </w:tcPr>
          <w:p w:rsidR="00A6329B" w:rsidRPr="00B6271C" w:rsidRDefault="00A6329B" w:rsidP="00B6271C">
            <w:pPr>
              <w:pStyle w:val="Header"/>
              <w:ind w:right="28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</w:pPr>
            <w:r w:rsidRPr="00B6271C"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  <w:t>+ 4.11</w:t>
            </w:r>
          </w:p>
        </w:tc>
      </w:tr>
      <w:tr w:rsidR="00A6329B" w:rsidRPr="00B6271C" w:rsidTr="00B6271C">
        <w:trPr>
          <w:trHeight w:hRule="exact" w:val="342"/>
          <w:jc w:val="center"/>
        </w:trPr>
        <w:tc>
          <w:tcPr>
            <w:tcW w:w="2423" w:type="dxa"/>
            <w:vAlign w:val="center"/>
          </w:tcPr>
          <w:p w:rsidR="00A6329B" w:rsidRPr="00B6271C" w:rsidRDefault="00A6329B" w:rsidP="00B6271C">
            <w:pPr>
              <w:pStyle w:val="Header"/>
              <w:ind w:right="34"/>
              <w:jc w:val="center"/>
              <w:rPr>
                <w:rFonts w:ascii="Simplified Arabic" w:hAnsi="Simplified Arabic" w:cs="Simplified Arabic"/>
                <w:sz w:val="24"/>
                <w:szCs w:val="24"/>
                <w:lang w:eastAsia="ar-SA"/>
              </w:rPr>
            </w:pPr>
            <w:r w:rsidRPr="00B6271C"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  <w:t>2018</w:t>
            </w:r>
          </w:p>
        </w:tc>
        <w:tc>
          <w:tcPr>
            <w:tcW w:w="3412" w:type="dxa"/>
            <w:vAlign w:val="center"/>
          </w:tcPr>
          <w:p w:rsidR="00A6329B" w:rsidRPr="00B6271C" w:rsidRDefault="00A6329B" w:rsidP="00B6271C">
            <w:pPr>
              <w:pStyle w:val="Header"/>
              <w:ind w:right="28"/>
              <w:jc w:val="center"/>
              <w:rPr>
                <w:rFonts w:ascii="Simplified Arabic" w:hAnsi="Simplified Arabic" w:cs="Simplified Arabic"/>
                <w:sz w:val="24"/>
                <w:szCs w:val="24"/>
                <w:lang w:eastAsia="ar-SA"/>
              </w:rPr>
            </w:pPr>
            <w:r w:rsidRPr="00B6271C"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  <w:t>- 3.94</w:t>
            </w:r>
          </w:p>
        </w:tc>
      </w:tr>
      <w:tr w:rsidR="00A6329B" w:rsidRPr="00B6271C" w:rsidTr="00B6271C">
        <w:trPr>
          <w:trHeight w:hRule="exact" w:val="342"/>
          <w:jc w:val="center"/>
        </w:trPr>
        <w:tc>
          <w:tcPr>
            <w:tcW w:w="2423" w:type="dxa"/>
            <w:vAlign w:val="center"/>
          </w:tcPr>
          <w:p w:rsidR="00A6329B" w:rsidRPr="00B6271C" w:rsidRDefault="00A6329B" w:rsidP="00B6271C">
            <w:pPr>
              <w:pStyle w:val="Header"/>
              <w:ind w:right="34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</w:pPr>
            <w:r w:rsidRPr="00B6271C"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  <w:t>2019</w:t>
            </w:r>
          </w:p>
        </w:tc>
        <w:tc>
          <w:tcPr>
            <w:tcW w:w="3412" w:type="dxa"/>
            <w:vAlign w:val="center"/>
          </w:tcPr>
          <w:p w:rsidR="00A6329B" w:rsidRPr="00B6271C" w:rsidRDefault="00A6329B" w:rsidP="00B6271C">
            <w:pPr>
              <w:pStyle w:val="Header"/>
              <w:ind w:right="28"/>
              <w:jc w:val="center"/>
              <w:rPr>
                <w:rFonts w:ascii="Simplified Arabic" w:hAnsi="Simplified Arabic" w:cs="Simplified Arabic"/>
                <w:sz w:val="24"/>
                <w:szCs w:val="24"/>
                <w:lang w:val="en-US" w:eastAsia="ar-SA"/>
              </w:rPr>
            </w:pPr>
            <w:r w:rsidRPr="00B6271C"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  <w:t>+ 3.86</w:t>
            </w:r>
          </w:p>
        </w:tc>
      </w:tr>
      <w:tr w:rsidR="00A6329B" w:rsidRPr="00B6271C" w:rsidTr="00B6271C">
        <w:trPr>
          <w:trHeight w:hRule="exact" w:val="342"/>
          <w:jc w:val="center"/>
        </w:trPr>
        <w:tc>
          <w:tcPr>
            <w:tcW w:w="2423" w:type="dxa"/>
            <w:vAlign w:val="center"/>
          </w:tcPr>
          <w:p w:rsidR="00A6329B" w:rsidRPr="00B6271C" w:rsidRDefault="00A6329B" w:rsidP="00B6271C">
            <w:pPr>
              <w:pStyle w:val="Header"/>
              <w:ind w:right="34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eastAsia="ar-SA"/>
              </w:rPr>
            </w:pPr>
            <w:r w:rsidRPr="00B6271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eastAsia="ar-SA"/>
              </w:rPr>
              <w:t>2020</w:t>
            </w:r>
          </w:p>
        </w:tc>
        <w:tc>
          <w:tcPr>
            <w:tcW w:w="3412" w:type="dxa"/>
            <w:vAlign w:val="center"/>
          </w:tcPr>
          <w:p w:rsidR="00A6329B" w:rsidRPr="00B6271C" w:rsidRDefault="00A6329B" w:rsidP="00B6271C">
            <w:pPr>
              <w:pStyle w:val="Header"/>
              <w:ind w:right="28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lang w:eastAsia="ar-SA"/>
              </w:rPr>
            </w:pPr>
            <w:r w:rsidRPr="00B6271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eastAsia="ar-SA"/>
              </w:rPr>
              <w:t>- 7.95</w:t>
            </w:r>
          </w:p>
        </w:tc>
      </w:tr>
      <w:tr w:rsidR="00A6329B" w:rsidRPr="00B6271C" w:rsidTr="00B6271C">
        <w:trPr>
          <w:trHeight w:hRule="exact" w:val="342"/>
          <w:jc w:val="center"/>
        </w:trPr>
        <w:tc>
          <w:tcPr>
            <w:tcW w:w="2423" w:type="dxa"/>
            <w:vAlign w:val="center"/>
          </w:tcPr>
          <w:p w:rsidR="00A6329B" w:rsidRPr="00B6271C" w:rsidRDefault="00A6329B" w:rsidP="00B6271C">
            <w:pPr>
              <w:pStyle w:val="Header"/>
              <w:ind w:right="34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eastAsia="ar-SA"/>
              </w:rPr>
            </w:pPr>
            <w:r w:rsidRPr="00B6271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eastAsia="ar-SA"/>
              </w:rPr>
              <w:t>2021</w:t>
            </w:r>
          </w:p>
        </w:tc>
        <w:tc>
          <w:tcPr>
            <w:tcW w:w="3412" w:type="dxa"/>
            <w:vAlign w:val="center"/>
          </w:tcPr>
          <w:p w:rsidR="00A6329B" w:rsidRPr="00B6271C" w:rsidRDefault="00A6329B" w:rsidP="00B6271C">
            <w:pPr>
              <w:pStyle w:val="Header"/>
              <w:ind w:right="28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lang w:val="en-US" w:eastAsia="ar-SA"/>
              </w:rPr>
            </w:pPr>
            <w:r w:rsidRPr="00B6271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eastAsia="ar-SA"/>
              </w:rPr>
              <w:t>+ 14.13</w:t>
            </w:r>
          </w:p>
        </w:tc>
      </w:tr>
      <w:tr w:rsidR="00A6329B" w:rsidRPr="00B6271C" w:rsidTr="00B6271C">
        <w:trPr>
          <w:trHeight w:hRule="exact" w:val="342"/>
          <w:jc w:val="center"/>
        </w:trPr>
        <w:tc>
          <w:tcPr>
            <w:tcW w:w="2423" w:type="dxa"/>
            <w:vAlign w:val="center"/>
          </w:tcPr>
          <w:p w:rsidR="00A6329B" w:rsidRPr="00B6271C" w:rsidRDefault="00A6329B" w:rsidP="00B6271C">
            <w:pPr>
              <w:pStyle w:val="Header"/>
              <w:ind w:right="34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eastAsia="ar-SA"/>
              </w:rPr>
            </w:pPr>
            <w:r w:rsidRPr="00B6271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eastAsia="ar-SA"/>
              </w:rPr>
              <w:t>2022</w:t>
            </w:r>
          </w:p>
        </w:tc>
        <w:tc>
          <w:tcPr>
            <w:tcW w:w="3412" w:type="dxa"/>
            <w:vAlign w:val="center"/>
          </w:tcPr>
          <w:p w:rsidR="00A6329B" w:rsidRPr="00B6271C" w:rsidRDefault="00A6329B" w:rsidP="00B6271C">
            <w:pPr>
              <w:pStyle w:val="Header"/>
              <w:ind w:right="28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eastAsia="ar-SA"/>
              </w:rPr>
            </w:pPr>
            <w:r w:rsidRPr="00B6271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eastAsia="ar-SA"/>
              </w:rPr>
              <w:t>+ 3.27</w:t>
            </w:r>
          </w:p>
        </w:tc>
      </w:tr>
      <w:tr w:rsidR="00576EBC" w:rsidRPr="00B6271C" w:rsidTr="00B6271C">
        <w:trPr>
          <w:trHeight w:hRule="exact" w:val="342"/>
          <w:jc w:val="center"/>
        </w:trPr>
        <w:tc>
          <w:tcPr>
            <w:tcW w:w="2423" w:type="dxa"/>
            <w:vAlign w:val="center"/>
          </w:tcPr>
          <w:p w:rsidR="00576EBC" w:rsidRPr="00B6271C" w:rsidRDefault="00576EBC" w:rsidP="00B6271C">
            <w:pPr>
              <w:pStyle w:val="Header"/>
              <w:ind w:right="34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eastAsia="ar-SA"/>
              </w:rPr>
            </w:pPr>
            <w:r w:rsidRPr="00B6271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eastAsia="ar-SA"/>
              </w:rPr>
              <w:t>2023</w:t>
            </w:r>
          </w:p>
        </w:tc>
        <w:tc>
          <w:tcPr>
            <w:tcW w:w="3412" w:type="dxa"/>
            <w:vAlign w:val="center"/>
          </w:tcPr>
          <w:p w:rsidR="00576EBC" w:rsidRPr="00B6271C" w:rsidRDefault="00576EBC" w:rsidP="00B6271C">
            <w:pPr>
              <w:pStyle w:val="Header"/>
              <w:ind w:right="28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eastAsia="ar-SA"/>
              </w:rPr>
            </w:pPr>
            <w:r w:rsidRPr="00B6271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eastAsia="ar-SA"/>
              </w:rPr>
              <w:t>- 8.01</w:t>
            </w:r>
          </w:p>
        </w:tc>
      </w:tr>
    </w:tbl>
    <w:p w:rsidR="00E04EC8" w:rsidRPr="00B6271C" w:rsidRDefault="00E04EC8" w:rsidP="00B6271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B6271C" w:rsidRDefault="00B6271C" w:rsidP="00B6271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6271C" w:rsidRDefault="00B6271C" w:rsidP="00B6271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6271C" w:rsidRDefault="00B6271C" w:rsidP="00B6271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6271C" w:rsidRDefault="00B6271C" w:rsidP="00B6271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6271C" w:rsidRDefault="00B6271C" w:rsidP="00B6271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6271C" w:rsidRDefault="00B6271C" w:rsidP="00B6271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6271C" w:rsidRDefault="00B6271C" w:rsidP="00B6271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A6329B" w:rsidRPr="00B6271C" w:rsidRDefault="00A6329B" w:rsidP="00B6271C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lang w:val="en-US"/>
        </w:rPr>
      </w:pPr>
      <w:r w:rsidRPr="00B627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ارتفاع الرقم القياسي لكميات الإنتاج الصناعي في فلسطين خلال شهر </w:t>
      </w:r>
      <w:r w:rsidRPr="00B6271C">
        <w:rPr>
          <w:rFonts w:ascii="Simplified Arabic" w:hAnsi="Simplified Arabic" w:cs="Simplified Arabic"/>
          <w:b/>
          <w:bCs/>
          <w:sz w:val="28"/>
          <w:szCs w:val="28"/>
          <w:rtl/>
          <w:lang w:val="en-US"/>
        </w:rPr>
        <w:t>كانون أول</w:t>
      </w:r>
      <w:r w:rsidR="00B6271C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، 12/2023</w:t>
      </w:r>
      <w:r w:rsidRPr="00B627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B6271C" w:rsidRPr="00B6271C" w:rsidRDefault="00B6271C" w:rsidP="00B6271C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A6329B" w:rsidRPr="00B6271C" w:rsidRDefault="00A6329B" w:rsidP="00B6271C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لكميات الإنتاج الصناعي ارتفاعاً نسبته </w:t>
      </w:r>
      <w:r w:rsidR="00C47460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2.42</w:t>
      </w: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كانون أول </w:t>
      </w:r>
      <w:r w:rsidR="00416BA7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2023</w:t>
      </w: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بشهر تشرين ثاني </w:t>
      </w:r>
      <w:r w:rsidR="00416BA7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2023</w:t>
      </w: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، إذ ارتفع الرقم القياسي لكميات الإنتاج الصناعي إلى </w:t>
      </w:r>
      <w:r w:rsidR="00C47460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76.27</w:t>
      </w: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 كانون أول </w:t>
      </w:r>
      <w:r w:rsidR="00416BA7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2023</w:t>
      </w: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بـ </w:t>
      </w:r>
      <w:r w:rsidR="00C47460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74.47</w:t>
      </w: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 تشرين ثاني </w:t>
      </w:r>
      <w:r w:rsidR="00416BA7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2023</w:t>
      </w: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(سنة الأساس 2019 = 100).</w:t>
      </w:r>
    </w:p>
    <w:p w:rsidR="00B6271C" w:rsidRPr="00B6271C" w:rsidRDefault="00B6271C" w:rsidP="00B6271C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A6329B" w:rsidRPr="00B6271C" w:rsidRDefault="00A6329B" w:rsidP="00B6271C">
      <w:pPr>
        <w:pStyle w:val="Title"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B6271C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حركة كميات الإنتاج الصناعي على مستوى الأنشطة الاقتصادية الرئيسية خلال شهر كانون أول </w:t>
      </w:r>
      <w:r w:rsidR="00416BA7" w:rsidRPr="00B6271C">
        <w:rPr>
          <w:rFonts w:ascii="Simplified Arabic" w:hAnsi="Simplified Arabic" w:cs="Simplified Arabic"/>
          <w:sz w:val="28"/>
          <w:szCs w:val="28"/>
          <w:u w:val="none"/>
          <w:rtl/>
        </w:rPr>
        <w:t>2023</w:t>
      </w:r>
      <w:r w:rsidRPr="00B6271C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</w:t>
      </w:r>
      <w:r w:rsidR="00B6271C" w:rsidRPr="00B6271C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            </w:t>
      </w:r>
      <w:r w:rsidRPr="00B6271C">
        <w:rPr>
          <w:rFonts w:ascii="Simplified Arabic" w:hAnsi="Simplified Arabic" w:cs="Simplified Arabic"/>
          <w:sz w:val="28"/>
          <w:szCs w:val="28"/>
          <w:u w:val="none"/>
          <w:rtl/>
        </w:rPr>
        <w:t>مقارنة بالشهر السابق</w:t>
      </w:r>
    </w:p>
    <w:p w:rsidR="00CF5DD7" w:rsidRPr="00B6271C" w:rsidRDefault="00CF5DD7" w:rsidP="00B6271C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سجلت أنشطة </w:t>
      </w:r>
      <w:r w:rsidRPr="00B6271C">
        <w:rPr>
          <w:rFonts w:ascii="Simplified Arabic" w:hAnsi="Simplified Arabic" w:cs="Simplified Arabic"/>
          <w:sz w:val="26"/>
          <w:szCs w:val="26"/>
          <w:u w:val="none"/>
          <w:rtl/>
        </w:rPr>
        <w:t>التعدين واستغلال المحاجر</w:t>
      </w: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ارتفاعاً</w:t>
      </w:r>
      <w:r w:rsidR="00350A83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حاداً</w:t>
      </w: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نسبته 12.16% والتي تشكل أهميتها النسبية 2.89% من إجمالي أنشطة الصناعة. </w:t>
      </w:r>
    </w:p>
    <w:p w:rsidR="00A6329B" w:rsidRPr="00B6271C" w:rsidRDefault="00A6329B" w:rsidP="00B6271C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A6329B" w:rsidRPr="00B6271C" w:rsidRDefault="00A6329B" w:rsidP="00B6271C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كما سجلت أنشطة </w:t>
      </w:r>
      <w:r w:rsidR="00CF5DD7" w:rsidRPr="00B6271C">
        <w:rPr>
          <w:rFonts w:ascii="Simplified Arabic" w:hAnsi="Simplified Arabic" w:cs="Simplified Arabic"/>
          <w:sz w:val="26"/>
          <w:szCs w:val="26"/>
          <w:u w:val="none"/>
          <w:rtl/>
        </w:rPr>
        <w:t>إمدادات الكهرباء والغاز والبخار وتكييف الهواء</w:t>
      </w:r>
      <w:r w:rsidR="00CF5DD7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ارتفاعاً</w:t>
      </w:r>
      <w:r w:rsidR="007B014B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حاداً</w:t>
      </w: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نسبته </w:t>
      </w:r>
      <w:r w:rsidR="00CF5DD7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10.88</w:t>
      </w: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والتي تشكل أهميتها النسبية </w:t>
      </w:r>
      <w:r w:rsidR="00CF5DD7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7.38</w:t>
      </w: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CF5DD7" w:rsidRPr="00B6271C" w:rsidRDefault="00CF5DD7" w:rsidP="00B6271C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CF5DD7" w:rsidRPr="00B6271C" w:rsidRDefault="00296EF8" w:rsidP="00B6271C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و</w:t>
      </w:r>
      <w:r w:rsidR="00CF5DD7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سجلت أنشطة </w:t>
      </w:r>
      <w:r w:rsidRPr="00B6271C">
        <w:rPr>
          <w:rFonts w:ascii="Simplified Arabic" w:hAnsi="Simplified Arabic" w:cs="Simplified Arabic"/>
          <w:sz w:val="26"/>
          <w:szCs w:val="26"/>
          <w:u w:val="none"/>
          <w:rtl/>
        </w:rPr>
        <w:t>الصناعة التحويلية</w:t>
      </w:r>
      <w:r w:rsidR="00CF5DD7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ارتفاعاً نسبته</w:t>
      </w:r>
      <w:r w:rsidR="00CF5DD7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1.29</w:t>
      </w:r>
      <w:r w:rsidR="00CF5DD7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والتي تشكل أهميتها النسبية </w:t>
      </w: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87.89</w:t>
      </w:r>
      <w:r w:rsidR="00CF5DD7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من إجمالي أنشطة الصناعة. </w:t>
      </w:r>
    </w:p>
    <w:p w:rsidR="00A6329B" w:rsidRPr="00B6271C" w:rsidRDefault="00A6329B" w:rsidP="00B6271C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A6329B" w:rsidRPr="00B6271C" w:rsidRDefault="00A6329B" w:rsidP="00B6271C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بعض أنشطة الصناعات التحويلية ارتفاعاً خلال شهر كانون أول </w:t>
      </w:r>
      <w:r w:rsidR="00416BA7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2023</w:t>
      </w: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بشهر تشرين ثاني </w:t>
      </w:r>
      <w:r w:rsidR="00416BA7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2023</w:t>
      </w: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أهمها</w:t>
      </w:r>
      <w:r w:rsidR="008804A6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:</w:t>
      </w: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صناعة منتجات التبغ، وصناعة المنتجات الغذائية، </w:t>
      </w:r>
      <w:r w:rsidR="008804A6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وصناعة منتجات المعادن اللافلزية الأخرى</w:t>
      </w:r>
      <w:r w:rsidR="007B014B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،</w:t>
      </w: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7B014B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وصناعة الفلزات الاساسية، وصناعة المنسوجات، وصناعة المنتجات الصيدلانية الاساسية ومستحضراتها.</w:t>
      </w:r>
    </w:p>
    <w:p w:rsidR="00A6329B" w:rsidRPr="00B6271C" w:rsidRDefault="00A6329B" w:rsidP="00B6271C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A6329B" w:rsidRPr="00B6271C" w:rsidRDefault="00A6329B" w:rsidP="00B6271C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من ناحية أخرى سجل الرقم القياسي لكميات الإنتاج الصناعي انخفاضاً في بعض أنشطة الصناعات التحويلية منها صناعة</w:t>
      </w:r>
      <w:r w:rsidR="008804A6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الاثاث، وصناعة الكيماويات والمنتجات الكيميائية، وصناعة </w:t>
      </w: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منتجات المعادن المشكلة عدا الماكنات والمعدات، </w:t>
      </w:r>
      <w:r w:rsidR="008804A6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وصناعة الخشب ومنتجات الخشب</w:t>
      </w:r>
      <w:r w:rsidR="007B014B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، وصناعة الملابس، وصناعة الورق ومنتجات الورق.</w:t>
      </w:r>
    </w:p>
    <w:p w:rsidR="008804A6" w:rsidRPr="00B6271C" w:rsidRDefault="008804A6" w:rsidP="00B6271C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A6329B" w:rsidRPr="00B6271C" w:rsidRDefault="00A6329B" w:rsidP="00B6271C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سجلت أنشطة </w:t>
      </w:r>
      <w:r w:rsidRPr="00B6271C">
        <w:rPr>
          <w:rFonts w:ascii="Simplified Arabic" w:hAnsi="Simplified Arabic" w:cs="Simplified Arabic"/>
          <w:sz w:val="26"/>
          <w:szCs w:val="26"/>
          <w:u w:val="none"/>
          <w:rtl/>
        </w:rPr>
        <w:t>إمدادات المياه وأنشطة الصرف الصحي وإدارة النفايات ومعالجتها</w:t>
      </w: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انخفاضاً مقداره </w:t>
      </w:r>
      <w:r w:rsidR="008804A6"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5.85</w:t>
      </w:r>
      <w:r w:rsidRPr="00B6271C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والتي تشكل أهميتها النسبية 1.84% من إجمالي أنشطة الصناعة.</w:t>
      </w:r>
    </w:p>
    <w:p w:rsidR="00A6329B" w:rsidRDefault="00A6329B" w:rsidP="00B6271C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B6271C" w:rsidRDefault="00B6271C" w:rsidP="00B6271C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B6271C" w:rsidRDefault="00B6271C" w:rsidP="00B6271C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B6271C" w:rsidRDefault="00B6271C" w:rsidP="00B6271C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B6271C" w:rsidRDefault="00B6271C" w:rsidP="00B6271C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B6271C" w:rsidRDefault="00B6271C" w:rsidP="00B6271C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B6271C" w:rsidRDefault="00B6271C" w:rsidP="00B6271C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B6271C" w:rsidRDefault="00B6271C" w:rsidP="00B6271C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B6271C" w:rsidRDefault="00B6271C" w:rsidP="00B6271C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B6271C" w:rsidRPr="00B6271C" w:rsidRDefault="00B6271C" w:rsidP="00B6271C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B6271C" w:rsidRPr="00B6271C" w:rsidRDefault="00A6329B" w:rsidP="00B6271C">
      <w:pPr>
        <w:pStyle w:val="Title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B6271C">
        <w:rPr>
          <w:rFonts w:ascii="Simplified Arabic" w:hAnsi="Simplified Arabic" w:cs="Simplified Arabic"/>
          <w:sz w:val="28"/>
          <w:szCs w:val="28"/>
          <w:u w:val="none"/>
          <w:rtl/>
        </w:rPr>
        <w:lastRenderedPageBreak/>
        <w:t xml:space="preserve">الجدول أدناه يوضح نسب التغير الشهرية في الرقم القياسي لكميات الإنتاج الصناعي للفترة: </w:t>
      </w:r>
    </w:p>
    <w:p w:rsidR="00A6329B" w:rsidRPr="00B6271C" w:rsidRDefault="00A6329B" w:rsidP="00B6271C">
      <w:pPr>
        <w:pStyle w:val="Title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B6271C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كانون ثاني – كانون أول </w:t>
      </w:r>
      <w:r w:rsidR="00447470" w:rsidRPr="00B6271C">
        <w:rPr>
          <w:rFonts w:ascii="Simplified Arabic" w:hAnsi="Simplified Arabic" w:cs="Simplified Arabic"/>
          <w:sz w:val="28"/>
          <w:szCs w:val="28"/>
          <w:u w:val="none"/>
          <w:rtl/>
        </w:rPr>
        <w:t>2023</w:t>
      </w:r>
      <w:r w:rsidRPr="00B6271C">
        <w:rPr>
          <w:rFonts w:ascii="Simplified Arabic" w:hAnsi="Simplified Arabic" w:cs="Simplified Arabic"/>
          <w:sz w:val="28"/>
          <w:szCs w:val="28"/>
          <w:u w:val="none"/>
          <w:rtl/>
        </w:rPr>
        <w:t>:</w:t>
      </w:r>
    </w:p>
    <w:p w:rsidR="00A6329B" w:rsidRPr="00B6271C" w:rsidRDefault="00A6329B" w:rsidP="00B6271C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8"/>
          <w:szCs w:val="8"/>
          <w:u w:val="none"/>
          <w:rtl/>
        </w:rPr>
      </w:pPr>
    </w:p>
    <w:tbl>
      <w:tblPr>
        <w:bidiVisual/>
        <w:tblW w:w="5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1"/>
        <w:gridCol w:w="2968"/>
      </w:tblGrid>
      <w:tr w:rsidR="00A6329B" w:rsidRPr="00B6271C" w:rsidTr="00EE7354">
        <w:trPr>
          <w:trHeight w:val="404"/>
          <w:tblHeader/>
          <w:jc w:val="center"/>
        </w:trPr>
        <w:tc>
          <w:tcPr>
            <w:tcW w:w="2851" w:type="dxa"/>
            <w:vAlign w:val="center"/>
          </w:tcPr>
          <w:p w:rsidR="00A6329B" w:rsidRPr="00B6271C" w:rsidRDefault="00A6329B" w:rsidP="00EE7354">
            <w:pPr>
              <w:pStyle w:val="Title"/>
              <w:rPr>
                <w:rFonts w:ascii="Simplified Arabic" w:hAnsi="Simplified Arabic" w:cs="Simplified Arabic"/>
                <w:sz w:val="26"/>
                <w:szCs w:val="26"/>
                <w:u w:val="none"/>
                <w:rtl/>
              </w:rPr>
            </w:pPr>
            <w:r w:rsidRPr="00B6271C">
              <w:rPr>
                <w:rFonts w:ascii="Simplified Arabic" w:hAnsi="Simplified Arabic" w:cs="Simplified Arabic"/>
                <w:sz w:val="26"/>
                <w:szCs w:val="26"/>
                <w:u w:val="none"/>
                <w:rtl/>
              </w:rPr>
              <w:t>الشهر</w:t>
            </w:r>
          </w:p>
        </w:tc>
        <w:tc>
          <w:tcPr>
            <w:tcW w:w="2968" w:type="dxa"/>
          </w:tcPr>
          <w:p w:rsidR="00A6329B" w:rsidRPr="00B6271C" w:rsidRDefault="00A6329B" w:rsidP="00EE7354">
            <w:pPr>
              <w:pStyle w:val="Title"/>
              <w:rPr>
                <w:rFonts w:ascii="Simplified Arabic" w:hAnsi="Simplified Arabic" w:cs="Simplified Arabic"/>
                <w:sz w:val="26"/>
                <w:szCs w:val="26"/>
                <w:u w:val="none"/>
                <w:rtl/>
              </w:rPr>
            </w:pPr>
            <w:r w:rsidRPr="00B6271C">
              <w:rPr>
                <w:rFonts w:ascii="Simplified Arabic" w:hAnsi="Simplified Arabic" w:cs="Simplified Arabic"/>
                <w:sz w:val="26"/>
                <w:szCs w:val="26"/>
                <w:u w:val="none"/>
                <w:rtl/>
              </w:rPr>
              <w:t>نسبة التغير (%)</w:t>
            </w:r>
          </w:p>
        </w:tc>
      </w:tr>
      <w:tr w:rsidR="003A7F9B" w:rsidRPr="00B6271C" w:rsidTr="00584128">
        <w:trPr>
          <w:trHeight w:val="321"/>
          <w:jc w:val="center"/>
        </w:trPr>
        <w:tc>
          <w:tcPr>
            <w:tcW w:w="2851" w:type="dxa"/>
            <w:vAlign w:val="center"/>
          </w:tcPr>
          <w:p w:rsidR="003A7F9B" w:rsidRPr="00B6271C" w:rsidRDefault="00EE7354" w:rsidP="00B6271C">
            <w:pPr>
              <w:pStyle w:val="Title"/>
              <w:jc w:val="lowKashida"/>
              <w:rPr>
                <w:rFonts w:ascii="Simplified Arabic" w:hAnsi="Simplified Arabic" w:cs="Simplified Arabic"/>
                <w:b w:val="0"/>
                <w:bCs w:val="0"/>
                <w:sz w:val="26"/>
                <w:szCs w:val="26"/>
                <w:u w:val="none"/>
                <w:rtl/>
              </w:rPr>
            </w:pPr>
            <w:r>
              <w:rPr>
                <w:rFonts w:ascii="Simplified Arabic" w:hAnsi="Simplified Arabic" w:cs="Simplified Arabic"/>
                <w:b w:val="0"/>
                <w:bCs w:val="0"/>
                <w:sz w:val="26"/>
                <w:szCs w:val="26"/>
                <w:u w:val="none"/>
                <w:rtl/>
              </w:rPr>
              <w:t xml:space="preserve"> </w:t>
            </w:r>
            <w:r w:rsidR="003A7F9B" w:rsidRPr="00B6271C">
              <w:rPr>
                <w:rFonts w:ascii="Simplified Arabic" w:hAnsi="Simplified Arabic" w:cs="Simplified Arabic"/>
                <w:b w:val="0"/>
                <w:bCs w:val="0"/>
                <w:sz w:val="26"/>
                <w:szCs w:val="26"/>
                <w:u w:val="none"/>
                <w:rtl/>
              </w:rPr>
              <w:t xml:space="preserve">كانون ثاني </w:t>
            </w:r>
          </w:p>
        </w:tc>
        <w:tc>
          <w:tcPr>
            <w:tcW w:w="2968" w:type="dxa"/>
            <w:vAlign w:val="center"/>
          </w:tcPr>
          <w:p w:rsidR="003A7F9B" w:rsidRPr="00B6271C" w:rsidRDefault="003A7F9B" w:rsidP="00B6271C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lang w:eastAsia="en-US"/>
              </w:rPr>
            </w:pPr>
            <w:r w:rsidRPr="00B6271C">
              <w:rPr>
                <w:rFonts w:ascii="Simplified Arabic" w:hAnsi="Simplified Arabic" w:cs="Simplified Arabic"/>
                <w:sz w:val="26"/>
                <w:szCs w:val="26"/>
                <w:rtl/>
              </w:rPr>
              <w:t>-3.09</w:t>
            </w:r>
            <w:r w:rsidR="009A507A" w:rsidRPr="00B6271C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="007B014B" w:rsidRPr="00B6271C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 </w:t>
            </w:r>
          </w:p>
        </w:tc>
      </w:tr>
      <w:tr w:rsidR="003A7F9B" w:rsidRPr="00B6271C" w:rsidTr="00EE7354">
        <w:trPr>
          <w:trHeight w:val="419"/>
          <w:jc w:val="center"/>
        </w:trPr>
        <w:tc>
          <w:tcPr>
            <w:tcW w:w="2851" w:type="dxa"/>
            <w:vAlign w:val="center"/>
          </w:tcPr>
          <w:p w:rsidR="003A7F9B" w:rsidRPr="00B6271C" w:rsidRDefault="003A7F9B" w:rsidP="00B6271C">
            <w:pPr>
              <w:pStyle w:val="Title"/>
              <w:jc w:val="lowKashida"/>
              <w:rPr>
                <w:rFonts w:ascii="Simplified Arabic" w:hAnsi="Simplified Arabic" w:cs="Simplified Arabic"/>
                <w:b w:val="0"/>
                <w:bCs w:val="0"/>
                <w:sz w:val="26"/>
                <w:szCs w:val="26"/>
                <w:u w:val="none"/>
                <w:rtl/>
              </w:rPr>
            </w:pPr>
            <w:r w:rsidRPr="00B6271C">
              <w:rPr>
                <w:rFonts w:ascii="Simplified Arabic" w:hAnsi="Simplified Arabic" w:cs="Simplified Arabic"/>
                <w:b w:val="0"/>
                <w:bCs w:val="0"/>
                <w:sz w:val="26"/>
                <w:szCs w:val="26"/>
                <w:u w:val="none"/>
                <w:rtl/>
              </w:rPr>
              <w:t xml:space="preserve">  شباط</w:t>
            </w:r>
          </w:p>
        </w:tc>
        <w:tc>
          <w:tcPr>
            <w:tcW w:w="2968" w:type="dxa"/>
            <w:vAlign w:val="center"/>
          </w:tcPr>
          <w:p w:rsidR="003A7F9B" w:rsidRPr="00B6271C" w:rsidRDefault="003A7F9B" w:rsidP="00B6271C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6271C">
              <w:rPr>
                <w:rFonts w:ascii="Simplified Arabic" w:hAnsi="Simplified Arabic" w:cs="Simplified Arabic"/>
                <w:sz w:val="26"/>
                <w:szCs w:val="26"/>
                <w:rtl/>
              </w:rPr>
              <w:t>-5.51</w:t>
            </w:r>
            <w:r w:rsidR="007B014B" w:rsidRPr="00B6271C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="00576EBC" w:rsidRPr="00B6271C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="007B014B" w:rsidRPr="00B6271C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 </w:t>
            </w:r>
          </w:p>
        </w:tc>
      </w:tr>
      <w:tr w:rsidR="003A7F9B" w:rsidRPr="00B6271C" w:rsidTr="00EE7354">
        <w:trPr>
          <w:trHeight w:val="419"/>
          <w:jc w:val="center"/>
        </w:trPr>
        <w:tc>
          <w:tcPr>
            <w:tcW w:w="2851" w:type="dxa"/>
            <w:vAlign w:val="center"/>
          </w:tcPr>
          <w:p w:rsidR="003A7F9B" w:rsidRPr="00B6271C" w:rsidRDefault="003A7F9B" w:rsidP="00B6271C">
            <w:pPr>
              <w:pStyle w:val="Title"/>
              <w:jc w:val="lowKashida"/>
              <w:rPr>
                <w:rFonts w:ascii="Simplified Arabic" w:hAnsi="Simplified Arabic" w:cs="Simplified Arabic"/>
                <w:b w:val="0"/>
                <w:bCs w:val="0"/>
                <w:sz w:val="26"/>
                <w:szCs w:val="26"/>
                <w:u w:val="none"/>
                <w:rtl/>
              </w:rPr>
            </w:pPr>
            <w:r w:rsidRPr="00B6271C">
              <w:rPr>
                <w:rFonts w:ascii="Simplified Arabic" w:hAnsi="Simplified Arabic" w:cs="Simplified Arabic"/>
                <w:b w:val="0"/>
                <w:bCs w:val="0"/>
                <w:sz w:val="26"/>
                <w:szCs w:val="26"/>
                <w:u w:val="none"/>
                <w:rtl/>
              </w:rPr>
              <w:t xml:space="preserve">  آذار</w:t>
            </w:r>
          </w:p>
        </w:tc>
        <w:tc>
          <w:tcPr>
            <w:tcW w:w="2968" w:type="dxa"/>
            <w:vAlign w:val="center"/>
          </w:tcPr>
          <w:p w:rsidR="003A7F9B" w:rsidRPr="00B6271C" w:rsidRDefault="003A7F9B" w:rsidP="00B6271C">
            <w:pPr>
              <w:bidi w:val="0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B6271C">
              <w:rPr>
                <w:rFonts w:ascii="Simplified Arabic" w:hAnsi="Simplified Arabic" w:cs="Simplified Arabic"/>
                <w:sz w:val="26"/>
                <w:szCs w:val="26"/>
                <w:rtl/>
              </w:rPr>
              <w:t>7.87</w:t>
            </w:r>
            <w:r w:rsidRPr="00B6271C">
              <w:rPr>
                <w:rFonts w:ascii="Simplified Arabic" w:hAnsi="Simplified Arabic" w:cs="Simplified Arabic"/>
                <w:sz w:val="26"/>
                <w:szCs w:val="26"/>
              </w:rPr>
              <w:t>+</w:t>
            </w:r>
          </w:p>
        </w:tc>
      </w:tr>
      <w:tr w:rsidR="003A7F9B" w:rsidRPr="00B6271C" w:rsidTr="00EE7354">
        <w:trPr>
          <w:trHeight w:val="419"/>
          <w:jc w:val="center"/>
        </w:trPr>
        <w:tc>
          <w:tcPr>
            <w:tcW w:w="2851" w:type="dxa"/>
            <w:vAlign w:val="center"/>
          </w:tcPr>
          <w:p w:rsidR="003A7F9B" w:rsidRPr="00B6271C" w:rsidRDefault="003A7F9B" w:rsidP="00B6271C">
            <w:pPr>
              <w:pStyle w:val="Title"/>
              <w:jc w:val="lowKashida"/>
              <w:rPr>
                <w:rFonts w:ascii="Simplified Arabic" w:hAnsi="Simplified Arabic" w:cs="Simplified Arabic"/>
                <w:b w:val="0"/>
                <w:bCs w:val="0"/>
                <w:sz w:val="26"/>
                <w:szCs w:val="26"/>
                <w:u w:val="none"/>
                <w:rtl/>
              </w:rPr>
            </w:pPr>
            <w:r w:rsidRPr="00B6271C">
              <w:rPr>
                <w:rFonts w:ascii="Simplified Arabic" w:hAnsi="Simplified Arabic" w:cs="Simplified Arabic"/>
                <w:b w:val="0"/>
                <w:bCs w:val="0"/>
                <w:sz w:val="26"/>
                <w:szCs w:val="26"/>
                <w:u w:val="none"/>
                <w:rtl/>
              </w:rPr>
              <w:t xml:space="preserve">  نيسان</w:t>
            </w:r>
          </w:p>
        </w:tc>
        <w:tc>
          <w:tcPr>
            <w:tcW w:w="2968" w:type="dxa"/>
            <w:vAlign w:val="center"/>
          </w:tcPr>
          <w:p w:rsidR="003A7F9B" w:rsidRPr="00B6271C" w:rsidRDefault="003A7F9B" w:rsidP="00B6271C">
            <w:pPr>
              <w:bidi w:val="0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B6271C">
              <w:rPr>
                <w:rFonts w:ascii="Simplified Arabic" w:hAnsi="Simplified Arabic" w:cs="Simplified Arabic"/>
                <w:sz w:val="26"/>
                <w:szCs w:val="26"/>
                <w:rtl/>
              </w:rPr>
              <w:t>-11.31</w:t>
            </w:r>
            <w:r w:rsidR="00693379" w:rsidRPr="00B6271C">
              <w:rPr>
                <w:rFonts w:ascii="Simplified Arabic" w:hAnsi="Simplified Arabic" w:cs="Simplified Arabic"/>
                <w:sz w:val="26"/>
                <w:szCs w:val="26"/>
              </w:rPr>
              <w:t xml:space="preserve">  </w:t>
            </w:r>
          </w:p>
        </w:tc>
      </w:tr>
      <w:tr w:rsidR="003A7F9B" w:rsidRPr="00B6271C" w:rsidTr="00EE7354">
        <w:trPr>
          <w:trHeight w:val="419"/>
          <w:jc w:val="center"/>
        </w:trPr>
        <w:tc>
          <w:tcPr>
            <w:tcW w:w="2851" w:type="dxa"/>
            <w:vAlign w:val="center"/>
          </w:tcPr>
          <w:p w:rsidR="003A7F9B" w:rsidRPr="00B6271C" w:rsidRDefault="003A7F9B" w:rsidP="00B6271C">
            <w:pPr>
              <w:pStyle w:val="Title"/>
              <w:jc w:val="lowKashida"/>
              <w:rPr>
                <w:rFonts w:ascii="Simplified Arabic" w:hAnsi="Simplified Arabic" w:cs="Simplified Arabic"/>
                <w:b w:val="0"/>
                <w:bCs w:val="0"/>
                <w:sz w:val="26"/>
                <w:szCs w:val="26"/>
                <w:u w:val="none"/>
                <w:rtl/>
              </w:rPr>
            </w:pPr>
            <w:r w:rsidRPr="00B6271C">
              <w:rPr>
                <w:rFonts w:ascii="Simplified Arabic" w:hAnsi="Simplified Arabic" w:cs="Simplified Arabic"/>
                <w:b w:val="0"/>
                <w:bCs w:val="0"/>
                <w:sz w:val="26"/>
                <w:szCs w:val="26"/>
                <w:u w:val="none"/>
                <w:rtl/>
              </w:rPr>
              <w:t xml:space="preserve">  أيار</w:t>
            </w:r>
          </w:p>
        </w:tc>
        <w:tc>
          <w:tcPr>
            <w:tcW w:w="2968" w:type="dxa"/>
            <w:vAlign w:val="center"/>
          </w:tcPr>
          <w:p w:rsidR="003A7F9B" w:rsidRPr="00B6271C" w:rsidRDefault="003A7F9B" w:rsidP="00B6271C">
            <w:pPr>
              <w:bidi w:val="0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B6271C">
              <w:rPr>
                <w:rFonts w:ascii="Simplified Arabic" w:hAnsi="Simplified Arabic" w:cs="Simplified Arabic"/>
                <w:sz w:val="26"/>
                <w:szCs w:val="26"/>
                <w:rtl/>
              </w:rPr>
              <w:t>13.95</w:t>
            </w:r>
            <w:r w:rsidRPr="00B6271C">
              <w:rPr>
                <w:rFonts w:ascii="Simplified Arabic" w:hAnsi="Simplified Arabic" w:cs="Simplified Arabic"/>
                <w:sz w:val="26"/>
                <w:szCs w:val="26"/>
              </w:rPr>
              <w:t>+</w:t>
            </w:r>
          </w:p>
        </w:tc>
      </w:tr>
      <w:tr w:rsidR="003A7F9B" w:rsidRPr="00B6271C" w:rsidTr="00EE7354">
        <w:trPr>
          <w:trHeight w:val="419"/>
          <w:jc w:val="center"/>
        </w:trPr>
        <w:tc>
          <w:tcPr>
            <w:tcW w:w="2851" w:type="dxa"/>
            <w:vAlign w:val="center"/>
          </w:tcPr>
          <w:p w:rsidR="003A7F9B" w:rsidRPr="00B6271C" w:rsidRDefault="003A7F9B" w:rsidP="00B6271C">
            <w:pPr>
              <w:pStyle w:val="Title"/>
              <w:jc w:val="lowKashida"/>
              <w:rPr>
                <w:rFonts w:ascii="Simplified Arabic" w:hAnsi="Simplified Arabic" w:cs="Simplified Arabic"/>
                <w:b w:val="0"/>
                <w:bCs w:val="0"/>
                <w:sz w:val="26"/>
                <w:szCs w:val="26"/>
                <w:u w:val="none"/>
                <w:rtl/>
              </w:rPr>
            </w:pPr>
            <w:r w:rsidRPr="00B6271C">
              <w:rPr>
                <w:rFonts w:ascii="Simplified Arabic" w:hAnsi="Simplified Arabic" w:cs="Simplified Arabic"/>
                <w:b w:val="0"/>
                <w:bCs w:val="0"/>
                <w:sz w:val="26"/>
                <w:szCs w:val="26"/>
                <w:u w:val="none"/>
                <w:rtl/>
              </w:rPr>
              <w:t xml:space="preserve">  حزيران</w:t>
            </w:r>
          </w:p>
        </w:tc>
        <w:tc>
          <w:tcPr>
            <w:tcW w:w="2968" w:type="dxa"/>
            <w:vAlign w:val="center"/>
          </w:tcPr>
          <w:p w:rsidR="003A7F9B" w:rsidRPr="00B6271C" w:rsidRDefault="003A7F9B" w:rsidP="00B6271C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6271C">
              <w:rPr>
                <w:rFonts w:ascii="Simplified Arabic" w:hAnsi="Simplified Arabic" w:cs="Simplified Arabic"/>
                <w:sz w:val="26"/>
                <w:szCs w:val="26"/>
                <w:rtl/>
              </w:rPr>
              <w:t>-3.62</w:t>
            </w:r>
          </w:p>
        </w:tc>
      </w:tr>
      <w:tr w:rsidR="003A7F9B" w:rsidRPr="00B6271C" w:rsidTr="00EE7354">
        <w:trPr>
          <w:trHeight w:val="419"/>
          <w:jc w:val="center"/>
        </w:trPr>
        <w:tc>
          <w:tcPr>
            <w:tcW w:w="2851" w:type="dxa"/>
            <w:vAlign w:val="center"/>
          </w:tcPr>
          <w:p w:rsidR="003A7F9B" w:rsidRPr="00B6271C" w:rsidRDefault="003A7F9B" w:rsidP="00B6271C">
            <w:pPr>
              <w:pStyle w:val="Title"/>
              <w:jc w:val="lowKashida"/>
              <w:rPr>
                <w:rFonts w:ascii="Simplified Arabic" w:hAnsi="Simplified Arabic" w:cs="Simplified Arabic"/>
                <w:b w:val="0"/>
                <w:bCs w:val="0"/>
                <w:sz w:val="26"/>
                <w:szCs w:val="26"/>
                <w:u w:val="none"/>
                <w:rtl/>
              </w:rPr>
            </w:pPr>
            <w:r w:rsidRPr="00B6271C">
              <w:rPr>
                <w:rFonts w:ascii="Simplified Arabic" w:hAnsi="Simplified Arabic" w:cs="Simplified Arabic"/>
                <w:b w:val="0"/>
                <w:bCs w:val="0"/>
                <w:sz w:val="26"/>
                <w:szCs w:val="26"/>
                <w:u w:val="none"/>
                <w:rtl/>
              </w:rPr>
              <w:t xml:space="preserve">  تموز</w:t>
            </w:r>
          </w:p>
        </w:tc>
        <w:tc>
          <w:tcPr>
            <w:tcW w:w="2968" w:type="dxa"/>
            <w:vAlign w:val="center"/>
          </w:tcPr>
          <w:p w:rsidR="003A7F9B" w:rsidRPr="00B6271C" w:rsidRDefault="003A7F9B" w:rsidP="00B6271C">
            <w:pPr>
              <w:bidi w:val="0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B6271C">
              <w:rPr>
                <w:rFonts w:ascii="Simplified Arabic" w:hAnsi="Simplified Arabic" w:cs="Simplified Arabic"/>
                <w:sz w:val="26"/>
                <w:szCs w:val="26"/>
                <w:rtl/>
              </w:rPr>
              <w:t>2.68</w:t>
            </w:r>
            <w:r w:rsidRPr="00B6271C">
              <w:rPr>
                <w:rFonts w:ascii="Simplified Arabic" w:hAnsi="Simplified Arabic" w:cs="Simplified Arabic"/>
                <w:sz w:val="26"/>
                <w:szCs w:val="26"/>
              </w:rPr>
              <w:t>+</w:t>
            </w:r>
          </w:p>
        </w:tc>
      </w:tr>
      <w:tr w:rsidR="003A7F9B" w:rsidRPr="00B6271C" w:rsidTr="00EE7354">
        <w:trPr>
          <w:trHeight w:val="419"/>
          <w:jc w:val="center"/>
        </w:trPr>
        <w:tc>
          <w:tcPr>
            <w:tcW w:w="2851" w:type="dxa"/>
            <w:vAlign w:val="center"/>
          </w:tcPr>
          <w:p w:rsidR="003A7F9B" w:rsidRPr="00B6271C" w:rsidRDefault="003A7F9B" w:rsidP="00B6271C">
            <w:pPr>
              <w:pStyle w:val="Title"/>
              <w:jc w:val="lowKashida"/>
              <w:rPr>
                <w:rFonts w:ascii="Simplified Arabic" w:hAnsi="Simplified Arabic" w:cs="Simplified Arabic"/>
                <w:b w:val="0"/>
                <w:bCs w:val="0"/>
                <w:sz w:val="26"/>
                <w:szCs w:val="26"/>
                <w:u w:val="none"/>
                <w:rtl/>
              </w:rPr>
            </w:pPr>
            <w:r w:rsidRPr="00B6271C">
              <w:rPr>
                <w:rFonts w:ascii="Simplified Arabic" w:hAnsi="Simplified Arabic" w:cs="Simplified Arabic"/>
                <w:b w:val="0"/>
                <w:bCs w:val="0"/>
                <w:sz w:val="26"/>
                <w:szCs w:val="26"/>
                <w:u w:val="none"/>
                <w:rtl/>
              </w:rPr>
              <w:t xml:space="preserve">  آب</w:t>
            </w:r>
          </w:p>
        </w:tc>
        <w:tc>
          <w:tcPr>
            <w:tcW w:w="2968" w:type="dxa"/>
            <w:vAlign w:val="center"/>
          </w:tcPr>
          <w:p w:rsidR="003A7F9B" w:rsidRPr="00B6271C" w:rsidRDefault="003A7F9B" w:rsidP="00B6271C">
            <w:pPr>
              <w:bidi w:val="0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B6271C">
              <w:rPr>
                <w:rFonts w:ascii="Simplified Arabic" w:hAnsi="Simplified Arabic" w:cs="Simplified Arabic"/>
                <w:sz w:val="26"/>
                <w:szCs w:val="26"/>
                <w:rtl/>
              </w:rPr>
              <w:t>4.98</w:t>
            </w:r>
            <w:r w:rsidRPr="00B6271C">
              <w:rPr>
                <w:rFonts w:ascii="Simplified Arabic" w:hAnsi="Simplified Arabic" w:cs="Simplified Arabic"/>
                <w:sz w:val="26"/>
                <w:szCs w:val="26"/>
              </w:rPr>
              <w:t>+</w:t>
            </w:r>
          </w:p>
        </w:tc>
      </w:tr>
      <w:tr w:rsidR="003A7F9B" w:rsidRPr="00B6271C" w:rsidTr="00EE7354">
        <w:trPr>
          <w:trHeight w:val="419"/>
          <w:jc w:val="center"/>
        </w:trPr>
        <w:tc>
          <w:tcPr>
            <w:tcW w:w="2851" w:type="dxa"/>
            <w:vAlign w:val="center"/>
          </w:tcPr>
          <w:p w:rsidR="003A7F9B" w:rsidRPr="00B6271C" w:rsidRDefault="003A7F9B" w:rsidP="00B6271C">
            <w:pPr>
              <w:pStyle w:val="Title"/>
              <w:jc w:val="lowKashida"/>
              <w:rPr>
                <w:rFonts w:ascii="Simplified Arabic" w:hAnsi="Simplified Arabic" w:cs="Simplified Arabic"/>
                <w:b w:val="0"/>
                <w:bCs w:val="0"/>
                <w:sz w:val="26"/>
                <w:szCs w:val="26"/>
                <w:u w:val="none"/>
                <w:rtl/>
              </w:rPr>
            </w:pPr>
            <w:r w:rsidRPr="00B6271C">
              <w:rPr>
                <w:rFonts w:ascii="Simplified Arabic" w:hAnsi="Simplified Arabic" w:cs="Simplified Arabic"/>
                <w:b w:val="0"/>
                <w:bCs w:val="0"/>
                <w:sz w:val="26"/>
                <w:szCs w:val="26"/>
                <w:u w:val="none"/>
                <w:rtl/>
              </w:rPr>
              <w:t xml:space="preserve">  أيلول</w:t>
            </w:r>
          </w:p>
        </w:tc>
        <w:tc>
          <w:tcPr>
            <w:tcW w:w="2968" w:type="dxa"/>
            <w:vAlign w:val="center"/>
          </w:tcPr>
          <w:p w:rsidR="003A7F9B" w:rsidRPr="00B6271C" w:rsidRDefault="003A7F9B" w:rsidP="00B6271C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6271C">
              <w:rPr>
                <w:rFonts w:ascii="Simplified Arabic" w:hAnsi="Simplified Arabic" w:cs="Simplified Arabic"/>
                <w:sz w:val="26"/>
                <w:szCs w:val="26"/>
                <w:rtl/>
              </w:rPr>
              <w:t>-4.37</w:t>
            </w:r>
          </w:p>
        </w:tc>
      </w:tr>
      <w:tr w:rsidR="003A7F9B" w:rsidRPr="00B6271C" w:rsidTr="00EE7354">
        <w:trPr>
          <w:trHeight w:val="419"/>
          <w:jc w:val="center"/>
        </w:trPr>
        <w:tc>
          <w:tcPr>
            <w:tcW w:w="2851" w:type="dxa"/>
            <w:vAlign w:val="center"/>
          </w:tcPr>
          <w:p w:rsidR="003A7F9B" w:rsidRPr="00B6271C" w:rsidRDefault="003A7F9B" w:rsidP="00B6271C">
            <w:pPr>
              <w:pStyle w:val="Title"/>
              <w:jc w:val="lowKashida"/>
              <w:rPr>
                <w:rFonts w:ascii="Simplified Arabic" w:hAnsi="Simplified Arabic" w:cs="Simplified Arabic"/>
                <w:b w:val="0"/>
                <w:bCs w:val="0"/>
                <w:sz w:val="26"/>
                <w:szCs w:val="26"/>
                <w:u w:val="none"/>
                <w:rtl/>
              </w:rPr>
            </w:pPr>
            <w:r w:rsidRPr="00B6271C">
              <w:rPr>
                <w:rFonts w:ascii="Simplified Arabic" w:hAnsi="Simplified Arabic" w:cs="Simplified Arabic"/>
                <w:b w:val="0"/>
                <w:bCs w:val="0"/>
                <w:sz w:val="26"/>
                <w:szCs w:val="26"/>
                <w:u w:val="none"/>
                <w:rtl/>
              </w:rPr>
              <w:t xml:space="preserve">  تشرين أول</w:t>
            </w:r>
          </w:p>
        </w:tc>
        <w:tc>
          <w:tcPr>
            <w:tcW w:w="2968" w:type="dxa"/>
            <w:vAlign w:val="center"/>
          </w:tcPr>
          <w:p w:rsidR="003A7F9B" w:rsidRPr="00B6271C" w:rsidRDefault="003A7F9B" w:rsidP="00B6271C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6271C">
              <w:rPr>
                <w:rFonts w:ascii="Simplified Arabic" w:hAnsi="Simplified Arabic" w:cs="Simplified Arabic"/>
                <w:sz w:val="26"/>
                <w:szCs w:val="26"/>
                <w:rtl/>
              </w:rPr>
              <w:t>-25.11</w:t>
            </w:r>
          </w:p>
        </w:tc>
      </w:tr>
      <w:tr w:rsidR="003A7F9B" w:rsidRPr="00B6271C" w:rsidTr="00EE7354">
        <w:trPr>
          <w:trHeight w:val="419"/>
          <w:jc w:val="center"/>
        </w:trPr>
        <w:tc>
          <w:tcPr>
            <w:tcW w:w="2851" w:type="dxa"/>
            <w:vAlign w:val="center"/>
          </w:tcPr>
          <w:p w:rsidR="003A7F9B" w:rsidRPr="00B6271C" w:rsidRDefault="003A7F9B" w:rsidP="00B6271C">
            <w:pPr>
              <w:pStyle w:val="Title"/>
              <w:jc w:val="lowKashida"/>
              <w:rPr>
                <w:rFonts w:ascii="Simplified Arabic" w:hAnsi="Simplified Arabic" w:cs="Simplified Arabic"/>
                <w:b w:val="0"/>
                <w:bCs w:val="0"/>
                <w:sz w:val="26"/>
                <w:szCs w:val="26"/>
                <w:u w:val="none"/>
                <w:rtl/>
              </w:rPr>
            </w:pPr>
            <w:r w:rsidRPr="00B6271C">
              <w:rPr>
                <w:rFonts w:ascii="Simplified Arabic" w:hAnsi="Simplified Arabic" w:cs="Simplified Arabic"/>
                <w:b w:val="0"/>
                <w:bCs w:val="0"/>
                <w:sz w:val="26"/>
                <w:szCs w:val="26"/>
                <w:u w:val="none"/>
                <w:rtl/>
              </w:rPr>
              <w:t xml:space="preserve">  تشرين ثاني</w:t>
            </w:r>
          </w:p>
        </w:tc>
        <w:tc>
          <w:tcPr>
            <w:tcW w:w="2968" w:type="dxa"/>
            <w:vAlign w:val="center"/>
          </w:tcPr>
          <w:p w:rsidR="003A7F9B" w:rsidRPr="00B6271C" w:rsidRDefault="003A7F9B" w:rsidP="00B6271C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6271C">
              <w:rPr>
                <w:rFonts w:ascii="Simplified Arabic" w:hAnsi="Simplified Arabic" w:cs="Simplified Arabic"/>
                <w:sz w:val="26"/>
                <w:szCs w:val="26"/>
                <w:rtl/>
              </w:rPr>
              <w:t>-9.33</w:t>
            </w:r>
          </w:p>
        </w:tc>
      </w:tr>
      <w:tr w:rsidR="003A7F9B" w:rsidRPr="00B6271C" w:rsidTr="00EE7354">
        <w:trPr>
          <w:trHeight w:val="419"/>
          <w:jc w:val="center"/>
        </w:trPr>
        <w:tc>
          <w:tcPr>
            <w:tcW w:w="2851" w:type="dxa"/>
            <w:vAlign w:val="center"/>
          </w:tcPr>
          <w:p w:rsidR="003A7F9B" w:rsidRPr="00B6271C" w:rsidRDefault="003A7F9B" w:rsidP="00B6271C">
            <w:pPr>
              <w:pStyle w:val="Title"/>
              <w:jc w:val="lowKashida"/>
              <w:rPr>
                <w:rFonts w:ascii="Simplified Arabic" w:hAnsi="Simplified Arabic" w:cs="Simplified Arabic"/>
                <w:b w:val="0"/>
                <w:bCs w:val="0"/>
                <w:sz w:val="26"/>
                <w:szCs w:val="26"/>
                <w:u w:val="none"/>
                <w:rtl/>
              </w:rPr>
            </w:pPr>
            <w:r w:rsidRPr="00B6271C">
              <w:rPr>
                <w:rFonts w:ascii="Simplified Arabic" w:hAnsi="Simplified Arabic" w:cs="Simplified Arabic"/>
                <w:b w:val="0"/>
                <w:bCs w:val="0"/>
                <w:sz w:val="26"/>
                <w:szCs w:val="26"/>
                <w:u w:val="none"/>
                <w:rtl/>
              </w:rPr>
              <w:t xml:space="preserve">  كانون أول</w:t>
            </w:r>
          </w:p>
        </w:tc>
        <w:tc>
          <w:tcPr>
            <w:tcW w:w="2968" w:type="dxa"/>
            <w:vAlign w:val="center"/>
          </w:tcPr>
          <w:p w:rsidR="003A7F9B" w:rsidRPr="00B6271C" w:rsidRDefault="008804A6" w:rsidP="00B6271C">
            <w:pPr>
              <w:bidi w:val="0"/>
              <w:jc w:val="center"/>
              <w:rPr>
                <w:rFonts w:ascii="Simplified Arabic" w:hAnsi="Simplified Arabic" w:cs="Simplified Arabic"/>
                <w:sz w:val="26"/>
                <w:szCs w:val="26"/>
                <w:lang w:eastAsia="en-US"/>
              </w:rPr>
            </w:pPr>
            <w:r w:rsidRPr="00B6271C">
              <w:rPr>
                <w:rFonts w:ascii="Simplified Arabic" w:hAnsi="Simplified Arabic" w:cs="Simplified Arabic"/>
                <w:sz w:val="26"/>
                <w:szCs w:val="26"/>
                <w:rtl/>
              </w:rPr>
              <w:t>2.42</w:t>
            </w:r>
            <w:r w:rsidRPr="00B6271C">
              <w:rPr>
                <w:rFonts w:ascii="Simplified Arabic" w:hAnsi="Simplified Arabic" w:cs="Simplified Arabic"/>
                <w:sz w:val="26"/>
                <w:szCs w:val="26"/>
              </w:rPr>
              <w:t>+</w:t>
            </w:r>
          </w:p>
        </w:tc>
      </w:tr>
    </w:tbl>
    <w:p w:rsidR="00E04EC8" w:rsidRPr="00EE7354" w:rsidRDefault="00E04EC8" w:rsidP="00B6271C">
      <w:pPr>
        <w:pStyle w:val="Title"/>
        <w:rPr>
          <w:rFonts w:ascii="Simplified Arabic" w:hAnsi="Simplified Arabic" w:cs="Simplified Arabic"/>
          <w:sz w:val="16"/>
          <w:szCs w:val="16"/>
          <w:u w:val="none"/>
          <w:rtl/>
        </w:rPr>
      </w:pPr>
    </w:p>
    <w:p w:rsidR="00EE7354" w:rsidRDefault="00A6329B" w:rsidP="00B6271C">
      <w:pPr>
        <w:pStyle w:val="Title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B6271C">
        <w:rPr>
          <w:rFonts w:ascii="Simplified Arabic" w:hAnsi="Simplified Arabic" w:cs="Simplified Arabic"/>
          <w:sz w:val="28"/>
          <w:szCs w:val="28"/>
          <w:u w:val="none"/>
          <w:rtl/>
        </w:rPr>
        <w:t>الاتجاه العام لحركة الأرقام القياسية لكميات الإنتاج الصناعي في فلسطين للفترة:</w:t>
      </w:r>
    </w:p>
    <w:p w:rsidR="00A6329B" w:rsidRPr="00EE7354" w:rsidRDefault="00A6329B" w:rsidP="00EE7354">
      <w:pPr>
        <w:pStyle w:val="Title"/>
        <w:rPr>
          <w:rFonts w:ascii="Simplified Arabic" w:hAnsi="Simplified Arabic" w:cs="Simplified Arabic"/>
          <w:sz w:val="28"/>
          <w:szCs w:val="28"/>
          <w:u w:val="none"/>
        </w:rPr>
      </w:pPr>
      <w:r w:rsidRPr="00B6271C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كانون ثاني – كانون أول </w:t>
      </w:r>
      <w:r w:rsidR="00EA4CAF" w:rsidRPr="00B6271C">
        <w:rPr>
          <w:rFonts w:ascii="Simplified Arabic" w:hAnsi="Simplified Arabic" w:cs="Simplified Arabic"/>
          <w:sz w:val="28"/>
          <w:szCs w:val="28"/>
          <w:u w:val="none"/>
          <w:rtl/>
        </w:rPr>
        <w:t>2023</w:t>
      </w:r>
      <w:r w:rsidR="00EE7354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</w:t>
      </w:r>
      <w:r w:rsidRPr="00B6271C">
        <w:rPr>
          <w:rFonts w:ascii="Simplified Arabic" w:hAnsi="Simplified Arabic" w:cs="Simplified Arabic"/>
          <w:sz w:val="28"/>
          <w:szCs w:val="28"/>
          <w:u w:val="none"/>
          <w:rtl/>
        </w:rPr>
        <w:t>(سنة الأساس 2019 = 100)</w:t>
      </w:r>
    </w:p>
    <w:p w:rsidR="00A6329B" w:rsidRPr="00B6271C" w:rsidRDefault="00A6329B" w:rsidP="00B6271C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8"/>
          <w:szCs w:val="8"/>
          <w:u w:val="none"/>
          <w:rtl/>
        </w:rPr>
      </w:pPr>
    </w:p>
    <w:p w:rsidR="00A6329B" w:rsidRPr="00B6271C" w:rsidRDefault="00A216AF" w:rsidP="00B6271C">
      <w:pPr>
        <w:pStyle w:val="Title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B6271C">
        <w:rPr>
          <w:rFonts w:ascii="Simplified Arabic" w:hAnsi="Simplified Arabic" w:cs="Simplified Arabic"/>
          <w:b w:val="0"/>
          <w:bCs w:val="0"/>
          <w:u w:val="none"/>
          <w:lang w:val="en-US" w:eastAsia="en-US"/>
        </w:rPr>
        <w:drawing>
          <wp:inline distT="0" distB="0" distL="0" distR="0">
            <wp:extent cx="3238500" cy="2371725"/>
            <wp:effectExtent l="0" t="0" r="0" b="9525"/>
            <wp:docPr id="2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E7354" w:rsidRPr="00EE7354" w:rsidRDefault="00EE7354" w:rsidP="00B6271C">
      <w:pPr>
        <w:pStyle w:val="BodyText2"/>
        <w:spacing w:after="0" w:line="240" w:lineRule="auto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3A5B7F" w:rsidRPr="00EE7354" w:rsidRDefault="003A5B7F" w:rsidP="00B6271C">
      <w:pPr>
        <w:pStyle w:val="BodyText2"/>
        <w:spacing w:after="0" w:line="240" w:lineRule="auto"/>
        <w:rPr>
          <w:rFonts w:ascii="Simplified Arabic" w:hAnsi="Simplified Arabic" w:cs="Simplified Arabic"/>
          <w:b/>
          <w:bCs/>
          <w:lang w:val="en-US"/>
        </w:rPr>
      </w:pPr>
      <w:r w:rsidRPr="00EE7354">
        <w:rPr>
          <w:rFonts w:ascii="Simplified Arabic" w:hAnsi="Simplified Arabic" w:cs="Simplified Arabic"/>
          <w:b/>
          <w:bCs/>
          <w:rtl/>
        </w:rPr>
        <w:t>تنويه لمستخدمي البيانات:</w:t>
      </w:r>
    </w:p>
    <w:p w:rsidR="00BA5028" w:rsidRPr="00EE7354" w:rsidRDefault="003A5B7F" w:rsidP="00EE7354">
      <w:pPr>
        <w:pStyle w:val="ListParagraph"/>
        <w:tabs>
          <w:tab w:val="left" w:pos="282"/>
        </w:tabs>
        <w:spacing w:line="240" w:lineRule="auto"/>
        <w:ind w:left="-1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EE7354">
        <w:rPr>
          <w:rFonts w:ascii="Simplified Arabic" w:hAnsi="Simplified Arabic" w:cs="Simplified Arabic"/>
          <w:sz w:val="24"/>
          <w:szCs w:val="24"/>
          <w:rtl/>
        </w:rPr>
        <w:t>بسبب العدوان الاسرائيلي على قطاع غزة في</w:t>
      </w:r>
      <w:r w:rsidR="00187BA4" w:rsidRPr="00EE7354">
        <w:rPr>
          <w:rFonts w:ascii="Simplified Arabic" w:hAnsi="Simplified Arabic" w:cs="Simplified Arabic"/>
          <w:sz w:val="24"/>
          <w:szCs w:val="24"/>
          <w:rtl/>
        </w:rPr>
        <w:t xml:space="preserve"> السابع من</w:t>
      </w:r>
      <w:r w:rsidRPr="00EE7354">
        <w:rPr>
          <w:rFonts w:ascii="Simplified Arabic" w:hAnsi="Simplified Arabic" w:cs="Simplified Arabic"/>
          <w:sz w:val="24"/>
          <w:szCs w:val="24"/>
          <w:rtl/>
        </w:rPr>
        <w:t xml:space="preserve"> تشرين الأول من العام 2023</w:t>
      </w:r>
      <w:r w:rsidR="00FB6C03" w:rsidRPr="00EE7354">
        <w:rPr>
          <w:rFonts w:ascii="Simplified Arabic" w:hAnsi="Simplified Arabic" w:cs="Simplified Arabic"/>
          <w:sz w:val="24"/>
          <w:szCs w:val="24"/>
          <w:rtl/>
        </w:rPr>
        <w:t xml:space="preserve"> تم تقدير قيم الإ</w:t>
      </w:r>
      <w:r w:rsidR="00DA5200" w:rsidRPr="00EE7354">
        <w:rPr>
          <w:rFonts w:ascii="Simplified Arabic" w:hAnsi="Simplified Arabic" w:cs="Simplified Arabic"/>
          <w:sz w:val="24"/>
          <w:szCs w:val="24"/>
          <w:rtl/>
        </w:rPr>
        <w:t xml:space="preserve">نتاج </w:t>
      </w:r>
      <w:r w:rsidR="007667F6" w:rsidRPr="00EE7354">
        <w:rPr>
          <w:rFonts w:ascii="Simplified Arabic" w:hAnsi="Simplified Arabic" w:cs="Simplified Arabic"/>
          <w:sz w:val="24"/>
          <w:szCs w:val="24"/>
          <w:rtl/>
        </w:rPr>
        <w:t>ل</w:t>
      </w:r>
      <w:r w:rsidR="00187BA4" w:rsidRPr="00EE7354">
        <w:rPr>
          <w:rFonts w:ascii="Simplified Arabic" w:hAnsi="Simplified Arabic" w:cs="Simplified Arabic"/>
          <w:sz w:val="24"/>
          <w:szCs w:val="24"/>
          <w:rtl/>
        </w:rPr>
        <w:t xml:space="preserve">لمنشآت الصناعية العاملة في قطاع غزة لشهر </w:t>
      </w:r>
      <w:r w:rsidR="00576EBC" w:rsidRPr="00EE7354">
        <w:rPr>
          <w:rFonts w:ascii="Simplified Arabic" w:hAnsi="Simplified Arabic" w:cs="Simplified Arabic"/>
          <w:sz w:val="24"/>
          <w:szCs w:val="24"/>
          <w:rtl/>
        </w:rPr>
        <w:t>كانون الأ</w:t>
      </w:r>
      <w:r w:rsidR="00A6329B" w:rsidRPr="00EE7354">
        <w:rPr>
          <w:rFonts w:ascii="Simplified Arabic" w:hAnsi="Simplified Arabic" w:cs="Simplified Arabic"/>
          <w:sz w:val="24"/>
          <w:szCs w:val="24"/>
          <w:rtl/>
        </w:rPr>
        <w:t>ول</w:t>
      </w:r>
      <w:r w:rsidR="00187BA4" w:rsidRPr="00EE7354">
        <w:rPr>
          <w:rFonts w:ascii="Simplified Arabic" w:hAnsi="Simplified Arabic" w:cs="Simplified Arabic"/>
          <w:sz w:val="24"/>
          <w:szCs w:val="24"/>
          <w:rtl/>
        </w:rPr>
        <w:t xml:space="preserve"> 2023</w:t>
      </w:r>
      <w:r w:rsidRPr="00EE7354">
        <w:rPr>
          <w:rFonts w:ascii="Simplified Arabic" w:hAnsi="Simplified Arabic" w:cs="Simplified Arabic"/>
          <w:sz w:val="24"/>
          <w:szCs w:val="24"/>
          <w:rtl/>
        </w:rPr>
        <w:t xml:space="preserve"> اعتماد على التوصيات الدولية</w:t>
      </w:r>
      <w:r w:rsidR="00187BA4" w:rsidRPr="00EE7354">
        <w:rPr>
          <w:rFonts w:ascii="Simplified Arabic" w:hAnsi="Simplified Arabic" w:cs="Simplified Arabic"/>
          <w:sz w:val="24"/>
          <w:szCs w:val="24"/>
          <w:rtl/>
        </w:rPr>
        <w:t xml:space="preserve"> في هذا المجال</w:t>
      </w:r>
      <w:r w:rsidRPr="00EE7354">
        <w:rPr>
          <w:rFonts w:ascii="Simplified Arabic" w:hAnsi="Simplified Arabic" w:cs="Simplified Arabic"/>
          <w:sz w:val="24"/>
          <w:szCs w:val="24"/>
          <w:rtl/>
        </w:rPr>
        <w:t>.</w:t>
      </w:r>
      <w:bookmarkEnd w:id="0"/>
      <w:bookmarkEnd w:id="1"/>
    </w:p>
    <w:sectPr w:rsidR="00BA5028" w:rsidRPr="00EE7354" w:rsidSect="00B6271C">
      <w:footerReference w:type="even" r:id="rId9"/>
      <w:type w:val="continuous"/>
      <w:pgSz w:w="11907" w:h="16840" w:code="9"/>
      <w:pgMar w:top="1134" w:right="1134" w:bottom="1134" w:left="1134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A7E" w:rsidRDefault="00F53A7E">
      <w:r>
        <w:separator/>
      </w:r>
    </w:p>
  </w:endnote>
  <w:endnote w:type="continuationSeparator" w:id="0">
    <w:p w:rsidR="00F53A7E" w:rsidRDefault="00F5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A7E" w:rsidRDefault="00F53A7E">
      <w:r>
        <w:separator/>
      </w:r>
    </w:p>
  </w:footnote>
  <w:footnote w:type="continuationSeparator" w:id="0">
    <w:p w:rsidR="00F53A7E" w:rsidRDefault="00F53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C4A"/>
    <w:rsid w:val="000031CD"/>
    <w:rsid w:val="00004C99"/>
    <w:rsid w:val="00004E29"/>
    <w:rsid w:val="00005373"/>
    <w:rsid w:val="00006A1D"/>
    <w:rsid w:val="000070BC"/>
    <w:rsid w:val="000074CB"/>
    <w:rsid w:val="00007DDF"/>
    <w:rsid w:val="00010EB6"/>
    <w:rsid w:val="00011CCC"/>
    <w:rsid w:val="00013101"/>
    <w:rsid w:val="00014370"/>
    <w:rsid w:val="00014FF9"/>
    <w:rsid w:val="000152DF"/>
    <w:rsid w:val="00016ACE"/>
    <w:rsid w:val="00023237"/>
    <w:rsid w:val="00025852"/>
    <w:rsid w:val="00026468"/>
    <w:rsid w:val="00026C82"/>
    <w:rsid w:val="00026D44"/>
    <w:rsid w:val="00027477"/>
    <w:rsid w:val="00031C85"/>
    <w:rsid w:val="00032ADA"/>
    <w:rsid w:val="00040D4A"/>
    <w:rsid w:val="00043524"/>
    <w:rsid w:val="00043A73"/>
    <w:rsid w:val="00044632"/>
    <w:rsid w:val="000447D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7A3"/>
    <w:rsid w:val="00060CE3"/>
    <w:rsid w:val="00061BE7"/>
    <w:rsid w:val="000656C9"/>
    <w:rsid w:val="000666A2"/>
    <w:rsid w:val="00067B10"/>
    <w:rsid w:val="0007041B"/>
    <w:rsid w:val="00071813"/>
    <w:rsid w:val="00072E14"/>
    <w:rsid w:val="000737B1"/>
    <w:rsid w:val="000769FE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A45AD"/>
    <w:rsid w:val="000B1809"/>
    <w:rsid w:val="000B311B"/>
    <w:rsid w:val="000B3B05"/>
    <w:rsid w:val="000B4906"/>
    <w:rsid w:val="000B685C"/>
    <w:rsid w:val="000C1DD6"/>
    <w:rsid w:val="000C27D0"/>
    <w:rsid w:val="000C3E34"/>
    <w:rsid w:val="000C3FFE"/>
    <w:rsid w:val="000C5831"/>
    <w:rsid w:val="000C6281"/>
    <w:rsid w:val="000D34D6"/>
    <w:rsid w:val="000D386D"/>
    <w:rsid w:val="000D6DA1"/>
    <w:rsid w:val="000D729C"/>
    <w:rsid w:val="000E08FB"/>
    <w:rsid w:val="000E1ECC"/>
    <w:rsid w:val="000E2142"/>
    <w:rsid w:val="000E2A63"/>
    <w:rsid w:val="000E6A56"/>
    <w:rsid w:val="000E76A1"/>
    <w:rsid w:val="000E7D2B"/>
    <w:rsid w:val="000F0B18"/>
    <w:rsid w:val="000F2FB5"/>
    <w:rsid w:val="000F3296"/>
    <w:rsid w:val="000F3C07"/>
    <w:rsid w:val="000F486E"/>
    <w:rsid w:val="000F4893"/>
    <w:rsid w:val="000F4CC2"/>
    <w:rsid w:val="000F4D0D"/>
    <w:rsid w:val="000F7CC4"/>
    <w:rsid w:val="0010160E"/>
    <w:rsid w:val="001029A7"/>
    <w:rsid w:val="00102D12"/>
    <w:rsid w:val="00102E44"/>
    <w:rsid w:val="00103EC8"/>
    <w:rsid w:val="00104BCC"/>
    <w:rsid w:val="00105497"/>
    <w:rsid w:val="00107CD9"/>
    <w:rsid w:val="0011178C"/>
    <w:rsid w:val="0011178F"/>
    <w:rsid w:val="00113B8A"/>
    <w:rsid w:val="00117F6F"/>
    <w:rsid w:val="001229F9"/>
    <w:rsid w:val="00122F74"/>
    <w:rsid w:val="00123168"/>
    <w:rsid w:val="00125A49"/>
    <w:rsid w:val="00125B18"/>
    <w:rsid w:val="00127647"/>
    <w:rsid w:val="00132028"/>
    <w:rsid w:val="00132C19"/>
    <w:rsid w:val="001340D0"/>
    <w:rsid w:val="0013483C"/>
    <w:rsid w:val="00135F8D"/>
    <w:rsid w:val="00136AAF"/>
    <w:rsid w:val="0013743F"/>
    <w:rsid w:val="00141349"/>
    <w:rsid w:val="001433FB"/>
    <w:rsid w:val="00144D52"/>
    <w:rsid w:val="0014569F"/>
    <w:rsid w:val="00145703"/>
    <w:rsid w:val="00145B98"/>
    <w:rsid w:val="0015094D"/>
    <w:rsid w:val="00151048"/>
    <w:rsid w:val="001528FA"/>
    <w:rsid w:val="001565FC"/>
    <w:rsid w:val="00157A55"/>
    <w:rsid w:val="00157CF5"/>
    <w:rsid w:val="00157E4D"/>
    <w:rsid w:val="001607CF"/>
    <w:rsid w:val="00161BF1"/>
    <w:rsid w:val="00161D0B"/>
    <w:rsid w:val="0016269C"/>
    <w:rsid w:val="001632BB"/>
    <w:rsid w:val="00163D65"/>
    <w:rsid w:val="00164671"/>
    <w:rsid w:val="00164F31"/>
    <w:rsid w:val="0016549A"/>
    <w:rsid w:val="00166879"/>
    <w:rsid w:val="00167E10"/>
    <w:rsid w:val="00167EB5"/>
    <w:rsid w:val="00170517"/>
    <w:rsid w:val="00171EE9"/>
    <w:rsid w:val="00171EF1"/>
    <w:rsid w:val="0017221A"/>
    <w:rsid w:val="00172A1D"/>
    <w:rsid w:val="0017340B"/>
    <w:rsid w:val="0017411C"/>
    <w:rsid w:val="0017492B"/>
    <w:rsid w:val="001754A1"/>
    <w:rsid w:val="00175DE0"/>
    <w:rsid w:val="0017626B"/>
    <w:rsid w:val="00177232"/>
    <w:rsid w:val="00180479"/>
    <w:rsid w:val="00182870"/>
    <w:rsid w:val="00182B1B"/>
    <w:rsid w:val="00183E9B"/>
    <w:rsid w:val="001841F1"/>
    <w:rsid w:val="001870D0"/>
    <w:rsid w:val="00187BA4"/>
    <w:rsid w:val="00187F2D"/>
    <w:rsid w:val="00190009"/>
    <w:rsid w:val="00191547"/>
    <w:rsid w:val="00191E99"/>
    <w:rsid w:val="001942A7"/>
    <w:rsid w:val="0019447A"/>
    <w:rsid w:val="001A008F"/>
    <w:rsid w:val="001A28BF"/>
    <w:rsid w:val="001A3B68"/>
    <w:rsid w:val="001A4B6C"/>
    <w:rsid w:val="001B013E"/>
    <w:rsid w:val="001B3581"/>
    <w:rsid w:val="001B4023"/>
    <w:rsid w:val="001B41D3"/>
    <w:rsid w:val="001B4775"/>
    <w:rsid w:val="001B5474"/>
    <w:rsid w:val="001B5837"/>
    <w:rsid w:val="001C05B2"/>
    <w:rsid w:val="001C0B17"/>
    <w:rsid w:val="001C11D9"/>
    <w:rsid w:val="001C1D71"/>
    <w:rsid w:val="001C2E96"/>
    <w:rsid w:val="001C316D"/>
    <w:rsid w:val="001C38E9"/>
    <w:rsid w:val="001C4CC1"/>
    <w:rsid w:val="001C7C59"/>
    <w:rsid w:val="001C7D2F"/>
    <w:rsid w:val="001D07CE"/>
    <w:rsid w:val="001D09DA"/>
    <w:rsid w:val="001D1738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32E0"/>
    <w:rsid w:val="001E4A24"/>
    <w:rsid w:val="001E5800"/>
    <w:rsid w:val="001E5F44"/>
    <w:rsid w:val="001E6C17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A6A"/>
    <w:rsid w:val="00207CEC"/>
    <w:rsid w:val="002107FF"/>
    <w:rsid w:val="00210DD4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654"/>
    <w:rsid w:val="0022381C"/>
    <w:rsid w:val="00224DE4"/>
    <w:rsid w:val="00225A88"/>
    <w:rsid w:val="0022665B"/>
    <w:rsid w:val="00226E68"/>
    <w:rsid w:val="00227ECA"/>
    <w:rsid w:val="00230529"/>
    <w:rsid w:val="0023226F"/>
    <w:rsid w:val="002328EE"/>
    <w:rsid w:val="00234611"/>
    <w:rsid w:val="00235728"/>
    <w:rsid w:val="00236924"/>
    <w:rsid w:val="0023743F"/>
    <w:rsid w:val="00237885"/>
    <w:rsid w:val="00240FD0"/>
    <w:rsid w:val="0024335A"/>
    <w:rsid w:val="00245664"/>
    <w:rsid w:val="00247597"/>
    <w:rsid w:val="002526C7"/>
    <w:rsid w:val="002533BC"/>
    <w:rsid w:val="0025345A"/>
    <w:rsid w:val="00256C9F"/>
    <w:rsid w:val="00257452"/>
    <w:rsid w:val="00260BC1"/>
    <w:rsid w:val="002630D3"/>
    <w:rsid w:val="00273540"/>
    <w:rsid w:val="002769B2"/>
    <w:rsid w:val="00280788"/>
    <w:rsid w:val="00280BC9"/>
    <w:rsid w:val="002839B0"/>
    <w:rsid w:val="00285232"/>
    <w:rsid w:val="00285EE7"/>
    <w:rsid w:val="0028698F"/>
    <w:rsid w:val="00286AE0"/>
    <w:rsid w:val="00286B7F"/>
    <w:rsid w:val="00290C61"/>
    <w:rsid w:val="00291FA1"/>
    <w:rsid w:val="002933AA"/>
    <w:rsid w:val="00294F71"/>
    <w:rsid w:val="00296D3B"/>
    <w:rsid w:val="00296EF8"/>
    <w:rsid w:val="0029720F"/>
    <w:rsid w:val="002A2ACE"/>
    <w:rsid w:val="002A344C"/>
    <w:rsid w:val="002A3F7F"/>
    <w:rsid w:val="002A40BB"/>
    <w:rsid w:val="002A4C62"/>
    <w:rsid w:val="002A51F4"/>
    <w:rsid w:val="002A5E8F"/>
    <w:rsid w:val="002A60D7"/>
    <w:rsid w:val="002A6705"/>
    <w:rsid w:val="002A681C"/>
    <w:rsid w:val="002A754F"/>
    <w:rsid w:val="002A7B89"/>
    <w:rsid w:val="002B183C"/>
    <w:rsid w:val="002B22E3"/>
    <w:rsid w:val="002B3CE2"/>
    <w:rsid w:val="002B4359"/>
    <w:rsid w:val="002B6B7A"/>
    <w:rsid w:val="002B7288"/>
    <w:rsid w:val="002C07CD"/>
    <w:rsid w:val="002C0C14"/>
    <w:rsid w:val="002C60E6"/>
    <w:rsid w:val="002C6647"/>
    <w:rsid w:val="002D1031"/>
    <w:rsid w:val="002D5217"/>
    <w:rsid w:val="002D5432"/>
    <w:rsid w:val="002D55F6"/>
    <w:rsid w:val="002D72F3"/>
    <w:rsid w:val="002E01C5"/>
    <w:rsid w:val="002E1E02"/>
    <w:rsid w:val="002E2E8C"/>
    <w:rsid w:val="002E2ED5"/>
    <w:rsid w:val="002E63B4"/>
    <w:rsid w:val="002E7418"/>
    <w:rsid w:val="002F043D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40F3"/>
    <w:rsid w:val="003058F0"/>
    <w:rsid w:val="00305B7D"/>
    <w:rsid w:val="00305BDD"/>
    <w:rsid w:val="003064D6"/>
    <w:rsid w:val="0030700F"/>
    <w:rsid w:val="00310A95"/>
    <w:rsid w:val="00310F91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47A7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7501"/>
    <w:rsid w:val="0034751A"/>
    <w:rsid w:val="00350A83"/>
    <w:rsid w:val="003516BD"/>
    <w:rsid w:val="003518CD"/>
    <w:rsid w:val="00352EC2"/>
    <w:rsid w:val="003549CB"/>
    <w:rsid w:val="00361C92"/>
    <w:rsid w:val="00361D43"/>
    <w:rsid w:val="00361EBC"/>
    <w:rsid w:val="003641B0"/>
    <w:rsid w:val="00364DEC"/>
    <w:rsid w:val="00365180"/>
    <w:rsid w:val="00367AC0"/>
    <w:rsid w:val="00370923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F0"/>
    <w:rsid w:val="003A3043"/>
    <w:rsid w:val="003A5B7F"/>
    <w:rsid w:val="003A6D74"/>
    <w:rsid w:val="003A6EB1"/>
    <w:rsid w:val="003A71C3"/>
    <w:rsid w:val="003A7F9B"/>
    <w:rsid w:val="003B064B"/>
    <w:rsid w:val="003B0FC1"/>
    <w:rsid w:val="003B36BC"/>
    <w:rsid w:val="003B3A53"/>
    <w:rsid w:val="003B3B57"/>
    <w:rsid w:val="003B4926"/>
    <w:rsid w:val="003B5484"/>
    <w:rsid w:val="003B5899"/>
    <w:rsid w:val="003B61FC"/>
    <w:rsid w:val="003C093D"/>
    <w:rsid w:val="003C338D"/>
    <w:rsid w:val="003C476A"/>
    <w:rsid w:val="003C4CF7"/>
    <w:rsid w:val="003C5BCB"/>
    <w:rsid w:val="003C714E"/>
    <w:rsid w:val="003D0A69"/>
    <w:rsid w:val="003D3F11"/>
    <w:rsid w:val="003D6A49"/>
    <w:rsid w:val="003E0790"/>
    <w:rsid w:val="003E11E7"/>
    <w:rsid w:val="003E1B66"/>
    <w:rsid w:val="003E3214"/>
    <w:rsid w:val="003E4393"/>
    <w:rsid w:val="003E4E3D"/>
    <w:rsid w:val="003E52C3"/>
    <w:rsid w:val="003E656B"/>
    <w:rsid w:val="003E7C65"/>
    <w:rsid w:val="003F01CD"/>
    <w:rsid w:val="003F0DB3"/>
    <w:rsid w:val="003F41F2"/>
    <w:rsid w:val="003F4B9A"/>
    <w:rsid w:val="003F5BC3"/>
    <w:rsid w:val="003F5DFA"/>
    <w:rsid w:val="003F6304"/>
    <w:rsid w:val="00400019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16BA7"/>
    <w:rsid w:val="004208A9"/>
    <w:rsid w:val="0042091D"/>
    <w:rsid w:val="0042161F"/>
    <w:rsid w:val="00423028"/>
    <w:rsid w:val="00424748"/>
    <w:rsid w:val="00425F82"/>
    <w:rsid w:val="004269C4"/>
    <w:rsid w:val="00430E16"/>
    <w:rsid w:val="00432A3B"/>
    <w:rsid w:val="00432D21"/>
    <w:rsid w:val="00433B91"/>
    <w:rsid w:val="004341FD"/>
    <w:rsid w:val="00434B8C"/>
    <w:rsid w:val="0043639E"/>
    <w:rsid w:val="004364B2"/>
    <w:rsid w:val="00437C67"/>
    <w:rsid w:val="004413EC"/>
    <w:rsid w:val="004421A1"/>
    <w:rsid w:val="00444D55"/>
    <w:rsid w:val="00446C19"/>
    <w:rsid w:val="00447470"/>
    <w:rsid w:val="00450A43"/>
    <w:rsid w:val="004524D0"/>
    <w:rsid w:val="00452B18"/>
    <w:rsid w:val="004549BE"/>
    <w:rsid w:val="0045747B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285A"/>
    <w:rsid w:val="0047610A"/>
    <w:rsid w:val="0048016A"/>
    <w:rsid w:val="00480457"/>
    <w:rsid w:val="00480D85"/>
    <w:rsid w:val="00481151"/>
    <w:rsid w:val="004812B6"/>
    <w:rsid w:val="004844C3"/>
    <w:rsid w:val="00486ECE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F5D"/>
    <w:rsid w:val="004B203F"/>
    <w:rsid w:val="004B2730"/>
    <w:rsid w:val="004B2FBF"/>
    <w:rsid w:val="004B38B0"/>
    <w:rsid w:val="004B3951"/>
    <w:rsid w:val="004B47D9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0DC9"/>
    <w:rsid w:val="004D2B3F"/>
    <w:rsid w:val="004D4A98"/>
    <w:rsid w:val="004D4CF4"/>
    <w:rsid w:val="004D6EEE"/>
    <w:rsid w:val="004E3033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9D6"/>
    <w:rsid w:val="004F4F27"/>
    <w:rsid w:val="004F6D6E"/>
    <w:rsid w:val="005002C1"/>
    <w:rsid w:val="00500FC9"/>
    <w:rsid w:val="00501B66"/>
    <w:rsid w:val="00501FF4"/>
    <w:rsid w:val="00502608"/>
    <w:rsid w:val="00502708"/>
    <w:rsid w:val="0050383A"/>
    <w:rsid w:val="005059DB"/>
    <w:rsid w:val="0050736E"/>
    <w:rsid w:val="00510448"/>
    <w:rsid w:val="0051057E"/>
    <w:rsid w:val="00510B59"/>
    <w:rsid w:val="00511F4C"/>
    <w:rsid w:val="00512085"/>
    <w:rsid w:val="005127D9"/>
    <w:rsid w:val="005144AF"/>
    <w:rsid w:val="00514A71"/>
    <w:rsid w:val="0051587C"/>
    <w:rsid w:val="00515AFF"/>
    <w:rsid w:val="00515CD3"/>
    <w:rsid w:val="0051737B"/>
    <w:rsid w:val="00517568"/>
    <w:rsid w:val="00517AD2"/>
    <w:rsid w:val="00520026"/>
    <w:rsid w:val="00520704"/>
    <w:rsid w:val="00520E2D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5067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2D37"/>
    <w:rsid w:val="00553775"/>
    <w:rsid w:val="00553E79"/>
    <w:rsid w:val="00554D48"/>
    <w:rsid w:val="00555860"/>
    <w:rsid w:val="00555DF7"/>
    <w:rsid w:val="005567AB"/>
    <w:rsid w:val="005600E6"/>
    <w:rsid w:val="00560F0A"/>
    <w:rsid w:val="0056344C"/>
    <w:rsid w:val="0056428E"/>
    <w:rsid w:val="00564A7E"/>
    <w:rsid w:val="00565DFF"/>
    <w:rsid w:val="005668D8"/>
    <w:rsid w:val="00567587"/>
    <w:rsid w:val="00570E22"/>
    <w:rsid w:val="005717EB"/>
    <w:rsid w:val="00573A9D"/>
    <w:rsid w:val="00575033"/>
    <w:rsid w:val="00576EBC"/>
    <w:rsid w:val="00577187"/>
    <w:rsid w:val="005806CF"/>
    <w:rsid w:val="0058100B"/>
    <w:rsid w:val="00581862"/>
    <w:rsid w:val="0058357D"/>
    <w:rsid w:val="00584128"/>
    <w:rsid w:val="00585D22"/>
    <w:rsid w:val="00590BC6"/>
    <w:rsid w:val="0059121D"/>
    <w:rsid w:val="00594D3E"/>
    <w:rsid w:val="005962A6"/>
    <w:rsid w:val="00596E45"/>
    <w:rsid w:val="00597279"/>
    <w:rsid w:val="00597C97"/>
    <w:rsid w:val="005A094E"/>
    <w:rsid w:val="005A2002"/>
    <w:rsid w:val="005A2071"/>
    <w:rsid w:val="005A29C8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5AB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17B1"/>
    <w:rsid w:val="005E226F"/>
    <w:rsid w:val="005E28C4"/>
    <w:rsid w:val="005E4FDC"/>
    <w:rsid w:val="005E698D"/>
    <w:rsid w:val="005E6D8F"/>
    <w:rsid w:val="005F0EFC"/>
    <w:rsid w:val="005F2293"/>
    <w:rsid w:val="005F38B5"/>
    <w:rsid w:val="005F3B25"/>
    <w:rsid w:val="005F4C26"/>
    <w:rsid w:val="005F5B11"/>
    <w:rsid w:val="005F66EE"/>
    <w:rsid w:val="005F6BD2"/>
    <w:rsid w:val="005F7D87"/>
    <w:rsid w:val="006007E3"/>
    <w:rsid w:val="00604882"/>
    <w:rsid w:val="00604A08"/>
    <w:rsid w:val="00604E13"/>
    <w:rsid w:val="00613984"/>
    <w:rsid w:val="0061480E"/>
    <w:rsid w:val="00615659"/>
    <w:rsid w:val="006159DD"/>
    <w:rsid w:val="006161BC"/>
    <w:rsid w:val="006213B4"/>
    <w:rsid w:val="006236A5"/>
    <w:rsid w:val="00624777"/>
    <w:rsid w:val="00626F03"/>
    <w:rsid w:val="006277B6"/>
    <w:rsid w:val="006316C2"/>
    <w:rsid w:val="00632D6C"/>
    <w:rsid w:val="0064199D"/>
    <w:rsid w:val="00641AF0"/>
    <w:rsid w:val="00643C81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46E0"/>
    <w:rsid w:val="00664B0E"/>
    <w:rsid w:val="00665587"/>
    <w:rsid w:val="006662B7"/>
    <w:rsid w:val="006666D5"/>
    <w:rsid w:val="00667A08"/>
    <w:rsid w:val="00670600"/>
    <w:rsid w:val="0067193C"/>
    <w:rsid w:val="006743B6"/>
    <w:rsid w:val="00674BBB"/>
    <w:rsid w:val="00677363"/>
    <w:rsid w:val="006774AD"/>
    <w:rsid w:val="006776E5"/>
    <w:rsid w:val="00677B36"/>
    <w:rsid w:val="0068616F"/>
    <w:rsid w:val="006876BF"/>
    <w:rsid w:val="00687B46"/>
    <w:rsid w:val="0069230B"/>
    <w:rsid w:val="00692846"/>
    <w:rsid w:val="00693379"/>
    <w:rsid w:val="00693F25"/>
    <w:rsid w:val="00694433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326D"/>
    <w:rsid w:val="006C4006"/>
    <w:rsid w:val="006C49A9"/>
    <w:rsid w:val="006C7B82"/>
    <w:rsid w:val="006D274D"/>
    <w:rsid w:val="006D6C1A"/>
    <w:rsid w:val="006D6CDC"/>
    <w:rsid w:val="006E1635"/>
    <w:rsid w:val="006E2D83"/>
    <w:rsid w:val="006E38FB"/>
    <w:rsid w:val="006E435B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5BC5"/>
    <w:rsid w:val="007060F3"/>
    <w:rsid w:val="00706468"/>
    <w:rsid w:val="0071060D"/>
    <w:rsid w:val="00711027"/>
    <w:rsid w:val="00711889"/>
    <w:rsid w:val="00712B72"/>
    <w:rsid w:val="00713EFD"/>
    <w:rsid w:val="00714F4C"/>
    <w:rsid w:val="00714FB8"/>
    <w:rsid w:val="00715A50"/>
    <w:rsid w:val="00716780"/>
    <w:rsid w:val="00717C25"/>
    <w:rsid w:val="00721396"/>
    <w:rsid w:val="00722FFF"/>
    <w:rsid w:val="007266B7"/>
    <w:rsid w:val="00730A0A"/>
    <w:rsid w:val="00730A2F"/>
    <w:rsid w:val="00731BB7"/>
    <w:rsid w:val="00732049"/>
    <w:rsid w:val="00732DDC"/>
    <w:rsid w:val="0073539D"/>
    <w:rsid w:val="00736163"/>
    <w:rsid w:val="00736BF5"/>
    <w:rsid w:val="00740B04"/>
    <w:rsid w:val="00741C44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2FDB"/>
    <w:rsid w:val="007537FE"/>
    <w:rsid w:val="00753C34"/>
    <w:rsid w:val="00757295"/>
    <w:rsid w:val="0076155B"/>
    <w:rsid w:val="0076335F"/>
    <w:rsid w:val="00763492"/>
    <w:rsid w:val="00763F28"/>
    <w:rsid w:val="00765966"/>
    <w:rsid w:val="007667F6"/>
    <w:rsid w:val="00766B09"/>
    <w:rsid w:val="0076732F"/>
    <w:rsid w:val="007675A3"/>
    <w:rsid w:val="0076760A"/>
    <w:rsid w:val="007721C1"/>
    <w:rsid w:val="00772FAF"/>
    <w:rsid w:val="00773BC0"/>
    <w:rsid w:val="00774AC9"/>
    <w:rsid w:val="00774AEC"/>
    <w:rsid w:val="007767D2"/>
    <w:rsid w:val="00780179"/>
    <w:rsid w:val="00780391"/>
    <w:rsid w:val="00781C0D"/>
    <w:rsid w:val="0078206B"/>
    <w:rsid w:val="00782EE1"/>
    <w:rsid w:val="0078317B"/>
    <w:rsid w:val="0078331A"/>
    <w:rsid w:val="00783FF0"/>
    <w:rsid w:val="00785675"/>
    <w:rsid w:val="0079020A"/>
    <w:rsid w:val="007902F7"/>
    <w:rsid w:val="00790AAE"/>
    <w:rsid w:val="00796F30"/>
    <w:rsid w:val="00797769"/>
    <w:rsid w:val="007A05D5"/>
    <w:rsid w:val="007A1001"/>
    <w:rsid w:val="007A196B"/>
    <w:rsid w:val="007A1EC8"/>
    <w:rsid w:val="007A2023"/>
    <w:rsid w:val="007A24D0"/>
    <w:rsid w:val="007A3422"/>
    <w:rsid w:val="007A5680"/>
    <w:rsid w:val="007A5CAB"/>
    <w:rsid w:val="007A67B7"/>
    <w:rsid w:val="007A6957"/>
    <w:rsid w:val="007B014B"/>
    <w:rsid w:val="007B0484"/>
    <w:rsid w:val="007B1038"/>
    <w:rsid w:val="007B1882"/>
    <w:rsid w:val="007B468A"/>
    <w:rsid w:val="007B6DF2"/>
    <w:rsid w:val="007B6E64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4A51"/>
    <w:rsid w:val="007E4B59"/>
    <w:rsid w:val="007E4DB0"/>
    <w:rsid w:val="007E4DD0"/>
    <w:rsid w:val="007E5049"/>
    <w:rsid w:val="007F300C"/>
    <w:rsid w:val="007F5BA9"/>
    <w:rsid w:val="007F67D5"/>
    <w:rsid w:val="00803FE5"/>
    <w:rsid w:val="00804832"/>
    <w:rsid w:val="00804B68"/>
    <w:rsid w:val="00807247"/>
    <w:rsid w:val="00807D81"/>
    <w:rsid w:val="00807E12"/>
    <w:rsid w:val="008106A4"/>
    <w:rsid w:val="0081123E"/>
    <w:rsid w:val="0081332E"/>
    <w:rsid w:val="00813512"/>
    <w:rsid w:val="008151E9"/>
    <w:rsid w:val="008157BA"/>
    <w:rsid w:val="008162DF"/>
    <w:rsid w:val="00817A1A"/>
    <w:rsid w:val="00820755"/>
    <w:rsid w:val="00821C21"/>
    <w:rsid w:val="00821DB6"/>
    <w:rsid w:val="00825006"/>
    <w:rsid w:val="008250B1"/>
    <w:rsid w:val="00826664"/>
    <w:rsid w:val="00826CFB"/>
    <w:rsid w:val="00827BF0"/>
    <w:rsid w:val="008324CA"/>
    <w:rsid w:val="00832FE5"/>
    <w:rsid w:val="00837C49"/>
    <w:rsid w:val="00840A51"/>
    <w:rsid w:val="00840AA1"/>
    <w:rsid w:val="00840B3F"/>
    <w:rsid w:val="00840F1A"/>
    <w:rsid w:val="008412F4"/>
    <w:rsid w:val="008478D4"/>
    <w:rsid w:val="00852425"/>
    <w:rsid w:val="0085530E"/>
    <w:rsid w:val="0086025D"/>
    <w:rsid w:val="0086049A"/>
    <w:rsid w:val="00860F0D"/>
    <w:rsid w:val="00865A90"/>
    <w:rsid w:val="0087210B"/>
    <w:rsid w:val="008778F0"/>
    <w:rsid w:val="00877AD3"/>
    <w:rsid w:val="008803D7"/>
    <w:rsid w:val="008804A6"/>
    <w:rsid w:val="00883699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9707A"/>
    <w:rsid w:val="00897270"/>
    <w:rsid w:val="008A00BF"/>
    <w:rsid w:val="008A02B8"/>
    <w:rsid w:val="008A0E65"/>
    <w:rsid w:val="008A2FC5"/>
    <w:rsid w:val="008A4C3F"/>
    <w:rsid w:val="008A508B"/>
    <w:rsid w:val="008A618A"/>
    <w:rsid w:val="008A7AF6"/>
    <w:rsid w:val="008B0F65"/>
    <w:rsid w:val="008B148D"/>
    <w:rsid w:val="008B1618"/>
    <w:rsid w:val="008B299B"/>
    <w:rsid w:val="008B3052"/>
    <w:rsid w:val="008B3B62"/>
    <w:rsid w:val="008B47C0"/>
    <w:rsid w:val="008B4A77"/>
    <w:rsid w:val="008B607E"/>
    <w:rsid w:val="008B688A"/>
    <w:rsid w:val="008B68EC"/>
    <w:rsid w:val="008B6D03"/>
    <w:rsid w:val="008C0293"/>
    <w:rsid w:val="008C0838"/>
    <w:rsid w:val="008C267F"/>
    <w:rsid w:val="008C464C"/>
    <w:rsid w:val="008C5DCC"/>
    <w:rsid w:val="008C68D4"/>
    <w:rsid w:val="008C6A00"/>
    <w:rsid w:val="008C785C"/>
    <w:rsid w:val="008D33B6"/>
    <w:rsid w:val="008D6A68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04EF"/>
    <w:rsid w:val="0090357C"/>
    <w:rsid w:val="00904D88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825"/>
    <w:rsid w:val="00922116"/>
    <w:rsid w:val="009238C8"/>
    <w:rsid w:val="009248BC"/>
    <w:rsid w:val="00925306"/>
    <w:rsid w:val="00925B9C"/>
    <w:rsid w:val="0092644B"/>
    <w:rsid w:val="0093178C"/>
    <w:rsid w:val="0093203A"/>
    <w:rsid w:val="00932691"/>
    <w:rsid w:val="00934A61"/>
    <w:rsid w:val="009353C5"/>
    <w:rsid w:val="009366EF"/>
    <w:rsid w:val="0093791D"/>
    <w:rsid w:val="00941201"/>
    <w:rsid w:val="0094133C"/>
    <w:rsid w:val="009414F5"/>
    <w:rsid w:val="00943B83"/>
    <w:rsid w:val="00945ED3"/>
    <w:rsid w:val="00952CF1"/>
    <w:rsid w:val="00952D91"/>
    <w:rsid w:val="0095346D"/>
    <w:rsid w:val="00953671"/>
    <w:rsid w:val="0095447B"/>
    <w:rsid w:val="009552BB"/>
    <w:rsid w:val="00955A3B"/>
    <w:rsid w:val="00955C6D"/>
    <w:rsid w:val="009561D1"/>
    <w:rsid w:val="0095665E"/>
    <w:rsid w:val="00956A03"/>
    <w:rsid w:val="009611BE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757DF"/>
    <w:rsid w:val="00980663"/>
    <w:rsid w:val="00980CB3"/>
    <w:rsid w:val="00982D6A"/>
    <w:rsid w:val="00982D77"/>
    <w:rsid w:val="00983B97"/>
    <w:rsid w:val="00983E33"/>
    <w:rsid w:val="009844CD"/>
    <w:rsid w:val="00986B11"/>
    <w:rsid w:val="009876DC"/>
    <w:rsid w:val="00991081"/>
    <w:rsid w:val="009939A1"/>
    <w:rsid w:val="00997F68"/>
    <w:rsid w:val="009A440A"/>
    <w:rsid w:val="009A4C99"/>
    <w:rsid w:val="009A507A"/>
    <w:rsid w:val="009A64F0"/>
    <w:rsid w:val="009B2066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262F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E6810"/>
    <w:rsid w:val="009F0870"/>
    <w:rsid w:val="009F39F9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3713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6AF"/>
    <w:rsid w:val="00A21D9E"/>
    <w:rsid w:val="00A22EAC"/>
    <w:rsid w:val="00A232EC"/>
    <w:rsid w:val="00A249EC"/>
    <w:rsid w:val="00A24DF2"/>
    <w:rsid w:val="00A25C79"/>
    <w:rsid w:val="00A25FFD"/>
    <w:rsid w:val="00A27260"/>
    <w:rsid w:val="00A3002D"/>
    <w:rsid w:val="00A30401"/>
    <w:rsid w:val="00A304C2"/>
    <w:rsid w:val="00A3051C"/>
    <w:rsid w:val="00A306B3"/>
    <w:rsid w:val="00A32EC8"/>
    <w:rsid w:val="00A33623"/>
    <w:rsid w:val="00A34560"/>
    <w:rsid w:val="00A35CCD"/>
    <w:rsid w:val="00A36C54"/>
    <w:rsid w:val="00A37A7F"/>
    <w:rsid w:val="00A41836"/>
    <w:rsid w:val="00A4208D"/>
    <w:rsid w:val="00A43218"/>
    <w:rsid w:val="00A43534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694B"/>
    <w:rsid w:val="00A57501"/>
    <w:rsid w:val="00A5765E"/>
    <w:rsid w:val="00A6026A"/>
    <w:rsid w:val="00A62963"/>
    <w:rsid w:val="00A6329B"/>
    <w:rsid w:val="00A63EC7"/>
    <w:rsid w:val="00A64418"/>
    <w:rsid w:val="00A64584"/>
    <w:rsid w:val="00A6460C"/>
    <w:rsid w:val="00A650E9"/>
    <w:rsid w:val="00A650F9"/>
    <w:rsid w:val="00A65E43"/>
    <w:rsid w:val="00A71DAE"/>
    <w:rsid w:val="00A7358B"/>
    <w:rsid w:val="00A74C8E"/>
    <w:rsid w:val="00A74F3A"/>
    <w:rsid w:val="00A76EB0"/>
    <w:rsid w:val="00A76F6E"/>
    <w:rsid w:val="00A77077"/>
    <w:rsid w:val="00A7776A"/>
    <w:rsid w:val="00A80E08"/>
    <w:rsid w:val="00A81577"/>
    <w:rsid w:val="00A8279C"/>
    <w:rsid w:val="00A83171"/>
    <w:rsid w:val="00A84ED7"/>
    <w:rsid w:val="00A851D5"/>
    <w:rsid w:val="00A86D87"/>
    <w:rsid w:val="00A879EA"/>
    <w:rsid w:val="00A91263"/>
    <w:rsid w:val="00A94208"/>
    <w:rsid w:val="00AA10D2"/>
    <w:rsid w:val="00AA1684"/>
    <w:rsid w:val="00AA2072"/>
    <w:rsid w:val="00AA2142"/>
    <w:rsid w:val="00AA4211"/>
    <w:rsid w:val="00AA5315"/>
    <w:rsid w:val="00AA67F6"/>
    <w:rsid w:val="00AA6AB7"/>
    <w:rsid w:val="00AA7F00"/>
    <w:rsid w:val="00AB07F7"/>
    <w:rsid w:val="00AB1416"/>
    <w:rsid w:val="00AB2279"/>
    <w:rsid w:val="00AB4963"/>
    <w:rsid w:val="00AB660C"/>
    <w:rsid w:val="00AB7FE0"/>
    <w:rsid w:val="00AC0D9F"/>
    <w:rsid w:val="00AC1FEE"/>
    <w:rsid w:val="00AC3093"/>
    <w:rsid w:val="00AC5488"/>
    <w:rsid w:val="00AC5C45"/>
    <w:rsid w:val="00AC5CBF"/>
    <w:rsid w:val="00AC6136"/>
    <w:rsid w:val="00AC613E"/>
    <w:rsid w:val="00AC6F61"/>
    <w:rsid w:val="00AD0A01"/>
    <w:rsid w:val="00AD2C1A"/>
    <w:rsid w:val="00AD2CB3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2699"/>
    <w:rsid w:val="00AF2DF5"/>
    <w:rsid w:val="00AF2DFF"/>
    <w:rsid w:val="00AF5BC5"/>
    <w:rsid w:val="00B002EF"/>
    <w:rsid w:val="00B00EE8"/>
    <w:rsid w:val="00B01A13"/>
    <w:rsid w:val="00B021E8"/>
    <w:rsid w:val="00B06D00"/>
    <w:rsid w:val="00B0718B"/>
    <w:rsid w:val="00B0772F"/>
    <w:rsid w:val="00B07F51"/>
    <w:rsid w:val="00B10026"/>
    <w:rsid w:val="00B12D2F"/>
    <w:rsid w:val="00B14D51"/>
    <w:rsid w:val="00B14DB0"/>
    <w:rsid w:val="00B15B81"/>
    <w:rsid w:val="00B15ECE"/>
    <w:rsid w:val="00B17712"/>
    <w:rsid w:val="00B200D2"/>
    <w:rsid w:val="00B216D6"/>
    <w:rsid w:val="00B21C35"/>
    <w:rsid w:val="00B22406"/>
    <w:rsid w:val="00B22A9F"/>
    <w:rsid w:val="00B23221"/>
    <w:rsid w:val="00B23C4F"/>
    <w:rsid w:val="00B23D86"/>
    <w:rsid w:val="00B3190D"/>
    <w:rsid w:val="00B31D05"/>
    <w:rsid w:val="00B3243D"/>
    <w:rsid w:val="00B3465C"/>
    <w:rsid w:val="00B35161"/>
    <w:rsid w:val="00B4005A"/>
    <w:rsid w:val="00B4024B"/>
    <w:rsid w:val="00B41492"/>
    <w:rsid w:val="00B4511C"/>
    <w:rsid w:val="00B51EB7"/>
    <w:rsid w:val="00B526D8"/>
    <w:rsid w:val="00B54738"/>
    <w:rsid w:val="00B558F8"/>
    <w:rsid w:val="00B603D3"/>
    <w:rsid w:val="00B60D50"/>
    <w:rsid w:val="00B62025"/>
    <w:rsid w:val="00B6271C"/>
    <w:rsid w:val="00B65A9B"/>
    <w:rsid w:val="00B65AC4"/>
    <w:rsid w:val="00B65F2D"/>
    <w:rsid w:val="00B65F36"/>
    <w:rsid w:val="00B6659D"/>
    <w:rsid w:val="00B7199D"/>
    <w:rsid w:val="00B72E50"/>
    <w:rsid w:val="00B741A7"/>
    <w:rsid w:val="00B75D73"/>
    <w:rsid w:val="00B76510"/>
    <w:rsid w:val="00B8077B"/>
    <w:rsid w:val="00B8186F"/>
    <w:rsid w:val="00B82201"/>
    <w:rsid w:val="00B832C7"/>
    <w:rsid w:val="00B836F3"/>
    <w:rsid w:val="00B84630"/>
    <w:rsid w:val="00B85175"/>
    <w:rsid w:val="00B864F9"/>
    <w:rsid w:val="00B87D88"/>
    <w:rsid w:val="00B90C39"/>
    <w:rsid w:val="00B90D92"/>
    <w:rsid w:val="00B93C89"/>
    <w:rsid w:val="00B95FCD"/>
    <w:rsid w:val="00B96129"/>
    <w:rsid w:val="00B97712"/>
    <w:rsid w:val="00BA1DEB"/>
    <w:rsid w:val="00BA3417"/>
    <w:rsid w:val="00BA3848"/>
    <w:rsid w:val="00BA4100"/>
    <w:rsid w:val="00BA4FE2"/>
    <w:rsid w:val="00BA5028"/>
    <w:rsid w:val="00BA5A04"/>
    <w:rsid w:val="00BA77E0"/>
    <w:rsid w:val="00BA7AA9"/>
    <w:rsid w:val="00BB0BD6"/>
    <w:rsid w:val="00BB13C5"/>
    <w:rsid w:val="00BB224E"/>
    <w:rsid w:val="00BB277A"/>
    <w:rsid w:val="00BB2C38"/>
    <w:rsid w:val="00BB694F"/>
    <w:rsid w:val="00BB6C08"/>
    <w:rsid w:val="00BC13F2"/>
    <w:rsid w:val="00BC2886"/>
    <w:rsid w:val="00BC2BD3"/>
    <w:rsid w:val="00BC35F8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6FC4"/>
    <w:rsid w:val="00BD7892"/>
    <w:rsid w:val="00BE09D3"/>
    <w:rsid w:val="00BE0C71"/>
    <w:rsid w:val="00BE0F71"/>
    <w:rsid w:val="00BE17B1"/>
    <w:rsid w:val="00BE55F2"/>
    <w:rsid w:val="00BE5A4D"/>
    <w:rsid w:val="00BE6910"/>
    <w:rsid w:val="00BE7822"/>
    <w:rsid w:val="00BF0699"/>
    <w:rsid w:val="00BF0BD4"/>
    <w:rsid w:val="00BF27C6"/>
    <w:rsid w:val="00BF434E"/>
    <w:rsid w:val="00BF4655"/>
    <w:rsid w:val="00BF4FCA"/>
    <w:rsid w:val="00BF55F7"/>
    <w:rsid w:val="00BF6CA1"/>
    <w:rsid w:val="00BF7BE4"/>
    <w:rsid w:val="00C019FE"/>
    <w:rsid w:val="00C02CD9"/>
    <w:rsid w:val="00C02D06"/>
    <w:rsid w:val="00C0435E"/>
    <w:rsid w:val="00C04E90"/>
    <w:rsid w:val="00C06E2E"/>
    <w:rsid w:val="00C101E4"/>
    <w:rsid w:val="00C11A5D"/>
    <w:rsid w:val="00C15EDD"/>
    <w:rsid w:val="00C16489"/>
    <w:rsid w:val="00C16E43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05C5"/>
    <w:rsid w:val="00C30FAE"/>
    <w:rsid w:val="00C329B1"/>
    <w:rsid w:val="00C3344F"/>
    <w:rsid w:val="00C34382"/>
    <w:rsid w:val="00C35833"/>
    <w:rsid w:val="00C35EAF"/>
    <w:rsid w:val="00C37E22"/>
    <w:rsid w:val="00C414BE"/>
    <w:rsid w:val="00C44558"/>
    <w:rsid w:val="00C44702"/>
    <w:rsid w:val="00C447D4"/>
    <w:rsid w:val="00C44E22"/>
    <w:rsid w:val="00C4710F"/>
    <w:rsid w:val="00C47255"/>
    <w:rsid w:val="00C47460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B5F"/>
    <w:rsid w:val="00C62518"/>
    <w:rsid w:val="00C65036"/>
    <w:rsid w:val="00C7048D"/>
    <w:rsid w:val="00C7213F"/>
    <w:rsid w:val="00C72308"/>
    <w:rsid w:val="00C737BE"/>
    <w:rsid w:val="00C7507A"/>
    <w:rsid w:val="00C75432"/>
    <w:rsid w:val="00C75D03"/>
    <w:rsid w:val="00C760B4"/>
    <w:rsid w:val="00C77394"/>
    <w:rsid w:val="00C77B58"/>
    <w:rsid w:val="00C80F3D"/>
    <w:rsid w:val="00C8121D"/>
    <w:rsid w:val="00C81354"/>
    <w:rsid w:val="00C81EE6"/>
    <w:rsid w:val="00C82493"/>
    <w:rsid w:val="00C8398E"/>
    <w:rsid w:val="00C83C8F"/>
    <w:rsid w:val="00C840F1"/>
    <w:rsid w:val="00C842A2"/>
    <w:rsid w:val="00C875B3"/>
    <w:rsid w:val="00C90172"/>
    <w:rsid w:val="00C92E94"/>
    <w:rsid w:val="00C949B9"/>
    <w:rsid w:val="00C94D49"/>
    <w:rsid w:val="00C95005"/>
    <w:rsid w:val="00C951E6"/>
    <w:rsid w:val="00C9639D"/>
    <w:rsid w:val="00C9694D"/>
    <w:rsid w:val="00CA2E00"/>
    <w:rsid w:val="00CA37CB"/>
    <w:rsid w:val="00CA3B65"/>
    <w:rsid w:val="00CA5067"/>
    <w:rsid w:val="00CA53BB"/>
    <w:rsid w:val="00CA60EE"/>
    <w:rsid w:val="00CA752C"/>
    <w:rsid w:val="00CA7647"/>
    <w:rsid w:val="00CB105A"/>
    <w:rsid w:val="00CB1B15"/>
    <w:rsid w:val="00CB3462"/>
    <w:rsid w:val="00CB7F72"/>
    <w:rsid w:val="00CC0426"/>
    <w:rsid w:val="00CC128E"/>
    <w:rsid w:val="00CC4E26"/>
    <w:rsid w:val="00CC6033"/>
    <w:rsid w:val="00CD157D"/>
    <w:rsid w:val="00CD19DE"/>
    <w:rsid w:val="00CD1A3B"/>
    <w:rsid w:val="00CD2293"/>
    <w:rsid w:val="00CD2376"/>
    <w:rsid w:val="00CD55F6"/>
    <w:rsid w:val="00CD6ADF"/>
    <w:rsid w:val="00CE1FC7"/>
    <w:rsid w:val="00CE260C"/>
    <w:rsid w:val="00CE58FC"/>
    <w:rsid w:val="00CE6C30"/>
    <w:rsid w:val="00CE743F"/>
    <w:rsid w:val="00CE7C21"/>
    <w:rsid w:val="00CF3634"/>
    <w:rsid w:val="00CF5DD7"/>
    <w:rsid w:val="00CF6C40"/>
    <w:rsid w:val="00CF6E85"/>
    <w:rsid w:val="00CF7EAA"/>
    <w:rsid w:val="00D00320"/>
    <w:rsid w:val="00D03393"/>
    <w:rsid w:val="00D035B8"/>
    <w:rsid w:val="00D05915"/>
    <w:rsid w:val="00D06892"/>
    <w:rsid w:val="00D11561"/>
    <w:rsid w:val="00D122E3"/>
    <w:rsid w:val="00D12857"/>
    <w:rsid w:val="00D13665"/>
    <w:rsid w:val="00D136B4"/>
    <w:rsid w:val="00D14732"/>
    <w:rsid w:val="00D14AC2"/>
    <w:rsid w:val="00D20F85"/>
    <w:rsid w:val="00D240C1"/>
    <w:rsid w:val="00D24168"/>
    <w:rsid w:val="00D258CF"/>
    <w:rsid w:val="00D3480E"/>
    <w:rsid w:val="00D35AB0"/>
    <w:rsid w:val="00D377C8"/>
    <w:rsid w:val="00D400CE"/>
    <w:rsid w:val="00D410F5"/>
    <w:rsid w:val="00D4233F"/>
    <w:rsid w:val="00D43C7C"/>
    <w:rsid w:val="00D440EB"/>
    <w:rsid w:val="00D44E48"/>
    <w:rsid w:val="00D46253"/>
    <w:rsid w:val="00D466C7"/>
    <w:rsid w:val="00D471AE"/>
    <w:rsid w:val="00D51BEC"/>
    <w:rsid w:val="00D533FA"/>
    <w:rsid w:val="00D536BD"/>
    <w:rsid w:val="00D55BE7"/>
    <w:rsid w:val="00D5609E"/>
    <w:rsid w:val="00D60179"/>
    <w:rsid w:val="00D611A4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15E"/>
    <w:rsid w:val="00D8282D"/>
    <w:rsid w:val="00D8316B"/>
    <w:rsid w:val="00D85517"/>
    <w:rsid w:val="00D91F0B"/>
    <w:rsid w:val="00D947C9"/>
    <w:rsid w:val="00D94C13"/>
    <w:rsid w:val="00D953E9"/>
    <w:rsid w:val="00D95E87"/>
    <w:rsid w:val="00D95F70"/>
    <w:rsid w:val="00D97785"/>
    <w:rsid w:val="00D97CF9"/>
    <w:rsid w:val="00DA119C"/>
    <w:rsid w:val="00DA214F"/>
    <w:rsid w:val="00DA2BF6"/>
    <w:rsid w:val="00DA5200"/>
    <w:rsid w:val="00DA68B9"/>
    <w:rsid w:val="00DA703F"/>
    <w:rsid w:val="00DA71CF"/>
    <w:rsid w:val="00DA76D5"/>
    <w:rsid w:val="00DB0184"/>
    <w:rsid w:val="00DB3028"/>
    <w:rsid w:val="00DB31FB"/>
    <w:rsid w:val="00DB3C4B"/>
    <w:rsid w:val="00DB4FA7"/>
    <w:rsid w:val="00DB50C9"/>
    <w:rsid w:val="00DB55FB"/>
    <w:rsid w:val="00DC1B2F"/>
    <w:rsid w:val="00DC3104"/>
    <w:rsid w:val="00DC3B14"/>
    <w:rsid w:val="00DC7352"/>
    <w:rsid w:val="00DD20EE"/>
    <w:rsid w:val="00DD4EEE"/>
    <w:rsid w:val="00DD5747"/>
    <w:rsid w:val="00DD6348"/>
    <w:rsid w:val="00DE124B"/>
    <w:rsid w:val="00DE1C92"/>
    <w:rsid w:val="00DE401B"/>
    <w:rsid w:val="00DE4106"/>
    <w:rsid w:val="00DE446A"/>
    <w:rsid w:val="00DF00E9"/>
    <w:rsid w:val="00DF3322"/>
    <w:rsid w:val="00DF3A6A"/>
    <w:rsid w:val="00DF4645"/>
    <w:rsid w:val="00DF53D6"/>
    <w:rsid w:val="00DF584A"/>
    <w:rsid w:val="00DF5B6C"/>
    <w:rsid w:val="00DF63E8"/>
    <w:rsid w:val="00DF70F7"/>
    <w:rsid w:val="00DF7984"/>
    <w:rsid w:val="00DF7D23"/>
    <w:rsid w:val="00E003CA"/>
    <w:rsid w:val="00E02BD8"/>
    <w:rsid w:val="00E04987"/>
    <w:rsid w:val="00E04EC8"/>
    <w:rsid w:val="00E05CEA"/>
    <w:rsid w:val="00E061D3"/>
    <w:rsid w:val="00E06C05"/>
    <w:rsid w:val="00E071FA"/>
    <w:rsid w:val="00E1037C"/>
    <w:rsid w:val="00E10E21"/>
    <w:rsid w:val="00E1167D"/>
    <w:rsid w:val="00E13C7F"/>
    <w:rsid w:val="00E13D1F"/>
    <w:rsid w:val="00E14327"/>
    <w:rsid w:val="00E15B0F"/>
    <w:rsid w:val="00E1669C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2BE9"/>
    <w:rsid w:val="00E32C13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5696"/>
    <w:rsid w:val="00E57F30"/>
    <w:rsid w:val="00E6112E"/>
    <w:rsid w:val="00E613A5"/>
    <w:rsid w:val="00E61765"/>
    <w:rsid w:val="00E6206A"/>
    <w:rsid w:val="00E62CBB"/>
    <w:rsid w:val="00E64336"/>
    <w:rsid w:val="00E663DD"/>
    <w:rsid w:val="00E67E94"/>
    <w:rsid w:val="00E70DDB"/>
    <w:rsid w:val="00E7229E"/>
    <w:rsid w:val="00E72585"/>
    <w:rsid w:val="00E73E9B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90439"/>
    <w:rsid w:val="00E9302D"/>
    <w:rsid w:val="00E95DA0"/>
    <w:rsid w:val="00E96437"/>
    <w:rsid w:val="00E96F8E"/>
    <w:rsid w:val="00EA0EDC"/>
    <w:rsid w:val="00EA10F5"/>
    <w:rsid w:val="00EA31D2"/>
    <w:rsid w:val="00EA3A6A"/>
    <w:rsid w:val="00EA3C83"/>
    <w:rsid w:val="00EA3DB1"/>
    <w:rsid w:val="00EA4C9C"/>
    <w:rsid w:val="00EA4CAF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5810"/>
    <w:rsid w:val="00EC714D"/>
    <w:rsid w:val="00ED04C8"/>
    <w:rsid w:val="00ED272A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E7354"/>
    <w:rsid w:val="00EF075C"/>
    <w:rsid w:val="00EF4BE2"/>
    <w:rsid w:val="00EF5BB8"/>
    <w:rsid w:val="00EF650D"/>
    <w:rsid w:val="00EF691E"/>
    <w:rsid w:val="00EF737C"/>
    <w:rsid w:val="00F00568"/>
    <w:rsid w:val="00F00852"/>
    <w:rsid w:val="00F01EF5"/>
    <w:rsid w:val="00F02513"/>
    <w:rsid w:val="00F04D8C"/>
    <w:rsid w:val="00F05144"/>
    <w:rsid w:val="00F063C8"/>
    <w:rsid w:val="00F06BF7"/>
    <w:rsid w:val="00F072FE"/>
    <w:rsid w:val="00F103E6"/>
    <w:rsid w:val="00F11826"/>
    <w:rsid w:val="00F156A5"/>
    <w:rsid w:val="00F16827"/>
    <w:rsid w:val="00F169A0"/>
    <w:rsid w:val="00F208CB"/>
    <w:rsid w:val="00F22816"/>
    <w:rsid w:val="00F228E4"/>
    <w:rsid w:val="00F250DE"/>
    <w:rsid w:val="00F32840"/>
    <w:rsid w:val="00F3650E"/>
    <w:rsid w:val="00F36F64"/>
    <w:rsid w:val="00F4068F"/>
    <w:rsid w:val="00F4194A"/>
    <w:rsid w:val="00F42F0E"/>
    <w:rsid w:val="00F43482"/>
    <w:rsid w:val="00F44364"/>
    <w:rsid w:val="00F44995"/>
    <w:rsid w:val="00F44FFB"/>
    <w:rsid w:val="00F463BA"/>
    <w:rsid w:val="00F46891"/>
    <w:rsid w:val="00F47F1F"/>
    <w:rsid w:val="00F50B28"/>
    <w:rsid w:val="00F535BB"/>
    <w:rsid w:val="00F535C4"/>
    <w:rsid w:val="00F53A7E"/>
    <w:rsid w:val="00F55CBC"/>
    <w:rsid w:val="00F562FE"/>
    <w:rsid w:val="00F575B0"/>
    <w:rsid w:val="00F577AC"/>
    <w:rsid w:val="00F57B30"/>
    <w:rsid w:val="00F60F2A"/>
    <w:rsid w:val="00F62380"/>
    <w:rsid w:val="00F64099"/>
    <w:rsid w:val="00F6496C"/>
    <w:rsid w:val="00F6506C"/>
    <w:rsid w:val="00F66E87"/>
    <w:rsid w:val="00F679C2"/>
    <w:rsid w:val="00F67C96"/>
    <w:rsid w:val="00F70624"/>
    <w:rsid w:val="00F70680"/>
    <w:rsid w:val="00F71CDB"/>
    <w:rsid w:val="00F71CED"/>
    <w:rsid w:val="00F722AF"/>
    <w:rsid w:val="00F72BDA"/>
    <w:rsid w:val="00F73737"/>
    <w:rsid w:val="00F73CA1"/>
    <w:rsid w:val="00F74200"/>
    <w:rsid w:val="00F76AB6"/>
    <w:rsid w:val="00F77F81"/>
    <w:rsid w:val="00F816F1"/>
    <w:rsid w:val="00F82B24"/>
    <w:rsid w:val="00F919D2"/>
    <w:rsid w:val="00F931D6"/>
    <w:rsid w:val="00FA1744"/>
    <w:rsid w:val="00FA2612"/>
    <w:rsid w:val="00FA3E35"/>
    <w:rsid w:val="00FA588D"/>
    <w:rsid w:val="00FA71D8"/>
    <w:rsid w:val="00FA748F"/>
    <w:rsid w:val="00FA7D78"/>
    <w:rsid w:val="00FB0AF7"/>
    <w:rsid w:val="00FB2345"/>
    <w:rsid w:val="00FB238E"/>
    <w:rsid w:val="00FB25DF"/>
    <w:rsid w:val="00FB31A3"/>
    <w:rsid w:val="00FB474D"/>
    <w:rsid w:val="00FB6B29"/>
    <w:rsid w:val="00FB6C03"/>
    <w:rsid w:val="00FB6F9D"/>
    <w:rsid w:val="00FC4B94"/>
    <w:rsid w:val="00FC636B"/>
    <w:rsid w:val="00FC6A0E"/>
    <w:rsid w:val="00FC6C4D"/>
    <w:rsid w:val="00FC792C"/>
    <w:rsid w:val="00FD0DE7"/>
    <w:rsid w:val="00FD1A7D"/>
    <w:rsid w:val="00FD34A0"/>
    <w:rsid w:val="00FD3927"/>
    <w:rsid w:val="00FD3EEB"/>
    <w:rsid w:val="00FD521D"/>
    <w:rsid w:val="00FD6C2B"/>
    <w:rsid w:val="00FE1314"/>
    <w:rsid w:val="00FE26A5"/>
    <w:rsid w:val="00FE3053"/>
    <w:rsid w:val="00FE52F5"/>
    <w:rsid w:val="00FE54EB"/>
    <w:rsid w:val="00FE7BCB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21BF7DA"/>
  <w15:chartTrackingRefBased/>
  <w15:docId w15:val="{F70057DD-8572-4997-B351-D4F91794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b/>
      <w:bCs/>
      <w:noProof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375667327298372"/>
          <c:y val="5.8897243107769427E-2"/>
          <c:w val="0.83871230381916551"/>
          <c:h val="0.55254751050855566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25400">
              <a:solidFill>
                <a:srgbClr val="00008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7907629967306733E-2"/>
                  <c:y val="-5.9307910743239024E-2"/>
                </c:manualLayout>
              </c:layout>
              <c:spPr/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A5B-4F5D-984A-4CEDC9C0C9ED}"/>
                </c:ext>
              </c:extLst>
            </c:dLbl>
            <c:dLbl>
              <c:idx val="11"/>
              <c:layout>
                <c:manualLayout>
                  <c:x val="0"/>
                  <c:y val="-0.10041912083824167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A5B-4F5D-984A-4CEDC9C0C9E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كانون ثاني 2023</c:v>
                </c:pt>
                <c:pt idx="1">
                  <c:v>شباط 2023</c:v>
                </c:pt>
                <c:pt idx="2">
                  <c:v>آذار 2023</c:v>
                </c:pt>
                <c:pt idx="3">
                  <c:v>نيسان 2023</c:v>
                </c:pt>
                <c:pt idx="4">
                  <c:v>أيار 2023</c:v>
                </c:pt>
                <c:pt idx="5">
                  <c:v>حزيران 2023</c:v>
                </c:pt>
                <c:pt idx="6">
                  <c:v>تموز 2023</c:v>
                </c:pt>
                <c:pt idx="7">
                  <c:v>آب 2023</c:v>
                </c:pt>
                <c:pt idx="8">
                  <c:v>أيلول 2023</c:v>
                </c:pt>
                <c:pt idx="9">
                  <c:v>تشرين أول 2023</c:v>
                </c:pt>
                <c:pt idx="10">
                  <c:v>تشرين ثاني 2023 </c:v>
                </c:pt>
                <c:pt idx="11">
                  <c:v>كانون أول 2023</c:v>
                </c:pt>
              </c:strCache>
            </c:strRef>
          </c:cat>
          <c:val>
            <c:numRef>
              <c:f>Sheet1!$B$2:$M$2</c:f>
              <c:numCache>
                <c:formatCode>0.00</c:formatCode>
                <c:ptCount val="12"/>
                <c:pt idx="0">
                  <c:v>107.14666116010976</c:v>
                </c:pt>
                <c:pt idx="1">
                  <c:v>101.24435628290563</c:v>
                </c:pt>
                <c:pt idx="2">
                  <c:v>109.21196548589177</c:v>
                </c:pt>
                <c:pt idx="3">
                  <c:v>96.863392451432304</c:v>
                </c:pt>
                <c:pt idx="4">
                  <c:v>110.3777108026421</c:v>
                </c:pt>
                <c:pt idx="5">
                  <c:v>106.38704058581594</c:v>
                </c:pt>
                <c:pt idx="6">
                  <c:v>109.24086170010712</c:v>
                </c:pt>
                <c:pt idx="7">
                  <c:v>114.67748571625501</c:v>
                </c:pt>
                <c:pt idx="8">
                  <c:v>109.6709030865491</c:v>
                </c:pt>
                <c:pt idx="9">
                  <c:v>82.128571769235904</c:v>
                </c:pt>
                <c:pt idx="10">
                  <c:v>74.468268639546267</c:v>
                </c:pt>
                <c:pt idx="11">
                  <c:v>76.27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A5B-4F5D-984A-4CEDC9C0C9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614384"/>
        <c:axId val="1"/>
      </c:lineChart>
      <c:catAx>
        <c:axId val="179614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-39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"/>
        <c:crossesAt val="60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12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7961438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60CAB-66E2-494D-B8E2-422736360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لكميات الإنتاج الصناعي</vt:lpstr>
      <vt:lpstr>البيان الصحفي لكميات الإنتاج الصناعي</vt:lpstr>
    </vt:vector>
  </TitlesOfParts>
  <Company>Hewlett-Packard Company</Company>
  <LinksUpToDate>false</LinksUpToDate>
  <CharactersWithSpaces>3705</CharactersWithSpaces>
  <SharedDoc>false</SharedDoc>
  <HLinks>
    <vt:vector size="18" baseType="variant">
      <vt:variant>
        <vt:i4>5832728</vt:i4>
      </vt:variant>
      <vt:variant>
        <vt:i4>6</vt:i4>
      </vt:variant>
      <vt:variant>
        <vt:i4>0</vt:i4>
      </vt:variant>
      <vt:variant>
        <vt:i4>5</vt:i4>
      </vt:variant>
      <vt:variant>
        <vt:lpwstr>../AppData/Local/Packages/Microsoft.MicrosoftEdge_8wekyb3d8bbwe/TempState/AppData/Local/Packages/Microsoft.MicrosoftEdge_8wekyb3d8bbwe/TempState/Downloads/www.pcbs.gov.ps</vt:lpwstr>
      </vt:variant>
      <vt:variant>
        <vt:lpwstr/>
      </vt:variant>
      <vt:variant>
        <vt:i4>1114227</vt:i4>
      </vt:variant>
      <vt:variant>
        <vt:i4>3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  <vt:variant>
        <vt:i4>6356997</vt:i4>
      </vt:variant>
      <vt:variant>
        <vt:i4>24854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لكميات الإنتاج الصناعي</dc:title>
  <dc:subject/>
  <dc:creator>kakhalid</dc:creator>
  <cp:keywords/>
  <dc:description/>
  <cp:lastModifiedBy>Hadeel Badran</cp:lastModifiedBy>
  <cp:revision>4</cp:revision>
  <cp:lastPrinted>2024-01-02T06:55:00Z</cp:lastPrinted>
  <dcterms:created xsi:type="dcterms:W3CDTF">2024-02-01T10:07:00Z</dcterms:created>
  <dcterms:modified xsi:type="dcterms:W3CDTF">2024-02-01T10:20:00Z</dcterms:modified>
</cp:coreProperties>
</file>