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79" w:rsidRPr="000A6B6A" w:rsidRDefault="008A0579" w:rsidP="008A0579">
      <w:pPr>
        <w:jc w:val="center"/>
        <w:rPr>
          <w:rFonts w:ascii="Simplified Arabic" w:hAnsi="Simplified Arabic" w:cs="Simplified Arabic"/>
          <w:b/>
          <w:bCs/>
          <w:sz w:val="32"/>
          <w:szCs w:val="32"/>
          <w:rtl/>
        </w:rPr>
      </w:pPr>
      <w:r w:rsidRPr="000A6B6A">
        <w:rPr>
          <w:rFonts w:ascii="Simplified Arabic" w:hAnsi="Simplified Arabic" w:cs="Simplified Arabic"/>
          <w:b/>
          <w:bCs/>
          <w:sz w:val="32"/>
          <w:szCs w:val="32"/>
          <w:rtl/>
        </w:rPr>
        <w:t xml:space="preserve">الإحصاء الفلسطيني </w:t>
      </w:r>
      <w:r w:rsidRPr="000A6B6A">
        <w:rPr>
          <w:rFonts w:ascii="Simplified Arabic" w:hAnsi="Simplified Arabic" w:cs="Simplified Arabic" w:hint="cs"/>
          <w:b/>
          <w:bCs/>
          <w:sz w:val="32"/>
          <w:szCs w:val="32"/>
          <w:rtl/>
        </w:rPr>
        <w:t>ي</w:t>
      </w:r>
      <w:r w:rsidRPr="000A6B6A">
        <w:rPr>
          <w:rFonts w:ascii="Simplified Arabic" w:hAnsi="Simplified Arabic" w:cs="Simplified Arabic"/>
          <w:b/>
          <w:bCs/>
          <w:sz w:val="32"/>
          <w:szCs w:val="32"/>
          <w:rtl/>
        </w:rPr>
        <w:t>ستعرض أوضاع السكان</w:t>
      </w:r>
      <w:r w:rsidRPr="000A6B6A">
        <w:rPr>
          <w:rFonts w:ascii="Simplified Arabic" w:hAnsi="Simplified Arabic" w:cs="Simplified Arabic" w:hint="cs"/>
          <w:b/>
          <w:bCs/>
          <w:sz w:val="32"/>
          <w:szCs w:val="32"/>
          <w:rtl/>
        </w:rPr>
        <w:t xml:space="preserve"> </w:t>
      </w:r>
      <w:r w:rsidRPr="000A6B6A">
        <w:rPr>
          <w:rFonts w:ascii="Simplified Arabic" w:hAnsi="Simplified Arabic" w:cs="Simplified Arabic"/>
          <w:b/>
          <w:bCs/>
          <w:sz w:val="32"/>
          <w:szCs w:val="32"/>
          <w:rtl/>
        </w:rPr>
        <w:t>في فلسطين بمناسبة اليوم العالمي للسكان، 11/07/</w:t>
      </w:r>
      <w:r w:rsidRPr="000A6B6A">
        <w:rPr>
          <w:rFonts w:ascii="Simplified Arabic" w:hAnsi="Simplified Arabic" w:cs="Simplified Arabic"/>
          <w:b/>
          <w:bCs/>
          <w:sz w:val="32"/>
          <w:szCs w:val="32"/>
        </w:rPr>
        <w:t>2023</w:t>
      </w:r>
    </w:p>
    <w:p w:rsidR="000A6B6A" w:rsidRPr="000A6B6A" w:rsidRDefault="008A0579" w:rsidP="000A6B6A">
      <w:pPr>
        <w:jc w:val="center"/>
        <w:rPr>
          <w:rFonts w:ascii="Simplified Arabic" w:hAnsi="Simplified Arabic" w:cs="Simplified Arabic"/>
          <w:b/>
          <w:bCs/>
          <w:sz w:val="28"/>
          <w:szCs w:val="28"/>
          <w:rtl/>
        </w:rPr>
      </w:pPr>
      <w:r w:rsidRPr="000A6B6A">
        <w:rPr>
          <w:rFonts w:ascii="Simplified Arabic" w:hAnsi="Simplified Arabic" w:cs="Simplified Arabic" w:hint="cs"/>
          <w:b/>
          <w:bCs/>
          <w:sz w:val="28"/>
          <w:szCs w:val="28"/>
          <w:rtl/>
        </w:rPr>
        <w:t>تحت شعار "</w:t>
      </w:r>
      <w:r w:rsidRPr="000A6B6A">
        <w:rPr>
          <w:sz w:val="28"/>
          <w:szCs w:val="28"/>
          <w:rtl/>
        </w:rPr>
        <w:t xml:space="preserve"> </w:t>
      </w:r>
      <w:r w:rsidRPr="000A6B6A">
        <w:rPr>
          <w:rFonts w:ascii="Simplified Arabic" w:hAnsi="Simplified Arabic" w:cs="Simplified Arabic"/>
          <w:b/>
          <w:bCs/>
          <w:sz w:val="28"/>
          <w:szCs w:val="28"/>
          <w:rtl/>
        </w:rPr>
        <w:t xml:space="preserve">إطلاق العنان لقوة المساواة بين الجنسين: رفع أصوات النساء والفتيات </w:t>
      </w:r>
    </w:p>
    <w:p w:rsidR="008A0579" w:rsidRPr="000A6B6A" w:rsidRDefault="008A0579" w:rsidP="000A6B6A">
      <w:pPr>
        <w:jc w:val="center"/>
        <w:rPr>
          <w:rFonts w:ascii="Simplified Arabic" w:hAnsi="Simplified Arabic" w:cs="Simplified Arabic"/>
          <w:b/>
          <w:bCs/>
          <w:sz w:val="28"/>
          <w:szCs w:val="28"/>
          <w:rtl/>
        </w:rPr>
      </w:pPr>
      <w:r w:rsidRPr="000A6B6A">
        <w:rPr>
          <w:rFonts w:ascii="Simplified Arabic" w:hAnsi="Simplified Arabic" w:cs="Simplified Arabic"/>
          <w:b/>
          <w:bCs/>
          <w:sz w:val="28"/>
          <w:szCs w:val="28"/>
          <w:rtl/>
        </w:rPr>
        <w:t>لإطلاق العنان لإمكانيات عالمنا اللانهائية</w:t>
      </w:r>
      <w:r w:rsidRPr="000A6B6A">
        <w:rPr>
          <w:rFonts w:ascii="Simplified Arabic" w:hAnsi="Simplified Arabic" w:cs="Simplified Arabic" w:hint="cs"/>
          <w:b/>
          <w:bCs/>
          <w:sz w:val="32"/>
          <w:szCs w:val="32"/>
          <w:rtl/>
        </w:rPr>
        <w:t>"</w:t>
      </w:r>
    </w:p>
    <w:p w:rsidR="000A6B6A" w:rsidRPr="000A6B6A" w:rsidRDefault="000A6B6A" w:rsidP="00704982">
      <w:pPr>
        <w:jc w:val="both"/>
        <w:rPr>
          <w:rFonts w:ascii="Simplified Arabic" w:hAnsi="Simplified Arabic" w:cs="Simplified Arabic"/>
          <w:b/>
          <w:bCs/>
          <w:sz w:val="16"/>
          <w:szCs w:val="16"/>
          <w:rtl/>
          <w:lang w:eastAsia="en-US"/>
        </w:rPr>
      </w:pPr>
    </w:p>
    <w:p w:rsidR="000A6B6A" w:rsidRPr="000A6B6A" w:rsidRDefault="000A6B6A" w:rsidP="00704982">
      <w:pPr>
        <w:jc w:val="both"/>
        <w:rPr>
          <w:rFonts w:ascii="Simplified Arabic" w:hAnsi="Simplified Arabic" w:cs="Simplified Arabic"/>
          <w:b/>
          <w:bCs/>
          <w:sz w:val="16"/>
          <w:szCs w:val="16"/>
          <w:rtl/>
          <w:lang w:eastAsia="en-US"/>
        </w:rPr>
      </w:pPr>
    </w:p>
    <w:p w:rsidR="008A0579" w:rsidRPr="000A6B6A" w:rsidRDefault="008A0579" w:rsidP="00704982">
      <w:pPr>
        <w:jc w:val="both"/>
        <w:rPr>
          <w:rFonts w:ascii="Simplified Arabic" w:hAnsi="Simplified Arabic" w:cs="Simplified Arabic"/>
          <w:b/>
          <w:bCs/>
          <w:sz w:val="28"/>
          <w:szCs w:val="28"/>
          <w:rtl/>
        </w:rPr>
      </w:pPr>
      <w:r w:rsidRPr="000A6B6A">
        <w:rPr>
          <w:rFonts w:ascii="Simplified Arabic" w:hAnsi="Simplified Arabic" w:cs="Simplified Arabic"/>
          <w:b/>
          <w:bCs/>
          <w:sz w:val="28"/>
          <w:szCs w:val="28"/>
          <w:rtl/>
        </w:rPr>
        <w:t>14.5 مليون فلسطيني في فلسطين التاريخية والشتات</w:t>
      </w:r>
    </w:p>
    <w:p w:rsidR="006609D0" w:rsidRDefault="00860A1C" w:rsidP="006A5F28">
      <w:pPr>
        <w:jc w:val="both"/>
        <w:rPr>
          <w:rFonts w:ascii="Simplified Arabic" w:hAnsi="Simplified Arabic" w:cs="Simplified Arabic"/>
          <w:sz w:val="26"/>
          <w:szCs w:val="26"/>
          <w:rtl/>
        </w:rPr>
      </w:pPr>
      <w:r w:rsidRPr="000A6B6A">
        <w:rPr>
          <w:rFonts w:ascii="Simplified Arabic" w:hAnsi="Simplified Arabic" w:cs="Simplified Arabic"/>
          <w:sz w:val="26"/>
          <w:szCs w:val="26"/>
          <w:rtl/>
        </w:rPr>
        <w:t>14</w:t>
      </w:r>
      <w:r w:rsidR="00A973FC" w:rsidRPr="000A6B6A">
        <w:rPr>
          <w:rFonts w:ascii="Simplified Arabic" w:hAnsi="Simplified Arabic" w:cs="Simplified Arabic"/>
          <w:sz w:val="26"/>
          <w:szCs w:val="26"/>
          <w:rtl/>
        </w:rPr>
        <w:t>.</w:t>
      </w:r>
      <w:r w:rsidR="00734E18" w:rsidRPr="000A6B6A">
        <w:rPr>
          <w:rFonts w:ascii="Simplified Arabic" w:hAnsi="Simplified Arabic" w:cs="Simplified Arabic"/>
          <w:sz w:val="26"/>
          <w:szCs w:val="26"/>
          <w:rtl/>
        </w:rPr>
        <w:t>5</w:t>
      </w:r>
      <w:r w:rsidR="00E22A97" w:rsidRPr="000A6B6A">
        <w:rPr>
          <w:rFonts w:ascii="Simplified Arabic" w:hAnsi="Simplified Arabic" w:cs="Simplified Arabic"/>
          <w:sz w:val="26"/>
          <w:szCs w:val="26"/>
          <w:rtl/>
        </w:rPr>
        <w:t xml:space="preserve"> مليون فلسطيني في العالم</w:t>
      </w:r>
      <w:r w:rsidR="004E40B4" w:rsidRPr="000A6B6A">
        <w:rPr>
          <w:rFonts w:ascii="Simplified Arabic" w:hAnsi="Simplified Arabic" w:cs="Simplified Arabic"/>
          <w:sz w:val="26"/>
          <w:szCs w:val="26"/>
          <w:rtl/>
        </w:rPr>
        <w:t xml:space="preserve"> منتصف عام </w:t>
      </w:r>
      <w:r w:rsidR="00734E18" w:rsidRPr="000A6B6A">
        <w:rPr>
          <w:rFonts w:ascii="Simplified Arabic" w:hAnsi="Simplified Arabic" w:cs="Simplified Arabic"/>
          <w:sz w:val="26"/>
          <w:szCs w:val="26"/>
          <w:rtl/>
        </w:rPr>
        <w:t>2023</w:t>
      </w:r>
      <w:r w:rsidR="00E22A97" w:rsidRPr="000A6B6A">
        <w:rPr>
          <w:rFonts w:ascii="Simplified Arabic" w:hAnsi="Simplified Arabic" w:cs="Simplified Arabic"/>
          <w:sz w:val="26"/>
          <w:szCs w:val="26"/>
          <w:rtl/>
        </w:rPr>
        <w:t xml:space="preserve"> منهم </w:t>
      </w:r>
      <w:r w:rsidR="00734E18" w:rsidRPr="000A6B6A">
        <w:rPr>
          <w:rFonts w:ascii="Simplified Arabic" w:hAnsi="Simplified Arabic" w:cs="Simplified Arabic"/>
          <w:sz w:val="26"/>
          <w:szCs w:val="26"/>
          <w:rtl/>
        </w:rPr>
        <w:t>5.48</w:t>
      </w:r>
      <w:r w:rsidR="00E22A97" w:rsidRPr="000A6B6A">
        <w:rPr>
          <w:rFonts w:ascii="Simplified Arabic" w:hAnsi="Simplified Arabic" w:cs="Simplified Arabic"/>
          <w:sz w:val="26"/>
          <w:szCs w:val="26"/>
          <w:rtl/>
        </w:rPr>
        <w:t xml:space="preserve"> مليون فلسطيني في دولة فلسطين</w:t>
      </w:r>
      <w:r w:rsidR="00FB00A8" w:rsidRPr="000A6B6A">
        <w:rPr>
          <w:rFonts w:ascii="Simplified Arabic" w:hAnsi="Simplified Arabic" w:cs="Simplified Arabic"/>
          <w:sz w:val="26"/>
          <w:szCs w:val="26"/>
          <w:rtl/>
        </w:rPr>
        <w:t xml:space="preserve"> 2.78</w:t>
      </w:r>
      <w:r w:rsidR="00E71102" w:rsidRPr="000A6B6A">
        <w:rPr>
          <w:rFonts w:ascii="Simplified Arabic" w:hAnsi="Simplified Arabic" w:cs="Simplified Arabic"/>
          <w:sz w:val="26"/>
          <w:szCs w:val="26"/>
          <w:rtl/>
        </w:rPr>
        <w:t xml:space="preserve"> مليون ذكر و2.</w:t>
      </w:r>
      <w:r w:rsidR="00FB00A8" w:rsidRPr="000A6B6A">
        <w:rPr>
          <w:rFonts w:ascii="Simplified Arabic" w:hAnsi="Simplified Arabic" w:cs="Simplified Arabic"/>
          <w:sz w:val="26"/>
          <w:szCs w:val="26"/>
          <w:rtl/>
        </w:rPr>
        <w:t>70</w:t>
      </w:r>
      <w:r w:rsidR="00E71102" w:rsidRPr="000A6B6A">
        <w:rPr>
          <w:rFonts w:ascii="Simplified Arabic" w:hAnsi="Simplified Arabic" w:cs="Simplified Arabic"/>
          <w:sz w:val="26"/>
          <w:szCs w:val="26"/>
          <w:rtl/>
        </w:rPr>
        <w:t xml:space="preserve"> مليون أنثى.  </w:t>
      </w:r>
    </w:p>
    <w:p w:rsidR="000A6B6A" w:rsidRPr="000A6B6A" w:rsidRDefault="000A6B6A" w:rsidP="006A5F28">
      <w:pPr>
        <w:jc w:val="both"/>
        <w:rPr>
          <w:rFonts w:ascii="Simplified Arabic" w:hAnsi="Simplified Arabic" w:cs="Simplified Arabic"/>
          <w:sz w:val="16"/>
          <w:szCs w:val="16"/>
          <w:rtl/>
        </w:rPr>
      </w:pPr>
    </w:p>
    <w:p w:rsidR="00B645F1" w:rsidRPr="000A6B6A" w:rsidRDefault="00E71102" w:rsidP="006A5F28">
      <w:pPr>
        <w:jc w:val="both"/>
        <w:rPr>
          <w:rFonts w:ascii="Simplified Arabic" w:hAnsi="Simplified Arabic" w:cs="Simplified Arabic"/>
          <w:sz w:val="26"/>
          <w:szCs w:val="26"/>
          <w:rtl/>
        </w:rPr>
      </w:pPr>
      <w:r w:rsidRPr="000A6B6A">
        <w:rPr>
          <w:rFonts w:ascii="Simplified Arabic" w:hAnsi="Simplified Arabic" w:cs="Simplified Arabic"/>
          <w:sz w:val="26"/>
          <w:szCs w:val="26"/>
          <w:rtl/>
        </w:rPr>
        <w:t xml:space="preserve">بلغ عدد سكان الضفة الغربية المقدر حوالي </w:t>
      </w:r>
      <w:r w:rsidR="00D81E07" w:rsidRPr="000A6B6A">
        <w:rPr>
          <w:rFonts w:ascii="Simplified Arabic" w:hAnsi="Simplified Arabic" w:cs="Simplified Arabic"/>
          <w:sz w:val="26"/>
          <w:szCs w:val="26"/>
          <w:rtl/>
        </w:rPr>
        <w:t>3.</w:t>
      </w:r>
      <w:r w:rsidR="00FB00A8" w:rsidRPr="000A6B6A">
        <w:rPr>
          <w:rFonts w:ascii="Simplified Arabic" w:hAnsi="Simplified Arabic" w:cs="Simplified Arabic"/>
          <w:sz w:val="26"/>
          <w:szCs w:val="26"/>
          <w:rtl/>
        </w:rPr>
        <w:t>25</w:t>
      </w:r>
      <w:r w:rsidRPr="000A6B6A">
        <w:rPr>
          <w:rFonts w:ascii="Simplified Arabic" w:hAnsi="Simplified Arabic" w:cs="Simplified Arabic"/>
          <w:sz w:val="26"/>
          <w:szCs w:val="26"/>
          <w:rtl/>
          <w:lang w:bidi="ar-JO"/>
        </w:rPr>
        <w:t xml:space="preserve"> </w:t>
      </w:r>
      <w:r w:rsidRPr="000A6B6A">
        <w:rPr>
          <w:rFonts w:ascii="Simplified Arabic" w:hAnsi="Simplified Arabic" w:cs="Simplified Arabic"/>
          <w:sz w:val="26"/>
          <w:szCs w:val="26"/>
          <w:rtl/>
        </w:rPr>
        <w:t xml:space="preserve">مليون نسمة، منهم </w:t>
      </w:r>
      <w:r w:rsidRPr="000A6B6A">
        <w:rPr>
          <w:rFonts w:ascii="Simplified Arabic" w:hAnsi="Simplified Arabic" w:cs="Simplified Arabic"/>
          <w:sz w:val="26"/>
          <w:szCs w:val="26"/>
        </w:rPr>
        <w:t>1.</w:t>
      </w:r>
      <w:r w:rsidR="00860A1C" w:rsidRPr="000A6B6A">
        <w:rPr>
          <w:rFonts w:ascii="Simplified Arabic" w:hAnsi="Simplified Arabic" w:cs="Simplified Arabic"/>
          <w:sz w:val="26"/>
          <w:szCs w:val="26"/>
        </w:rPr>
        <w:t>6</w:t>
      </w:r>
      <w:r w:rsidR="00FB00A8" w:rsidRPr="000A6B6A">
        <w:rPr>
          <w:rFonts w:ascii="Simplified Arabic" w:hAnsi="Simplified Arabic" w:cs="Simplified Arabic"/>
          <w:sz w:val="26"/>
          <w:szCs w:val="26"/>
        </w:rPr>
        <w:t>5</w:t>
      </w:r>
      <w:r w:rsidRPr="000A6B6A">
        <w:rPr>
          <w:rFonts w:ascii="Simplified Arabic" w:hAnsi="Simplified Arabic" w:cs="Simplified Arabic"/>
          <w:sz w:val="26"/>
          <w:szCs w:val="26"/>
          <w:rtl/>
        </w:rPr>
        <w:t xml:space="preserve"> مليون ذكر و1.</w:t>
      </w:r>
      <w:r w:rsidR="00FB00A8" w:rsidRPr="000A6B6A">
        <w:rPr>
          <w:rFonts w:ascii="Simplified Arabic" w:hAnsi="Simplified Arabic" w:cs="Simplified Arabic"/>
          <w:sz w:val="26"/>
          <w:szCs w:val="26"/>
          <w:rtl/>
        </w:rPr>
        <w:t>60</w:t>
      </w:r>
      <w:r w:rsidRPr="000A6B6A">
        <w:rPr>
          <w:rFonts w:ascii="Simplified Arabic" w:hAnsi="Simplified Arabic" w:cs="Simplified Arabic"/>
          <w:sz w:val="26"/>
          <w:szCs w:val="26"/>
          <w:rtl/>
        </w:rPr>
        <w:t xml:space="preserve"> مليون أنثى، بينما قدر عدد سكان قطاع غزة حوالي </w:t>
      </w:r>
      <w:r w:rsidR="00D81E07" w:rsidRPr="000A6B6A">
        <w:rPr>
          <w:rFonts w:ascii="Simplified Arabic" w:hAnsi="Simplified Arabic" w:cs="Simplified Arabic"/>
          <w:sz w:val="26"/>
          <w:szCs w:val="26"/>
          <w:rtl/>
        </w:rPr>
        <w:t>2.</w:t>
      </w:r>
      <w:r w:rsidR="00FB00A8" w:rsidRPr="000A6B6A">
        <w:rPr>
          <w:rFonts w:ascii="Simplified Arabic" w:hAnsi="Simplified Arabic" w:cs="Simplified Arabic"/>
          <w:sz w:val="26"/>
          <w:szCs w:val="26"/>
          <w:rtl/>
        </w:rPr>
        <w:t>23</w:t>
      </w:r>
      <w:r w:rsidRPr="000A6B6A">
        <w:rPr>
          <w:rFonts w:ascii="Simplified Arabic" w:hAnsi="Simplified Arabic" w:cs="Simplified Arabic"/>
          <w:sz w:val="26"/>
          <w:szCs w:val="26"/>
          <w:rtl/>
        </w:rPr>
        <w:t xml:space="preserve"> مليون نسمة، منهم </w:t>
      </w:r>
      <w:r w:rsidR="00D81E07" w:rsidRPr="000A6B6A">
        <w:rPr>
          <w:rFonts w:ascii="Simplified Arabic" w:hAnsi="Simplified Arabic" w:cs="Simplified Arabic"/>
          <w:sz w:val="26"/>
          <w:szCs w:val="26"/>
          <w:rtl/>
        </w:rPr>
        <w:t>1.</w:t>
      </w:r>
      <w:r w:rsidR="00860A1C" w:rsidRPr="000A6B6A">
        <w:rPr>
          <w:rFonts w:ascii="Simplified Arabic" w:hAnsi="Simplified Arabic" w:cs="Simplified Arabic"/>
          <w:sz w:val="26"/>
          <w:szCs w:val="26"/>
          <w:rtl/>
        </w:rPr>
        <w:t>1</w:t>
      </w:r>
      <w:r w:rsidR="00FB00A8" w:rsidRPr="000A6B6A">
        <w:rPr>
          <w:rFonts w:ascii="Simplified Arabic" w:hAnsi="Simplified Arabic" w:cs="Simplified Arabic"/>
          <w:sz w:val="26"/>
          <w:szCs w:val="26"/>
          <w:rtl/>
        </w:rPr>
        <w:t>3</w:t>
      </w:r>
      <w:r w:rsidRPr="000A6B6A">
        <w:rPr>
          <w:rFonts w:ascii="Simplified Arabic" w:hAnsi="Simplified Arabic" w:cs="Simplified Arabic"/>
          <w:sz w:val="26"/>
          <w:szCs w:val="26"/>
          <w:rtl/>
          <w:lang w:bidi="ar-JO"/>
        </w:rPr>
        <w:t xml:space="preserve"> مليون</w:t>
      </w:r>
      <w:r w:rsidRPr="000A6B6A">
        <w:rPr>
          <w:rFonts w:ascii="Simplified Arabic" w:hAnsi="Simplified Arabic" w:cs="Simplified Arabic"/>
          <w:sz w:val="26"/>
          <w:szCs w:val="26"/>
          <w:rtl/>
        </w:rPr>
        <w:t xml:space="preserve"> ذكر و</w:t>
      </w:r>
      <w:r w:rsidR="00D81E07" w:rsidRPr="000A6B6A">
        <w:rPr>
          <w:rFonts w:ascii="Simplified Arabic" w:hAnsi="Simplified Arabic" w:cs="Simplified Arabic"/>
          <w:sz w:val="26"/>
          <w:szCs w:val="26"/>
          <w:rtl/>
        </w:rPr>
        <w:t>1.</w:t>
      </w:r>
      <w:r w:rsidR="00FB00A8" w:rsidRPr="000A6B6A">
        <w:rPr>
          <w:rFonts w:ascii="Simplified Arabic" w:hAnsi="Simplified Arabic" w:cs="Simplified Arabic"/>
          <w:sz w:val="26"/>
          <w:szCs w:val="26"/>
          <w:rtl/>
        </w:rPr>
        <w:t>10</w:t>
      </w:r>
      <w:r w:rsidR="00D81E07" w:rsidRPr="000A6B6A">
        <w:rPr>
          <w:rFonts w:ascii="Simplified Arabic" w:hAnsi="Simplified Arabic" w:cs="Simplified Arabic"/>
          <w:sz w:val="26"/>
          <w:szCs w:val="26"/>
          <w:rtl/>
        </w:rPr>
        <w:t xml:space="preserve"> مليون</w:t>
      </w:r>
      <w:r w:rsidRPr="000A6B6A">
        <w:rPr>
          <w:rFonts w:ascii="Simplified Arabic" w:hAnsi="Simplified Arabic" w:cs="Simplified Arabic"/>
          <w:sz w:val="26"/>
          <w:szCs w:val="26"/>
          <w:rtl/>
        </w:rPr>
        <w:t xml:space="preserve"> أنثى. </w:t>
      </w:r>
    </w:p>
    <w:p w:rsidR="00722918" w:rsidRPr="000A6B6A" w:rsidRDefault="00E71102" w:rsidP="00704982">
      <w:pPr>
        <w:jc w:val="both"/>
        <w:rPr>
          <w:rFonts w:ascii="Simplified Arabic" w:hAnsi="Simplified Arabic" w:cs="Simplified Arabic"/>
          <w:b/>
          <w:bCs/>
          <w:sz w:val="16"/>
          <w:szCs w:val="16"/>
          <w:rtl/>
          <w:lang w:eastAsia="en-US"/>
        </w:rPr>
      </w:pPr>
      <w:r w:rsidRPr="000A6B6A">
        <w:rPr>
          <w:rFonts w:ascii="Simplified Arabic" w:hAnsi="Simplified Arabic" w:cs="Simplified Arabic"/>
          <w:sz w:val="26"/>
          <w:szCs w:val="26"/>
          <w:rtl/>
        </w:rPr>
        <w:t xml:space="preserve"> </w:t>
      </w:r>
    </w:p>
    <w:p w:rsidR="00787412" w:rsidRPr="000A6B6A" w:rsidRDefault="00B645F1" w:rsidP="00734E18">
      <w:pPr>
        <w:jc w:val="center"/>
        <w:rPr>
          <w:rFonts w:ascii="Simplified Arabic" w:hAnsi="Simplified Arabic" w:cs="Simplified Arabic"/>
          <w:b/>
          <w:bCs/>
          <w:sz w:val="28"/>
          <w:szCs w:val="28"/>
          <w:rtl/>
          <w:lang w:eastAsia="en-US"/>
        </w:rPr>
      </w:pPr>
      <w:r w:rsidRPr="000A6B6A">
        <w:rPr>
          <w:rFonts w:ascii="Simplified Arabic" w:hAnsi="Simplified Arabic" w:cs="Simplified Arabic"/>
          <w:b/>
          <w:bCs/>
          <w:sz w:val="28"/>
          <w:szCs w:val="28"/>
          <w:rtl/>
          <w:lang w:eastAsia="en-US"/>
        </w:rPr>
        <w:t xml:space="preserve">عدد السكان </w:t>
      </w:r>
      <w:r w:rsidR="00787412" w:rsidRPr="000A6B6A">
        <w:rPr>
          <w:rFonts w:ascii="Simplified Arabic" w:hAnsi="Simplified Arabic" w:cs="Simplified Arabic"/>
          <w:b/>
          <w:bCs/>
          <w:sz w:val="28"/>
          <w:szCs w:val="28"/>
          <w:rtl/>
          <w:lang w:eastAsia="en-US"/>
        </w:rPr>
        <w:t>الفلسطينيين</w:t>
      </w:r>
      <w:r w:rsidRPr="000A6B6A">
        <w:rPr>
          <w:rFonts w:ascii="Simplified Arabic" w:hAnsi="Simplified Arabic" w:cs="Simplified Arabic"/>
          <w:b/>
          <w:bCs/>
          <w:sz w:val="28"/>
          <w:szCs w:val="28"/>
          <w:rtl/>
          <w:lang w:eastAsia="en-US"/>
        </w:rPr>
        <w:t xml:space="preserve"> المقدر في العالم</w:t>
      </w:r>
      <w:r w:rsidR="00787412" w:rsidRPr="000A6B6A">
        <w:rPr>
          <w:rFonts w:ascii="Simplified Arabic" w:hAnsi="Simplified Arabic" w:cs="Simplified Arabic"/>
          <w:b/>
          <w:bCs/>
          <w:sz w:val="28"/>
          <w:szCs w:val="28"/>
          <w:rtl/>
          <w:lang w:eastAsia="en-US"/>
        </w:rPr>
        <w:t xml:space="preserve"> حسب </w:t>
      </w:r>
      <w:r w:rsidR="005A5569" w:rsidRPr="000A6B6A">
        <w:rPr>
          <w:rFonts w:ascii="Simplified Arabic" w:hAnsi="Simplified Arabic" w:cs="Simplified Arabic"/>
          <w:b/>
          <w:bCs/>
          <w:sz w:val="28"/>
          <w:szCs w:val="28"/>
          <w:rtl/>
          <w:lang w:eastAsia="en-US"/>
        </w:rPr>
        <w:t>مكان</w:t>
      </w:r>
      <w:r w:rsidR="00787412" w:rsidRPr="000A6B6A">
        <w:rPr>
          <w:rFonts w:ascii="Simplified Arabic" w:hAnsi="Simplified Arabic" w:cs="Simplified Arabic"/>
          <w:b/>
          <w:bCs/>
          <w:sz w:val="28"/>
          <w:szCs w:val="28"/>
          <w:rtl/>
          <w:lang w:eastAsia="en-US"/>
        </w:rPr>
        <w:t xml:space="preserve"> الإقامة</w:t>
      </w:r>
      <w:r w:rsidR="00380242" w:rsidRPr="000A6B6A">
        <w:rPr>
          <w:rFonts w:ascii="Simplified Arabic" w:hAnsi="Simplified Arabic" w:cs="Simplified Arabic"/>
          <w:b/>
          <w:bCs/>
          <w:sz w:val="28"/>
          <w:szCs w:val="28"/>
          <w:rtl/>
          <w:lang w:eastAsia="en-US"/>
        </w:rPr>
        <w:t>،</w:t>
      </w:r>
      <w:r w:rsidR="00787412" w:rsidRPr="000A6B6A">
        <w:rPr>
          <w:rFonts w:ascii="Simplified Arabic" w:hAnsi="Simplified Arabic" w:cs="Simplified Arabic"/>
          <w:b/>
          <w:bCs/>
          <w:sz w:val="28"/>
          <w:szCs w:val="28"/>
          <w:rtl/>
          <w:lang w:eastAsia="en-US"/>
        </w:rPr>
        <w:t xml:space="preserve"> </w:t>
      </w:r>
      <w:r w:rsidRPr="000A6B6A">
        <w:rPr>
          <w:rFonts w:ascii="Simplified Arabic" w:hAnsi="Simplified Arabic" w:cs="Simplified Arabic"/>
          <w:b/>
          <w:bCs/>
          <w:sz w:val="28"/>
          <w:szCs w:val="28"/>
          <w:rtl/>
          <w:lang w:eastAsia="en-US"/>
        </w:rPr>
        <w:t>منتصف</w:t>
      </w:r>
      <w:r w:rsidR="00787412" w:rsidRPr="000A6B6A">
        <w:rPr>
          <w:rFonts w:ascii="Simplified Arabic" w:hAnsi="Simplified Arabic" w:cs="Simplified Arabic"/>
          <w:b/>
          <w:bCs/>
          <w:sz w:val="28"/>
          <w:szCs w:val="28"/>
          <w:rtl/>
          <w:lang w:eastAsia="en-US"/>
        </w:rPr>
        <w:t xml:space="preserve"> عام </w:t>
      </w:r>
      <w:r w:rsidR="00734E18" w:rsidRPr="000A6B6A">
        <w:rPr>
          <w:rFonts w:ascii="Simplified Arabic" w:hAnsi="Simplified Arabic" w:cs="Simplified Arabic"/>
          <w:b/>
          <w:bCs/>
          <w:sz w:val="28"/>
          <w:szCs w:val="28"/>
          <w:rtl/>
          <w:lang w:eastAsia="en-US"/>
        </w:rPr>
        <w:t>2023</w:t>
      </w:r>
    </w:p>
    <w:p w:rsidR="00C2449B" w:rsidRPr="000A6B6A" w:rsidRDefault="00C2449B" w:rsidP="000A6B6A">
      <w:pPr>
        <w:pStyle w:val="Heading7"/>
        <w:jc w:val="center"/>
        <w:rPr>
          <w:rFonts w:ascii="Simplified Arabic" w:hAnsi="Simplified Arabic"/>
          <w:sz w:val="26"/>
          <w:szCs w:val="26"/>
          <w:rtl/>
        </w:rPr>
      </w:pPr>
      <w:r w:rsidRPr="000A6B6A">
        <w:rPr>
          <w:rFonts w:ascii="Simplified Arabic" w:hAnsi="Simplified Arabic"/>
          <w:noProof/>
          <w:sz w:val="26"/>
          <w:szCs w:val="26"/>
          <w:shd w:val="clear" w:color="auto" w:fill="FF0000"/>
          <w:rtl/>
          <w:lang w:eastAsia="en-US"/>
        </w:rPr>
        <w:drawing>
          <wp:inline distT="0" distB="0" distL="0" distR="0" wp14:anchorId="71A2EE98" wp14:editId="12A82021">
            <wp:extent cx="3028950" cy="1724025"/>
            <wp:effectExtent l="0" t="0" r="0" b="9525"/>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4982" w:rsidRPr="000A6B6A" w:rsidRDefault="00704982" w:rsidP="002520C3">
      <w:pPr>
        <w:jc w:val="both"/>
        <w:rPr>
          <w:rFonts w:ascii="Simplified Arabic" w:hAnsi="Simplified Arabic" w:cs="Simplified Arabic"/>
          <w:b/>
          <w:bCs/>
          <w:sz w:val="10"/>
          <w:szCs w:val="10"/>
          <w:rtl/>
        </w:rPr>
      </w:pPr>
    </w:p>
    <w:p w:rsidR="008B40C8" w:rsidRPr="000A6B6A" w:rsidRDefault="008B40C8" w:rsidP="002520C3">
      <w:pPr>
        <w:jc w:val="both"/>
        <w:rPr>
          <w:rFonts w:ascii="Simplified Arabic" w:hAnsi="Simplified Arabic" w:cs="Simplified Arabic"/>
          <w:sz w:val="22"/>
          <w:szCs w:val="22"/>
          <w:rtl/>
        </w:rPr>
      </w:pPr>
      <w:r w:rsidRPr="000A6B6A">
        <w:rPr>
          <w:rFonts w:ascii="Simplified Arabic" w:hAnsi="Simplified Arabic" w:cs="Simplified Arabic"/>
          <w:b/>
          <w:bCs/>
          <w:sz w:val="22"/>
          <w:szCs w:val="22"/>
          <w:rtl/>
        </w:rPr>
        <w:t xml:space="preserve">المصدر: الجهاز المركزي للإحصاء الفلسطيني، </w:t>
      </w:r>
      <w:r w:rsidR="002520C3" w:rsidRPr="000A6B6A">
        <w:rPr>
          <w:rFonts w:ascii="Simplified Arabic" w:hAnsi="Simplified Arabic" w:cs="Simplified Arabic"/>
          <w:b/>
          <w:bCs/>
          <w:sz w:val="22"/>
          <w:szCs w:val="22"/>
          <w:rtl/>
        </w:rPr>
        <w:t>2023</w:t>
      </w:r>
      <w:r w:rsidRPr="000A6B6A">
        <w:rPr>
          <w:rFonts w:ascii="Simplified Arabic" w:hAnsi="Simplified Arabic" w:cs="Simplified Arabic"/>
          <w:sz w:val="22"/>
          <w:szCs w:val="22"/>
          <w:rtl/>
        </w:rPr>
        <w:t xml:space="preserve">.  تقديرات منقحة مبنية على النتائج النهائية للتعداد العام للسكان والمساكن والمنشات، 2017.  رام الله - فلسطين. </w:t>
      </w:r>
    </w:p>
    <w:p w:rsidR="000A6B6A" w:rsidRPr="000A6B6A" w:rsidRDefault="000A6B6A" w:rsidP="00704982">
      <w:pPr>
        <w:pStyle w:val="Heading7"/>
        <w:jc w:val="both"/>
        <w:rPr>
          <w:rFonts w:ascii="Simplified Arabic" w:hAnsi="Simplified Arabic"/>
          <w:sz w:val="16"/>
          <w:szCs w:val="16"/>
          <w:rtl/>
        </w:rPr>
      </w:pPr>
    </w:p>
    <w:p w:rsidR="00E71102" w:rsidRPr="000A6B6A" w:rsidRDefault="00E71102" w:rsidP="00704982">
      <w:pPr>
        <w:pStyle w:val="Heading7"/>
        <w:jc w:val="both"/>
        <w:rPr>
          <w:rFonts w:ascii="Simplified Arabic" w:hAnsi="Simplified Arabic"/>
          <w:sz w:val="28"/>
          <w:szCs w:val="28"/>
        </w:rPr>
      </w:pPr>
      <w:r w:rsidRPr="000A6B6A">
        <w:rPr>
          <w:rFonts w:ascii="Simplified Arabic" w:hAnsi="Simplified Arabic"/>
          <w:sz w:val="28"/>
          <w:szCs w:val="28"/>
          <w:rtl/>
        </w:rPr>
        <w:t xml:space="preserve">المجتمع الفلسطيني </w:t>
      </w:r>
      <w:r w:rsidR="00632B14" w:rsidRPr="000A6B6A">
        <w:rPr>
          <w:rFonts w:ascii="Simplified Arabic" w:hAnsi="Simplified Arabic"/>
          <w:sz w:val="28"/>
          <w:szCs w:val="28"/>
          <w:rtl/>
        </w:rPr>
        <w:t>فتي وأكثر من ثلث سكانه دون 15 سنة</w:t>
      </w:r>
    </w:p>
    <w:p w:rsidR="00E71102" w:rsidRPr="000A6B6A" w:rsidRDefault="00E71102" w:rsidP="006A5F28">
      <w:pPr>
        <w:jc w:val="both"/>
        <w:rPr>
          <w:rFonts w:ascii="Simplified Arabic" w:hAnsi="Simplified Arabic" w:cs="Simplified Arabic"/>
          <w:sz w:val="26"/>
          <w:szCs w:val="26"/>
        </w:rPr>
      </w:pPr>
      <w:r w:rsidRPr="000A6B6A">
        <w:rPr>
          <w:rFonts w:ascii="Simplified Arabic" w:hAnsi="Simplified Arabic" w:cs="Simplified Arabic"/>
          <w:sz w:val="26"/>
          <w:szCs w:val="26"/>
          <w:rtl/>
        </w:rPr>
        <w:t>تقدر نسبة الأفراد في الفئة العمريـة (0-14 سنة</w:t>
      </w:r>
      <w:r w:rsidR="00F542A9" w:rsidRPr="000A6B6A">
        <w:rPr>
          <w:rFonts w:ascii="Simplified Arabic" w:hAnsi="Simplified Arabic" w:cs="Simplified Arabic"/>
          <w:sz w:val="26"/>
          <w:szCs w:val="26"/>
          <w:rtl/>
        </w:rPr>
        <w:t>)</w:t>
      </w:r>
      <w:r w:rsidRPr="000A6B6A">
        <w:rPr>
          <w:rFonts w:ascii="Simplified Arabic" w:hAnsi="Simplified Arabic" w:cs="Simplified Arabic"/>
          <w:sz w:val="26"/>
          <w:szCs w:val="26"/>
          <w:rtl/>
        </w:rPr>
        <w:t xml:space="preserve"> </w:t>
      </w:r>
      <w:r w:rsidRPr="000A6B6A">
        <w:rPr>
          <w:rFonts w:ascii="Simplified Arabic" w:hAnsi="Simplified Arabic" w:cs="Simplified Arabic"/>
          <w:sz w:val="26"/>
          <w:szCs w:val="26"/>
        </w:rPr>
        <w:t>3</w:t>
      </w:r>
      <w:r w:rsidR="002E61F4" w:rsidRPr="000A6B6A">
        <w:rPr>
          <w:rFonts w:ascii="Simplified Arabic" w:hAnsi="Simplified Arabic" w:cs="Simplified Arabic"/>
          <w:sz w:val="26"/>
          <w:szCs w:val="26"/>
        </w:rPr>
        <w:t>7</w:t>
      </w:r>
      <w:r w:rsidRPr="000A6B6A">
        <w:rPr>
          <w:rFonts w:ascii="Simplified Arabic" w:hAnsi="Simplified Arabic" w:cs="Simplified Arabic"/>
          <w:sz w:val="26"/>
          <w:szCs w:val="26"/>
          <w:rtl/>
        </w:rPr>
        <w:t>% من مجمل السكان فـي فلسطين</w:t>
      </w:r>
      <w:r w:rsidR="006A5F28" w:rsidRPr="000A6B6A">
        <w:rPr>
          <w:rFonts w:ascii="Simplified Arabic" w:hAnsi="Simplified Arabic" w:cs="Simplified Arabic"/>
          <w:sz w:val="26"/>
          <w:szCs w:val="26"/>
          <w:rtl/>
        </w:rPr>
        <w:t xml:space="preserve"> في منتصف العام 2023</w:t>
      </w:r>
      <w:r w:rsidRPr="000A6B6A">
        <w:rPr>
          <w:rFonts w:ascii="Simplified Arabic" w:hAnsi="Simplified Arabic" w:cs="Simplified Arabic"/>
          <w:sz w:val="26"/>
          <w:szCs w:val="26"/>
          <w:rtl/>
        </w:rPr>
        <w:t xml:space="preserve">، بـواقع </w:t>
      </w:r>
      <w:r w:rsidR="002E61F4" w:rsidRPr="000A6B6A">
        <w:rPr>
          <w:rFonts w:ascii="Simplified Arabic" w:hAnsi="Simplified Arabic" w:cs="Simplified Arabic"/>
          <w:sz w:val="26"/>
          <w:szCs w:val="26"/>
        </w:rPr>
        <w:t>35</w:t>
      </w:r>
      <w:r w:rsidRPr="000A6B6A">
        <w:rPr>
          <w:rFonts w:ascii="Simplified Arabic" w:hAnsi="Simplified Arabic" w:cs="Simplified Arabic"/>
          <w:sz w:val="26"/>
          <w:szCs w:val="26"/>
          <w:rtl/>
        </w:rPr>
        <w:t>% في الضفة الغربية و</w:t>
      </w:r>
      <w:r w:rsidR="002E61F4" w:rsidRPr="000A6B6A">
        <w:rPr>
          <w:rFonts w:ascii="Simplified Arabic" w:hAnsi="Simplified Arabic" w:cs="Simplified Arabic"/>
          <w:sz w:val="26"/>
          <w:szCs w:val="26"/>
        </w:rPr>
        <w:t>40</w:t>
      </w:r>
      <w:r w:rsidRPr="000A6B6A">
        <w:rPr>
          <w:rFonts w:ascii="Simplified Arabic" w:hAnsi="Simplified Arabic" w:cs="Simplified Arabic"/>
          <w:sz w:val="26"/>
          <w:szCs w:val="26"/>
          <w:rtl/>
        </w:rPr>
        <w:t xml:space="preserve">% في قطاع غزة.  </w:t>
      </w:r>
      <w:r w:rsidR="00E36F8C" w:rsidRPr="000A6B6A">
        <w:rPr>
          <w:rFonts w:ascii="Simplified Arabic" w:hAnsi="Simplified Arabic" w:cs="Simplified Arabic"/>
          <w:sz w:val="26"/>
          <w:szCs w:val="26"/>
          <w:rtl/>
        </w:rPr>
        <w:t xml:space="preserve">كما بلغت </w:t>
      </w:r>
      <w:r w:rsidRPr="000A6B6A">
        <w:rPr>
          <w:rFonts w:ascii="Simplified Arabic" w:hAnsi="Simplified Arabic" w:cs="Simplified Arabic"/>
          <w:sz w:val="26"/>
          <w:szCs w:val="26"/>
          <w:rtl/>
        </w:rPr>
        <w:t xml:space="preserve">نسبة الأفراد الذين تبلغ أعمارهم (65 سنة فأكثر) </w:t>
      </w:r>
      <w:r w:rsidR="002E61F4" w:rsidRPr="000A6B6A">
        <w:rPr>
          <w:rFonts w:ascii="Simplified Arabic" w:hAnsi="Simplified Arabic" w:cs="Simplified Arabic"/>
          <w:sz w:val="26"/>
          <w:szCs w:val="26"/>
          <w:rtl/>
        </w:rPr>
        <w:t>4</w:t>
      </w:r>
      <w:r w:rsidRPr="000A6B6A">
        <w:rPr>
          <w:rFonts w:ascii="Simplified Arabic" w:hAnsi="Simplified Arabic" w:cs="Simplified Arabic"/>
          <w:sz w:val="26"/>
          <w:szCs w:val="26"/>
          <w:rtl/>
        </w:rPr>
        <w:t>% في فلسطين، بواقع 4% في الضفة الغربية و3% في قطاع غزة.</w:t>
      </w:r>
    </w:p>
    <w:p w:rsidR="00704982" w:rsidRPr="000A6B6A" w:rsidRDefault="00704982" w:rsidP="004175F3">
      <w:pPr>
        <w:jc w:val="both"/>
        <w:rPr>
          <w:rFonts w:ascii="Simplified Arabic" w:hAnsi="Simplified Arabic" w:cs="Simplified Arabic"/>
          <w:b/>
          <w:bCs/>
          <w:sz w:val="16"/>
          <w:szCs w:val="16"/>
          <w:rtl/>
        </w:rPr>
      </w:pPr>
    </w:p>
    <w:p w:rsidR="004175F3" w:rsidRPr="000A6B6A" w:rsidRDefault="004175F3" w:rsidP="004175F3">
      <w:pPr>
        <w:jc w:val="both"/>
        <w:rPr>
          <w:rFonts w:ascii="Simplified Arabic" w:hAnsi="Simplified Arabic" w:cs="Simplified Arabic"/>
          <w:sz w:val="28"/>
          <w:szCs w:val="28"/>
        </w:rPr>
      </w:pPr>
      <w:r w:rsidRPr="000A6B6A">
        <w:rPr>
          <w:rFonts w:ascii="Simplified Arabic" w:hAnsi="Simplified Arabic" w:cs="Simplified Arabic"/>
          <w:b/>
          <w:bCs/>
          <w:sz w:val="28"/>
          <w:szCs w:val="28"/>
          <w:rtl/>
        </w:rPr>
        <w:t>أسرة من بين كل 10 أسر ترأسها امرأة</w:t>
      </w:r>
      <w:r w:rsidRPr="000A6B6A">
        <w:rPr>
          <w:rFonts w:ascii="Simplified Arabic" w:hAnsi="Simplified Arabic" w:cs="Simplified Arabic"/>
          <w:sz w:val="28"/>
          <w:szCs w:val="28"/>
          <w:rtl/>
        </w:rPr>
        <w:t xml:space="preserve"> </w:t>
      </w:r>
    </w:p>
    <w:p w:rsidR="004175F3" w:rsidRPr="000A6B6A" w:rsidRDefault="004175F3" w:rsidP="004175F3">
      <w:pPr>
        <w:jc w:val="both"/>
        <w:rPr>
          <w:rFonts w:ascii="Simplified Arabic" w:hAnsi="Simplified Arabic" w:cs="Simplified Arabic"/>
          <w:sz w:val="26"/>
          <w:szCs w:val="26"/>
          <w:rtl/>
        </w:rPr>
      </w:pPr>
      <w:r w:rsidRPr="000A6B6A">
        <w:rPr>
          <w:rFonts w:ascii="Simplified Arabic" w:hAnsi="Simplified Arabic" w:cs="Simplified Arabic"/>
          <w:sz w:val="26"/>
          <w:szCs w:val="26"/>
          <w:rtl/>
        </w:rPr>
        <w:t xml:space="preserve">12% من الأسر </w:t>
      </w:r>
      <w:r w:rsidR="006A5F28" w:rsidRPr="000A6B6A">
        <w:rPr>
          <w:rFonts w:ascii="Simplified Arabic" w:hAnsi="Simplified Arabic" w:cs="Simplified Arabic"/>
          <w:sz w:val="26"/>
          <w:szCs w:val="26"/>
          <w:rtl/>
        </w:rPr>
        <w:t xml:space="preserve">الفلسطينية </w:t>
      </w:r>
      <w:r w:rsidRPr="000A6B6A">
        <w:rPr>
          <w:rFonts w:ascii="Simplified Arabic" w:hAnsi="Simplified Arabic" w:cs="Simplified Arabic"/>
          <w:sz w:val="26"/>
          <w:szCs w:val="26"/>
          <w:rtl/>
        </w:rPr>
        <w:t>ترأسها إناث في فلسطين، بواقع 12% في الضفة الغربية و11% في قطاع غزة.</w:t>
      </w:r>
    </w:p>
    <w:p w:rsidR="004175F3" w:rsidRDefault="004175F3"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Default="000A6B6A" w:rsidP="004175F3">
      <w:pPr>
        <w:jc w:val="both"/>
        <w:rPr>
          <w:rFonts w:ascii="Simplified Arabic" w:hAnsi="Simplified Arabic" w:cs="Simplified Arabic"/>
          <w:b/>
          <w:bCs/>
          <w:sz w:val="16"/>
          <w:szCs w:val="16"/>
          <w:rtl/>
        </w:rPr>
      </w:pPr>
    </w:p>
    <w:p w:rsidR="000A6B6A" w:rsidRPr="000A6B6A" w:rsidRDefault="000A6B6A" w:rsidP="004175F3">
      <w:pPr>
        <w:jc w:val="both"/>
        <w:rPr>
          <w:rFonts w:ascii="Simplified Arabic" w:hAnsi="Simplified Arabic" w:cs="Simplified Arabic"/>
          <w:b/>
          <w:bCs/>
          <w:sz w:val="16"/>
          <w:szCs w:val="16"/>
          <w:rtl/>
        </w:rPr>
      </w:pPr>
    </w:p>
    <w:p w:rsidR="004175F3" w:rsidRPr="000A6B6A" w:rsidRDefault="004175F3" w:rsidP="004175F3">
      <w:pPr>
        <w:jc w:val="both"/>
        <w:rPr>
          <w:rFonts w:ascii="Simplified Arabic" w:hAnsi="Simplified Arabic" w:cs="Simplified Arabic"/>
          <w:sz w:val="28"/>
          <w:szCs w:val="28"/>
          <w:rtl/>
        </w:rPr>
      </w:pPr>
      <w:r w:rsidRPr="000A6B6A">
        <w:rPr>
          <w:rFonts w:ascii="Simplified Arabic" w:hAnsi="Simplified Arabic" w:cs="Simplified Arabic"/>
          <w:b/>
          <w:bCs/>
          <w:sz w:val="28"/>
          <w:szCs w:val="28"/>
          <w:rtl/>
        </w:rPr>
        <w:t>مزيداً من الانخفاض في متوسط حجم الأسرة</w:t>
      </w:r>
      <w:r w:rsidRPr="000A6B6A">
        <w:rPr>
          <w:rFonts w:ascii="Simplified Arabic" w:hAnsi="Simplified Arabic" w:cs="Simplified Arabic"/>
          <w:sz w:val="28"/>
          <w:szCs w:val="28"/>
          <w:rtl/>
        </w:rPr>
        <w:t xml:space="preserve"> </w:t>
      </w:r>
      <w:bookmarkStart w:id="0" w:name="_GoBack"/>
      <w:bookmarkEnd w:id="0"/>
    </w:p>
    <w:p w:rsidR="004175F3" w:rsidRPr="000A6B6A" w:rsidRDefault="004175F3" w:rsidP="006A5F28">
      <w:pPr>
        <w:jc w:val="both"/>
        <w:rPr>
          <w:rFonts w:ascii="Simplified Arabic" w:hAnsi="Simplified Arabic" w:cs="Simplified Arabic"/>
          <w:sz w:val="26"/>
          <w:szCs w:val="26"/>
          <w:rtl/>
        </w:rPr>
      </w:pPr>
      <w:r w:rsidRPr="000A6B6A">
        <w:rPr>
          <w:rFonts w:ascii="Simplified Arabic" w:hAnsi="Simplified Arabic" w:cs="Simplified Arabic"/>
          <w:sz w:val="26"/>
          <w:szCs w:val="26"/>
          <w:rtl/>
        </w:rPr>
        <w:t xml:space="preserve">تشير التقديرات إلى انخفاض في متوسط حجم الأسرة في فلسطين مقارنة بعام 2007، حيث انخفض متوسط حجم الأسرة إلى 5.0 أفراد عام 2022 مقارنة بـ 5.8 فرداً عام 2007.  من جانب آخر انخفض هذا المتوسط في الضفة الغربية إلى 4.7 فرداً عام 2022 مقارنة مع 5.5 فرداً عام 2007، وفي قطاع غزة انخفض متوسط حجم الأسرة إلى 5.5 فرداً في العام 2022 مقارنة مع 6.5 في العام 2007. </w:t>
      </w:r>
    </w:p>
    <w:p w:rsidR="004175F3" w:rsidRPr="000A6B6A" w:rsidRDefault="004175F3" w:rsidP="004175F3">
      <w:pPr>
        <w:jc w:val="both"/>
        <w:rPr>
          <w:rFonts w:ascii="Simplified Arabic" w:hAnsi="Simplified Arabic" w:cs="Simplified Arabic"/>
          <w:sz w:val="16"/>
          <w:szCs w:val="16"/>
          <w:rtl/>
        </w:rPr>
      </w:pPr>
    </w:p>
    <w:p w:rsidR="004175F3" w:rsidRPr="000A6B6A" w:rsidRDefault="004175F3" w:rsidP="004175F3">
      <w:pPr>
        <w:jc w:val="center"/>
        <w:rPr>
          <w:rFonts w:ascii="Simplified Arabic" w:hAnsi="Simplified Arabic" w:cs="Simplified Arabic"/>
          <w:b/>
          <w:bCs/>
          <w:sz w:val="28"/>
          <w:szCs w:val="28"/>
          <w:rtl/>
        </w:rPr>
      </w:pPr>
      <w:r w:rsidRPr="000A6B6A">
        <w:rPr>
          <w:rFonts w:ascii="Simplified Arabic" w:hAnsi="Simplified Arabic" w:cs="Simplified Arabic"/>
          <w:b/>
          <w:bCs/>
          <w:sz w:val="28"/>
          <w:szCs w:val="28"/>
          <w:rtl/>
        </w:rPr>
        <w:t>متوسط حجم الأسرة في فلسطين حسب المنطقة، 2022،2007</w:t>
      </w:r>
    </w:p>
    <w:tbl>
      <w:tblPr>
        <w:bidiVisual/>
        <w:tblW w:w="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tblGrid>
      <w:tr w:rsidR="000A6B6A" w:rsidRPr="000A6B6A" w:rsidTr="000A6B6A">
        <w:trPr>
          <w:trHeight w:val="2516"/>
          <w:jc w:val="center"/>
        </w:trPr>
        <w:tc>
          <w:tcPr>
            <w:tcW w:w="4572" w:type="dxa"/>
          </w:tcPr>
          <w:p w:rsidR="004175F3" w:rsidRPr="000A6B6A" w:rsidRDefault="004175F3" w:rsidP="00294165">
            <w:pPr>
              <w:jc w:val="both"/>
              <w:rPr>
                <w:rFonts w:ascii="Simplified Arabic" w:hAnsi="Simplified Arabic" w:cs="Simplified Arabic"/>
                <w:b/>
                <w:bCs/>
                <w:sz w:val="26"/>
                <w:szCs w:val="26"/>
                <w:rtl/>
              </w:rPr>
            </w:pPr>
            <w:r w:rsidRPr="000A6B6A">
              <w:rPr>
                <w:rFonts w:ascii="Simplified Arabic" w:hAnsi="Simplified Arabic" w:cs="Simplified Arabic"/>
                <w:b/>
                <w:bCs/>
                <w:noProof/>
                <w:sz w:val="26"/>
                <w:szCs w:val="26"/>
                <w:lang w:eastAsia="en-US"/>
              </w:rPr>
              <w:drawing>
                <wp:inline distT="0" distB="0" distL="0" distR="0" wp14:anchorId="2AC307E8" wp14:editId="1713180A">
                  <wp:extent cx="2783205" cy="15811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4175F3" w:rsidRPr="000A6B6A" w:rsidRDefault="004175F3" w:rsidP="00B0205D">
      <w:pPr>
        <w:ind w:right="-142"/>
        <w:jc w:val="both"/>
        <w:rPr>
          <w:rFonts w:ascii="Simplified Arabic" w:hAnsi="Simplified Arabic" w:cs="Simplified Arabic"/>
          <w:b/>
          <w:bCs/>
          <w:sz w:val="22"/>
          <w:szCs w:val="22"/>
          <w:rtl/>
        </w:rPr>
      </w:pPr>
      <w:r w:rsidRPr="000A6B6A">
        <w:rPr>
          <w:rFonts w:ascii="Simplified Arabic" w:hAnsi="Simplified Arabic" w:cs="Simplified Arabic"/>
          <w:b/>
          <w:bCs/>
          <w:sz w:val="22"/>
          <w:szCs w:val="22"/>
          <w:rtl/>
        </w:rPr>
        <w:t xml:space="preserve">المصدر: الجهاز المركزي للإحصاء الفلسطيني، </w:t>
      </w:r>
      <w:r w:rsidRPr="000A6B6A">
        <w:rPr>
          <w:rFonts w:ascii="Simplified Arabic" w:hAnsi="Simplified Arabic" w:cs="Simplified Arabic"/>
          <w:b/>
          <w:bCs/>
          <w:sz w:val="22"/>
          <w:szCs w:val="22"/>
        </w:rPr>
        <w:t>2023</w:t>
      </w:r>
      <w:r w:rsidRPr="000A6B6A">
        <w:rPr>
          <w:rFonts w:ascii="Simplified Arabic" w:hAnsi="Simplified Arabic" w:cs="Simplified Arabic"/>
          <w:sz w:val="22"/>
          <w:szCs w:val="22"/>
          <w:rtl/>
        </w:rPr>
        <w:t>.  تقديرات مبنية على نتائج مسح القوى العاملة ونتائج التعداد العام للسكان والمساكن والمنشآت لللأعوام 2022،2007. رام الله - فلسطين.</w:t>
      </w:r>
    </w:p>
    <w:p w:rsidR="000A6B6A" w:rsidRPr="000A6B6A" w:rsidRDefault="000A6B6A" w:rsidP="00704982">
      <w:pPr>
        <w:pStyle w:val="Heading7"/>
        <w:jc w:val="both"/>
        <w:rPr>
          <w:rFonts w:ascii="Simplified Arabic" w:hAnsi="Simplified Arabic"/>
          <w:sz w:val="16"/>
          <w:szCs w:val="16"/>
          <w:rtl/>
        </w:rPr>
      </w:pPr>
    </w:p>
    <w:p w:rsidR="00561594" w:rsidRPr="000A6B6A" w:rsidRDefault="00561594" w:rsidP="00704982">
      <w:pPr>
        <w:pStyle w:val="Heading7"/>
        <w:jc w:val="both"/>
        <w:rPr>
          <w:rFonts w:ascii="Simplified Arabic" w:hAnsi="Simplified Arabic"/>
          <w:sz w:val="28"/>
          <w:szCs w:val="28"/>
          <w:rtl/>
        </w:rPr>
      </w:pPr>
      <w:r w:rsidRPr="000A6B6A">
        <w:rPr>
          <w:rFonts w:ascii="Simplified Arabic" w:hAnsi="Simplified Arabic"/>
          <w:sz w:val="28"/>
          <w:szCs w:val="28"/>
          <w:rtl/>
        </w:rPr>
        <w:t>التطور في مجال التعليم</w:t>
      </w:r>
      <w:r w:rsidRPr="000A6B6A">
        <w:rPr>
          <w:rFonts w:ascii="Simplified Arabic" w:hAnsi="Simplified Arabic"/>
          <w:sz w:val="28"/>
          <w:szCs w:val="28"/>
        </w:rPr>
        <w:t xml:space="preserve"> </w:t>
      </w:r>
      <w:r w:rsidRPr="000A6B6A">
        <w:rPr>
          <w:rFonts w:ascii="Simplified Arabic" w:hAnsi="Simplified Arabic"/>
          <w:sz w:val="28"/>
          <w:szCs w:val="28"/>
          <w:rtl/>
        </w:rPr>
        <w:t>هو</w:t>
      </w:r>
      <w:r w:rsidRPr="000A6B6A">
        <w:rPr>
          <w:rFonts w:ascii="Simplified Arabic" w:hAnsi="Simplified Arabic"/>
          <w:sz w:val="28"/>
          <w:szCs w:val="28"/>
        </w:rPr>
        <w:t xml:space="preserve"> </w:t>
      </w:r>
      <w:r w:rsidRPr="000A6B6A">
        <w:rPr>
          <w:rFonts w:ascii="Simplified Arabic" w:hAnsi="Simplified Arabic"/>
          <w:sz w:val="28"/>
          <w:szCs w:val="28"/>
          <w:rtl/>
        </w:rPr>
        <w:t>حجر</w:t>
      </w:r>
      <w:r w:rsidRPr="000A6B6A">
        <w:rPr>
          <w:rFonts w:ascii="Simplified Arabic" w:hAnsi="Simplified Arabic"/>
          <w:sz w:val="28"/>
          <w:szCs w:val="28"/>
        </w:rPr>
        <w:t xml:space="preserve"> </w:t>
      </w:r>
      <w:r w:rsidRPr="000A6B6A">
        <w:rPr>
          <w:rFonts w:ascii="Simplified Arabic" w:hAnsi="Simplified Arabic"/>
          <w:sz w:val="28"/>
          <w:szCs w:val="28"/>
          <w:rtl/>
        </w:rPr>
        <w:t>الأساس</w:t>
      </w:r>
      <w:r w:rsidRPr="000A6B6A">
        <w:rPr>
          <w:rFonts w:ascii="Simplified Arabic" w:hAnsi="Simplified Arabic"/>
          <w:sz w:val="28"/>
          <w:szCs w:val="28"/>
        </w:rPr>
        <w:t xml:space="preserve"> </w:t>
      </w:r>
      <w:r w:rsidRPr="000A6B6A">
        <w:rPr>
          <w:rFonts w:ascii="Simplified Arabic" w:hAnsi="Simplified Arabic"/>
          <w:sz w:val="28"/>
          <w:szCs w:val="28"/>
          <w:rtl/>
        </w:rPr>
        <w:t>ومحور</w:t>
      </w:r>
      <w:r w:rsidRPr="000A6B6A">
        <w:rPr>
          <w:rFonts w:ascii="Simplified Arabic" w:hAnsi="Simplified Arabic"/>
          <w:sz w:val="28"/>
          <w:szCs w:val="28"/>
        </w:rPr>
        <w:t xml:space="preserve"> </w:t>
      </w:r>
      <w:r w:rsidRPr="000A6B6A">
        <w:rPr>
          <w:rFonts w:ascii="Simplified Arabic" w:hAnsi="Simplified Arabic"/>
          <w:sz w:val="28"/>
          <w:szCs w:val="28"/>
          <w:rtl/>
        </w:rPr>
        <w:t>التنمية، ويحقق</w:t>
      </w:r>
      <w:r w:rsidRPr="000A6B6A">
        <w:rPr>
          <w:rFonts w:ascii="Simplified Arabic" w:hAnsi="Simplified Arabic"/>
          <w:sz w:val="28"/>
          <w:szCs w:val="28"/>
        </w:rPr>
        <w:t xml:space="preserve"> </w:t>
      </w:r>
      <w:r w:rsidRPr="000A6B6A">
        <w:rPr>
          <w:rFonts w:ascii="Simplified Arabic" w:hAnsi="Simplified Arabic"/>
          <w:sz w:val="28"/>
          <w:szCs w:val="28"/>
          <w:rtl/>
        </w:rPr>
        <w:t>قدراً</w:t>
      </w:r>
      <w:r w:rsidRPr="000A6B6A">
        <w:rPr>
          <w:rFonts w:ascii="Simplified Arabic" w:hAnsi="Simplified Arabic"/>
          <w:sz w:val="28"/>
          <w:szCs w:val="28"/>
        </w:rPr>
        <w:t xml:space="preserve"> </w:t>
      </w:r>
      <w:r w:rsidRPr="000A6B6A">
        <w:rPr>
          <w:rFonts w:ascii="Simplified Arabic" w:hAnsi="Simplified Arabic"/>
          <w:sz w:val="28"/>
          <w:szCs w:val="28"/>
          <w:rtl/>
        </w:rPr>
        <w:t>من الإنصاف</w:t>
      </w:r>
      <w:r w:rsidRPr="000A6B6A">
        <w:rPr>
          <w:rFonts w:ascii="Simplified Arabic" w:hAnsi="Simplified Arabic"/>
          <w:sz w:val="28"/>
          <w:szCs w:val="28"/>
        </w:rPr>
        <w:t xml:space="preserve"> </w:t>
      </w:r>
      <w:r w:rsidRPr="000A6B6A">
        <w:rPr>
          <w:rFonts w:ascii="Simplified Arabic" w:hAnsi="Simplified Arabic"/>
          <w:sz w:val="28"/>
          <w:szCs w:val="28"/>
          <w:rtl/>
        </w:rPr>
        <w:t>والعدالة والمساواة</w:t>
      </w:r>
      <w:r w:rsidRPr="000A6B6A">
        <w:rPr>
          <w:rFonts w:ascii="Simplified Arabic" w:hAnsi="Simplified Arabic"/>
          <w:sz w:val="28"/>
          <w:szCs w:val="28"/>
        </w:rPr>
        <w:t xml:space="preserve"> </w:t>
      </w:r>
      <w:r w:rsidRPr="000A6B6A">
        <w:rPr>
          <w:rFonts w:ascii="Simplified Arabic" w:hAnsi="Simplified Arabic"/>
          <w:sz w:val="28"/>
          <w:szCs w:val="28"/>
          <w:rtl/>
        </w:rPr>
        <w:t>بين</w:t>
      </w:r>
      <w:r w:rsidRPr="000A6B6A">
        <w:rPr>
          <w:rFonts w:ascii="Simplified Arabic" w:hAnsi="Simplified Arabic"/>
          <w:sz w:val="28"/>
          <w:szCs w:val="28"/>
        </w:rPr>
        <w:t xml:space="preserve"> </w:t>
      </w:r>
      <w:r w:rsidRPr="000A6B6A">
        <w:rPr>
          <w:rFonts w:ascii="Simplified Arabic" w:hAnsi="Simplified Arabic"/>
          <w:sz w:val="28"/>
          <w:szCs w:val="28"/>
          <w:rtl/>
        </w:rPr>
        <w:t>النساء</w:t>
      </w:r>
      <w:r w:rsidRPr="000A6B6A">
        <w:rPr>
          <w:rFonts w:ascii="Simplified Arabic" w:hAnsi="Simplified Arabic"/>
          <w:sz w:val="28"/>
          <w:szCs w:val="28"/>
        </w:rPr>
        <w:t xml:space="preserve"> </w:t>
      </w:r>
      <w:r w:rsidRPr="000A6B6A">
        <w:rPr>
          <w:rFonts w:ascii="Simplified Arabic" w:hAnsi="Simplified Arabic"/>
          <w:sz w:val="28"/>
          <w:szCs w:val="28"/>
          <w:rtl/>
        </w:rPr>
        <w:t xml:space="preserve">والرجال </w:t>
      </w:r>
    </w:p>
    <w:p w:rsidR="00561594" w:rsidRPr="000A6B6A" w:rsidRDefault="006A5F28" w:rsidP="006A5F28">
      <w:pPr>
        <w:jc w:val="both"/>
        <w:rPr>
          <w:rFonts w:ascii="Simplified Arabic" w:eastAsia="Calibri" w:hAnsi="Simplified Arabic" w:cs="Simplified Arabic"/>
          <w:sz w:val="26"/>
          <w:szCs w:val="26"/>
          <w:rtl/>
          <w:lang w:eastAsia="en-US"/>
        </w:rPr>
      </w:pPr>
      <w:r w:rsidRPr="000A6B6A">
        <w:rPr>
          <w:rFonts w:ascii="Simplified Arabic" w:hAnsi="Simplified Arabic" w:cs="Simplified Arabic"/>
          <w:sz w:val="26"/>
          <w:szCs w:val="26"/>
          <w:rtl/>
        </w:rPr>
        <w:t>بلغ</w:t>
      </w:r>
      <w:r w:rsidR="00C9572A" w:rsidRPr="000A6B6A">
        <w:rPr>
          <w:rFonts w:ascii="Simplified Arabic" w:hAnsi="Simplified Arabic" w:cs="Simplified Arabic"/>
          <w:sz w:val="26"/>
          <w:szCs w:val="26"/>
          <w:rtl/>
        </w:rPr>
        <w:t xml:space="preserve"> معدل الأمية بين الأفراد الذين أعمارهم 15 سنة فأكثر في فلسطين </w:t>
      </w:r>
      <w:r w:rsidR="00C9572A" w:rsidRPr="000A6B6A">
        <w:rPr>
          <w:rFonts w:ascii="Simplified Arabic" w:hAnsi="Simplified Arabic" w:cs="Simplified Arabic"/>
          <w:sz w:val="26"/>
          <w:szCs w:val="26"/>
        </w:rPr>
        <w:t>2.2</w:t>
      </w:r>
      <w:r w:rsidR="00C9572A" w:rsidRPr="000A6B6A">
        <w:rPr>
          <w:rFonts w:ascii="Simplified Arabic" w:hAnsi="Simplified Arabic" w:cs="Simplified Arabic"/>
          <w:sz w:val="26"/>
          <w:szCs w:val="26"/>
          <w:rtl/>
        </w:rPr>
        <w:t xml:space="preserve">%، وتفاوت هذا المعدل بشكل كبير بين الذكور والإناث، فبلغت بين الذكور </w:t>
      </w:r>
      <w:r w:rsidR="00C9572A" w:rsidRPr="000A6B6A">
        <w:rPr>
          <w:rFonts w:ascii="Simplified Arabic" w:hAnsi="Simplified Arabic" w:cs="Simplified Arabic"/>
          <w:sz w:val="26"/>
          <w:szCs w:val="26"/>
        </w:rPr>
        <w:t>1.1</w:t>
      </w:r>
      <w:r w:rsidR="00C9572A" w:rsidRPr="000A6B6A">
        <w:rPr>
          <w:rFonts w:ascii="Simplified Arabic" w:hAnsi="Simplified Arabic" w:cs="Simplified Arabic"/>
          <w:sz w:val="26"/>
          <w:szCs w:val="26"/>
          <w:rtl/>
        </w:rPr>
        <w:t xml:space="preserve">%، في حين بلغت بين الإناث </w:t>
      </w:r>
      <w:r w:rsidR="00C9572A" w:rsidRPr="000A6B6A">
        <w:rPr>
          <w:rFonts w:ascii="Simplified Arabic" w:hAnsi="Simplified Arabic" w:cs="Simplified Arabic"/>
          <w:sz w:val="26"/>
          <w:szCs w:val="26"/>
        </w:rPr>
        <w:t>3.3</w:t>
      </w:r>
      <w:r w:rsidR="00C9572A" w:rsidRPr="000A6B6A">
        <w:rPr>
          <w:rFonts w:ascii="Simplified Arabic" w:hAnsi="Simplified Arabic" w:cs="Simplified Arabic"/>
          <w:sz w:val="26"/>
          <w:szCs w:val="26"/>
          <w:rtl/>
        </w:rPr>
        <w:t xml:space="preserve">%، وكما </w:t>
      </w:r>
      <w:r w:rsidR="00561594" w:rsidRPr="000A6B6A">
        <w:rPr>
          <w:rFonts w:ascii="Simplified Arabic" w:eastAsia="Calibri" w:hAnsi="Simplified Arabic" w:cs="Simplified Arabic"/>
          <w:sz w:val="26"/>
          <w:szCs w:val="26"/>
          <w:rtl/>
          <w:lang w:eastAsia="en-US"/>
        </w:rPr>
        <w:t xml:space="preserve">أشارت البيانات للعام الدراسي </w:t>
      </w:r>
      <w:r w:rsidR="00561594" w:rsidRPr="000A6B6A">
        <w:rPr>
          <w:rFonts w:ascii="Simplified Arabic" w:eastAsia="Calibri" w:hAnsi="Simplified Arabic" w:cs="Simplified Arabic"/>
          <w:sz w:val="26"/>
          <w:szCs w:val="26"/>
          <w:lang w:eastAsia="en-US"/>
        </w:rPr>
        <w:t>2022/2021</w:t>
      </w:r>
      <w:r w:rsidR="00561594" w:rsidRPr="000A6B6A">
        <w:rPr>
          <w:rFonts w:ascii="Simplified Arabic" w:eastAsia="Calibri" w:hAnsi="Simplified Arabic" w:cs="Simplified Arabic"/>
          <w:sz w:val="26"/>
          <w:szCs w:val="26"/>
          <w:rtl/>
          <w:lang w:eastAsia="en-US"/>
        </w:rPr>
        <w:t xml:space="preserve"> إلى أن معدل المشاركة في التعليم النظامي (قبل سنة واحدة من سن الالتحاق الرسمي بالتعليم الابتدائي) في فلسطين بلغ ما يقارب 73%، بواقع 68% للذكور، و78% للإناث.  فيما تتفوق الإناث على الذكور في معدلات الإتمام للمرحلة الثانوية الدنيا والعليا حيث بلغت هذه النسب 97%، و78% على التوالي، في حين بلغت النسب بين الذكور 90% و</w:t>
      </w:r>
      <w:r w:rsidR="00561594" w:rsidRPr="000A6B6A">
        <w:rPr>
          <w:rFonts w:ascii="Simplified Arabic" w:eastAsia="Calibri" w:hAnsi="Simplified Arabic" w:cs="Simplified Arabic"/>
          <w:sz w:val="26"/>
          <w:szCs w:val="26"/>
          <w:lang w:eastAsia="en-US"/>
        </w:rPr>
        <w:t>53</w:t>
      </w:r>
      <w:r w:rsidR="00561594" w:rsidRPr="000A6B6A">
        <w:rPr>
          <w:rFonts w:ascii="Simplified Arabic" w:eastAsia="Calibri" w:hAnsi="Simplified Arabic" w:cs="Simplified Arabic"/>
          <w:sz w:val="26"/>
          <w:szCs w:val="26"/>
          <w:rtl/>
          <w:lang w:eastAsia="en-US"/>
        </w:rPr>
        <w:t xml:space="preserve">% على التوالي. </w:t>
      </w:r>
    </w:p>
    <w:p w:rsidR="00561594" w:rsidRPr="000A6B6A" w:rsidRDefault="00561594" w:rsidP="00561594">
      <w:pPr>
        <w:jc w:val="both"/>
        <w:rPr>
          <w:rFonts w:ascii="Simplified Arabic" w:eastAsia="Calibri" w:hAnsi="Simplified Arabic" w:cs="Simplified Arabic"/>
          <w:sz w:val="16"/>
          <w:szCs w:val="16"/>
          <w:rtl/>
          <w:lang w:eastAsia="en-US"/>
        </w:rPr>
      </w:pPr>
    </w:p>
    <w:p w:rsidR="00561594" w:rsidRPr="000A6B6A" w:rsidRDefault="00561594" w:rsidP="00BF08D5">
      <w:pPr>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بلغت نسبة الطالبات الملتحقات في مؤسسات التعليم العالي الفلسطينية 62% من مجموع الطلبة الملتحقين في مؤسسات التعليم العالي للعام الدراسي 2021/2022، منهم حوالي 10% ملتحقين بتخصص تكنولوجيا الاتصالات والمعلومات.</w:t>
      </w:r>
    </w:p>
    <w:p w:rsidR="00704982" w:rsidRPr="000A6B6A" w:rsidRDefault="00704982" w:rsidP="00B94E0D">
      <w:pPr>
        <w:jc w:val="center"/>
        <w:rPr>
          <w:rFonts w:ascii="Simplified Arabic" w:hAnsi="Simplified Arabic" w:cs="Simplified Arabic"/>
          <w:vanish/>
          <w:sz w:val="16"/>
          <w:szCs w:val="16"/>
          <w:rtl/>
          <w:lang w:val="en" w:eastAsia="en-US" w:bidi="ar"/>
        </w:rPr>
      </w:pPr>
    </w:p>
    <w:p w:rsidR="00704982" w:rsidRPr="000A6B6A" w:rsidRDefault="00704982" w:rsidP="00B94E0D">
      <w:pPr>
        <w:jc w:val="center"/>
        <w:rPr>
          <w:rFonts w:ascii="Simplified Arabic" w:hAnsi="Simplified Arabic" w:cs="Simplified Arabic"/>
          <w:b/>
          <w:bCs/>
          <w:sz w:val="16"/>
          <w:szCs w:val="16"/>
          <w:rtl/>
        </w:rPr>
      </w:pPr>
    </w:p>
    <w:p w:rsidR="000A6B6A" w:rsidRDefault="000A6B6A" w:rsidP="00B94E0D">
      <w:pPr>
        <w:jc w:val="center"/>
        <w:rPr>
          <w:rFonts w:ascii="Simplified Arabic" w:hAnsi="Simplified Arabic" w:cs="Simplified Arabic"/>
          <w:b/>
          <w:bCs/>
          <w:sz w:val="28"/>
          <w:szCs w:val="28"/>
          <w:rtl/>
        </w:rPr>
      </w:pPr>
    </w:p>
    <w:p w:rsidR="000A6B6A" w:rsidRDefault="000A6B6A" w:rsidP="00B94E0D">
      <w:pPr>
        <w:jc w:val="center"/>
        <w:rPr>
          <w:rFonts w:ascii="Simplified Arabic" w:hAnsi="Simplified Arabic" w:cs="Simplified Arabic"/>
          <w:b/>
          <w:bCs/>
          <w:sz w:val="28"/>
          <w:szCs w:val="28"/>
          <w:rtl/>
        </w:rPr>
      </w:pPr>
    </w:p>
    <w:p w:rsidR="000A6B6A" w:rsidRDefault="000A6B6A" w:rsidP="00B94E0D">
      <w:pPr>
        <w:jc w:val="center"/>
        <w:rPr>
          <w:rFonts w:ascii="Simplified Arabic" w:hAnsi="Simplified Arabic" w:cs="Simplified Arabic"/>
          <w:b/>
          <w:bCs/>
          <w:sz w:val="28"/>
          <w:szCs w:val="28"/>
          <w:rtl/>
        </w:rPr>
      </w:pPr>
    </w:p>
    <w:p w:rsidR="000A6B6A" w:rsidRDefault="000A6B6A" w:rsidP="00B94E0D">
      <w:pPr>
        <w:jc w:val="center"/>
        <w:rPr>
          <w:rFonts w:ascii="Simplified Arabic" w:hAnsi="Simplified Arabic" w:cs="Simplified Arabic"/>
          <w:b/>
          <w:bCs/>
          <w:sz w:val="28"/>
          <w:szCs w:val="28"/>
          <w:rtl/>
        </w:rPr>
      </w:pPr>
    </w:p>
    <w:p w:rsidR="000A6B6A" w:rsidRDefault="000A6B6A" w:rsidP="00B94E0D">
      <w:pPr>
        <w:jc w:val="center"/>
        <w:rPr>
          <w:rFonts w:ascii="Simplified Arabic" w:hAnsi="Simplified Arabic" w:cs="Simplified Arabic"/>
          <w:b/>
          <w:bCs/>
          <w:sz w:val="28"/>
          <w:szCs w:val="28"/>
          <w:rtl/>
        </w:rPr>
      </w:pPr>
    </w:p>
    <w:p w:rsidR="000A6B6A" w:rsidRDefault="000A6B6A" w:rsidP="00B94E0D">
      <w:pPr>
        <w:jc w:val="center"/>
        <w:rPr>
          <w:rFonts w:ascii="Simplified Arabic" w:hAnsi="Simplified Arabic" w:cs="Simplified Arabic"/>
          <w:b/>
          <w:bCs/>
          <w:sz w:val="28"/>
          <w:szCs w:val="28"/>
          <w:rtl/>
        </w:rPr>
      </w:pPr>
    </w:p>
    <w:p w:rsidR="00B94E0D" w:rsidRPr="000A6B6A" w:rsidRDefault="00B94E0D" w:rsidP="00B94E0D">
      <w:pPr>
        <w:jc w:val="center"/>
        <w:rPr>
          <w:rFonts w:ascii="Simplified Arabic" w:hAnsi="Simplified Arabic" w:cs="Simplified Arabic"/>
          <w:b/>
          <w:bCs/>
          <w:sz w:val="28"/>
          <w:szCs w:val="28"/>
        </w:rPr>
      </w:pPr>
      <w:r w:rsidRPr="000A6B6A">
        <w:rPr>
          <w:rFonts w:ascii="Simplified Arabic" w:hAnsi="Simplified Arabic" w:cs="Simplified Arabic"/>
          <w:b/>
          <w:bCs/>
          <w:sz w:val="28"/>
          <w:szCs w:val="28"/>
          <w:rtl/>
        </w:rPr>
        <w:lastRenderedPageBreak/>
        <w:t>معدل الأمية للأفراد (15 سنة فأكثر) في فلسطين حسب الجنس، 2000-2022</w:t>
      </w:r>
    </w:p>
    <w:tbl>
      <w:tblPr>
        <w:tblStyle w:val="TableGrid"/>
        <w:bidiVisual/>
        <w:tblW w:w="0" w:type="auto"/>
        <w:jc w:val="center"/>
        <w:tblLook w:val="04A0" w:firstRow="1" w:lastRow="0" w:firstColumn="1" w:lastColumn="0" w:noHBand="0" w:noVBand="1"/>
      </w:tblPr>
      <w:tblGrid>
        <w:gridCol w:w="4521"/>
      </w:tblGrid>
      <w:tr w:rsidR="000A6B6A" w:rsidRPr="000A6B6A" w:rsidTr="000A6B6A">
        <w:trPr>
          <w:jc w:val="center"/>
        </w:trPr>
        <w:tc>
          <w:tcPr>
            <w:tcW w:w="4493" w:type="dxa"/>
            <w:tcBorders>
              <w:top w:val="single" w:sz="4" w:space="0" w:color="auto"/>
              <w:left w:val="single" w:sz="4" w:space="0" w:color="auto"/>
              <w:bottom w:val="single" w:sz="4" w:space="0" w:color="auto"/>
              <w:right w:val="single" w:sz="4" w:space="0" w:color="auto"/>
            </w:tcBorders>
            <w:hideMark/>
          </w:tcPr>
          <w:p w:rsidR="00B94E0D" w:rsidRPr="000A6B6A" w:rsidRDefault="00B94E0D" w:rsidP="00614DBC">
            <w:pPr>
              <w:jc w:val="center"/>
              <w:rPr>
                <w:rFonts w:ascii="Simplified Arabic" w:hAnsi="Simplified Arabic" w:cs="Simplified Arabic"/>
                <w:b/>
                <w:bCs/>
                <w:sz w:val="26"/>
                <w:szCs w:val="26"/>
                <w:rtl/>
              </w:rPr>
            </w:pPr>
            <w:r w:rsidRPr="000A6B6A">
              <w:rPr>
                <w:rFonts w:ascii="Simplified Arabic" w:hAnsi="Simplified Arabic" w:cs="Simplified Arabic"/>
                <w:noProof/>
                <w:sz w:val="26"/>
                <w:szCs w:val="26"/>
                <w:lang w:eastAsia="en-US"/>
              </w:rPr>
              <w:drawing>
                <wp:inline distT="0" distB="0" distL="0" distR="0" wp14:anchorId="77AA7DAF" wp14:editId="62A49FC7">
                  <wp:extent cx="2733675" cy="1800225"/>
                  <wp:effectExtent l="0" t="0" r="0" b="0"/>
                  <wp:docPr id="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B94E0D" w:rsidRPr="000A6B6A" w:rsidRDefault="00B94E0D" w:rsidP="00B94E0D">
      <w:pPr>
        <w:jc w:val="both"/>
        <w:rPr>
          <w:rFonts w:ascii="Simplified Arabic" w:hAnsi="Simplified Arabic" w:cs="Simplified Arabic"/>
          <w:b/>
          <w:bCs/>
          <w:sz w:val="22"/>
          <w:szCs w:val="22"/>
          <w:rtl/>
        </w:rPr>
      </w:pPr>
      <w:r w:rsidRPr="000A6B6A">
        <w:rPr>
          <w:rFonts w:ascii="Simplified Arabic" w:hAnsi="Simplified Arabic" w:cs="Simplified Arabic"/>
          <w:b/>
          <w:bCs/>
          <w:sz w:val="22"/>
          <w:szCs w:val="22"/>
          <w:rtl/>
        </w:rPr>
        <w:t xml:space="preserve">المصدر: الجهاز المركزي للإحصاء الفلسطيني، </w:t>
      </w:r>
      <w:r w:rsidRPr="000A6B6A">
        <w:rPr>
          <w:rFonts w:ascii="Simplified Arabic" w:hAnsi="Simplified Arabic" w:cs="Simplified Arabic"/>
          <w:b/>
          <w:bCs/>
          <w:sz w:val="22"/>
          <w:szCs w:val="22"/>
        </w:rPr>
        <w:t>2023</w:t>
      </w:r>
      <w:r w:rsidRPr="000A6B6A">
        <w:rPr>
          <w:rFonts w:ascii="Simplified Arabic" w:hAnsi="Simplified Arabic" w:cs="Simplified Arabic"/>
          <w:sz w:val="22"/>
          <w:szCs w:val="22"/>
          <w:rtl/>
        </w:rPr>
        <w:t xml:space="preserve">.  قاعدة بيانات القوى العاملة </w:t>
      </w:r>
      <w:r w:rsidRPr="000A6B6A">
        <w:rPr>
          <w:rFonts w:ascii="Simplified Arabic" w:hAnsi="Simplified Arabic" w:cs="Simplified Arabic"/>
          <w:sz w:val="22"/>
          <w:szCs w:val="22"/>
        </w:rPr>
        <w:t>2022-2000</w:t>
      </w:r>
      <w:r w:rsidRPr="000A6B6A">
        <w:rPr>
          <w:rFonts w:ascii="Simplified Arabic" w:hAnsi="Simplified Arabic" w:cs="Simplified Arabic"/>
          <w:sz w:val="22"/>
          <w:szCs w:val="22"/>
          <w:rtl/>
        </w:rPr>
        <w:t>.  رام الله - فلسطين.</w:t>
      </w:r>
    </w:p>
    <w:p w:rsidR="00034BD5" w:rsidRPr="000A6B6A" w:rsidRDefault="00034BD5" w:rsidP="004260A3">
      <w:pPr>
        <w:jc w:val="center"/>
        <w:rPr>
          <w:rFonts w:ascii="Simplified Arabic" w:hAnsi="Simplified Arabic" w:cs="Simplified Arabic"/>
          <w:b/>
          <w:bCs/>
          <w:sz w:val="16"/>
          <w:szCs w:val="16"/>
        </w:rPr>
      </w:pPr>
    </w:p>
    <w:p w:rsidR="00561594" w:rsidRPr="000A6B6A" w:rsidRDefault="00561594" w:rsidP="00BF08D5">
      <w:pPr>
        <w:pStyle w:val="Heading7"/>
        <w:jc w:val="both"/>
        <w:rPr>
          <w:rFonts w:ascii="Simplified Arabic" w:hAnsi="Simplified Arabic"/>
          <w:sz w:val="28"/>
          <w:szCs w:val="28"/>
          <w:rtl/>
        </w:rPr>
      </w:pPr>
      <w:r w:rsidRPr="000A6B6A">
        <w:rPr>
          <w:rFonts w:ascii="Simplified Arabic" w:hAnsi="Simplified Arabic"/>
          <w:sz w:val="28"/>
          <w:szCs w:val="28"/>
          <w:rtl/>
        </w:rPr>
        <w:t>حصول</w:t>
      </w:r>
      <w:r w:rsidRPr="000A6B6A">
        <w:rPr>
          <w:rFonts w:ascii="Simplified Arabic" w:hAnsi="Simplified Arabic"/>
          <w:sz w:val="28"/>
          <w:szCs w:val="28"/>
        </w:rPr>
        <w:t xml:space="preserve"> </w:t>
      </w:r>
      <w:r w:rsidRPr="000A6B6A">
        <w:rPr>
          <w:rFonts w:ascii="Simplified Arabic" w:hAnsi="Simplified Arabic"/>
          <w:sz w:val="28"/>
          <w:szCs w:val="28"/>
          <w:rtl/>
        </w:rPr>
        <w:t>المرأة</w:t>
      </w:r>
      <w:r w:rsidRPr="000A6B6A">
        <w:rPr>
          <w:rFonts w:ascii="Simplified Arabic" w:hAnsi="Simplified Arabic"/>
          <w:sz w:val="28"/>
          <w:szCs w:val="28"/>
        </w:rPr>
        <w:t xml:space="preserve"> </w:t>
      </w:r>
      <w:r w:rsidRPr="000A6B6A">
        <w:rPr>
          <w:rFonts w:ascii="Simplified Arabic" w:hAnsi="Simplified Arabic"/>
          <w:sz w:val="28"/>
          <w:szCs w:val="28"/>
          <w:rtl/>
        </w:rPr>
        <w:t>على</w:t>
      </w:r>
      <w:r w:rsidRPr="000A6B6A">
        <w:rPr>
          <w:rFonts w:ascii="Simplified Arabic" w:hAnsi="Simplified Arabic"/>
          <w:sz w:val="28"/>
          <w:szCs w:val="28"/>
        </w:rPr>
        <w:t xml:space="preserve"> </w:t>
      </w:r>
      <w:r w:rsidRPr="000A6B6A">
        <w:rPr>
          <w:rFonts w:ascii="Simplified Arabic" w:hAnsi="Simplified Arabic"/>
          <w:sz w:val="28"/>
          <w:szCs w:val="28"/>
          <w:rtl/>
        </w:rPr>
        <w:t>عمل لائق وضمان</w:t>
      </w:r>
      <w:r w:rsidRPr="000A6B6A">
        <w:rPr>
          <w:rFonts w:ascii="Simplified Arabic" w:hAnsi="Simplified Arabic"/>
          <w:sz w:val="28"/>
          <w:szCs w:val="28"/>
        </w:rPr>
        <w:t xml:space="preserve"> </w:t>
      </w:r>
      <w:r w:rsidRPr="000A6B6A">
        <w:rPr>
          <w:rFonts w:ascii="Simplified Arabic" w:hAnsi="Simplified Arabic"/>
          <w:sz w:val="28"/>
          <w:szCs w:val="28"/>
          <w:rtl/>
        </w:rPr>
        <w:t>مشاركتها بشكل فاعل وعلى أساس التكافؤ يؤدي الى تمكينها اقتصادياً</w:t>
      </w:r>
    </w:p>
    <w:p w:rsidR="00561594" w:rsidRPr="000A6B6A" w:rsidRDefault="00561594" w:rsidP="00561594">
      <w:pPr>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 xml:space="preserve">ارتفعت نسبة مشاركة النساء في القوى العاملة للعام 2022 مقارنة مع عام 2021، حيث بلغت حوالي 19% من مجمل النساء في سن العمل في العام </w:t>
      </w:r>
      <w:r w:rsidRPr="000A6B6A">
        <w:rPr>
          <w:rFonts w:ascii="Simplified Arabic" w:eastAsia="Calibri" w:hAnsi="Simplified Arabic" w:cs="Simplified Arabic"/>
          <w:sz w:val="26"/>
          <w:szCs w:val="26"/>
          <w:lang w:eastAsia="en-US"/>
        </w:rPr>
        <w:t>2022</w:t>
      </w:r>
      <w:r w:rsidRPr="000A6B6A">
        <w:rPr>
          <w:rFonts w:ascii="Simplified Arabic" w:eastAsia="Calibri" w:hAnsi="Simplified Arabic" w:cs="Simplified Arabic"/>
          <w:sz w:val="26"/>
          <w:szCs w:val="26"/>
          <w:rtl/>
          <w:lang w:eastAsia="en-US"/>
        </w:rPr>
        <w:t xml:space="preserve"> بعد أن كانت النسبة 17% في العام 2021.  مع العلم أن نسبة مشاركة الرجال في القوى العاملة بلغت 71% و69% للأعوام 2021 و2022 على التوالي. </w:t>
      </w:r>
    </w:p>
    <w:p w:rsidR="00704982" w:rsidRPr="000A6B6A" w:rsidRDefault="00704982" w:rsidP="00561594">
      <w:pPr>
        <w:jc w:val="both"/>
        <w:rPr>
          <w:rFonts w:ascii="Simplified Arabic" w:eastAsia="Calibri" w:hAnsi="Simplified Arabic" w:cs="Simplified Arabic"/>
          <w:sz w:val="16"/>
          <w:szCs w:val="16"/>
          <w:rtl/>
          <w:lang w:eastAsia="en-US"/>
        </w:rPr>
      </w:pPr>
    </w:p>
    <w:p w:rsidR="00561594" w:rsidRPr="000A6B6A" w:rsidRDefault="00561594" w:rsidP="00561594">
      <w:pPr>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 xml:space="preserve">بالمقابل بلغ معدل البطالة بين النساء المشاركات في القوى العاملة حوالي 40% مقابل 20% بين الرجال للعام 2022. في حين بلغ معدل البطالة 48% بين الشباب (19-29 سنة) من حملة شهادة الدبلوم المتوسط فأعلى، بواقع 61% للإناث مقابل 34% للذكور. </w:t>
      </w:r>
    </w:p>
    <w:p w:rsidR="00561594" w:rsidRPr="000A6B6A" w:rsidRDefault="00561594" w:rsidP="00561594">
      <w:pPr>
        <w:jc w:val="both"/>
        <w:rPr>
          <w:rFonts w:ascii="Simplified Arabic" w:eastAsia="Calibri" w:hAnsi="Simplified Arabic" w:cs="Simplified Arabic"/>
          <w:sz w:val="16"/>
          <w:szCs w:val="16"/>
          <w:rtl/>
          <w:lang w:eastAsia="en-US"/>
        </w:rPr>
      </w:pPr>
    </w:p>
    <w:p w:rsidR="00561594" w:rsidRPr="000A6B6A" w:rsidRDefault="00561594" w:rsidP="00561594">
      <w:pPr>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40% من العاملين المستخدمين بأجر في القطاع الخاص يتقاضون أجراً شهرياً أقل من الحد الأدنى للأجر والبالغ (1,880 شيقلاً)، حيث بلغت النسبة نحو 38% للرجال، مقابل 50% للنساء، وما يقارب 40% من المستخدمات بأجر في القطاع الخاص يعملن دون عقد عمل، و44% يحصلن على مساهمة في تمويل التقاعد/ مكافأة نهاية الخدمة، بالمقابل هناك 46% من المستخدمات بأجر في القطاع الخاص يحصلن على إجازة أمومة مدفوعة الأجر وذلك للعام 2022؛ ومن بيانات ديوان الموظفين العام حتى شهر شباط 2023 فقد بلغت مساهمة النساء في القطاع المدني حوالي 48% من مجموع الموظفين، وتبرز الفجوة في نسبة الحاصلات على درجة مدير عام</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فأعلى التي بلغت 14% للنساء مقابل 86% للرجال.</w:t>
      </w:r>
    </w:p>
    <w:p w:rsidR="00561594" w:rsidRPr="000A6B6A" w:rsidRDefault="00561594" w:rsidP="004260A3">
      <w:pPr>
        <w:jc w:val="center"/>
        <w:rPr>
          <w:rFonts w:ascii="Simplified Arabic" w:hAnsi="Simplified Arabic" w:cs="Simplified Arabic"/>
          <w:b/>
          <w:bCs/>
          <w:sz w:val="16"/>
          <w:szCs w:val="16"/>
        </w:rPr>
      </w:pPr>
    </w:p>
    <w:p w:rsidR="004260A3" w:rsidRPr="000A6B6A" w:rsidRDefault="004260A3" w:rsidP="004260A3">
      <w:pPr>
        <w:jc w:val="center"/>
        <w:rPr>
          <w:rFonts w:ascii="Simplified Arabic" w:hAnsi="Simplified Arabic" w:cs="Simplified Arabic"/>
          <w:b/>
          <w:bCs/>
          <w:sz w:val="28"/>
          <w:szCs w:val="28"/>
          <w:rtl/>
        </w:rPr>
      </w:pPr>
      <w:r w:rsidRPr="000A6B6A">
        <w:rPr>
          <w:rFonts w:ascii="Simplified Arabic" w:hAnsi="Simplified Arabic" w:cs="Simplified Arabic"/>
          <w:b/>
          <w:bCs/>
          <w:sz w:val="28"/>
          <w:szCs w:val="28"/>
          <w:rtl/>
        </w:rPr>
        <w:t>معدل البطالة بين المشاركين في القوى العاملة للأفراد (15 سنة فأكثر) في فلسطين حسب المنطقة، 2015-</w:t>
      </w:r>
      <w:r w:rsidRPr="000A6B6A">
        <w:rPr>
          <w:rFonts w:ascii="Simplified Arabic" w:hAnsi="Simplified Arabic" w:cs="Simplified Arabic"/>
          <w:b/>
          <w:bCs/>
          <w:sz w:val="28"/>
          <w:szCs w:val="28"/>
        </w:rPr>
        <w:t>2022</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tblGrid>
      <w:tr w:rsidR="000A6B6A" w:rsidRPr="000A6B6A" w:rsidTr="000A6B6A">
        <w:trPr>
          <w:trHeight w:val="2369"/>
          <w:jc w:val="center"/>
        </w:trPr>
        <w:tc>
          <w:tcPr>
            <w:tcW w:w="4675" w:type="dxa"/>
            <w:tcBorders>
              <w:top w:val="single" w:sz="4" w:space="0" w:color="auto"/>
              <w:left w:val="single" w:sz="4" w:space="0" w:color="auto"/>
              <w:bottom w:val="single" w:sz="4" w:space="0" w:color="auto"/>
              <w:right w:val="single" w:sz="4" w:space="0" w:color="auto"/>
            </w:tcBorders>
            <w:hideMark/>
          </w:tcPr>
          <w:p w:rsidR="004260A3" w:rsidRPr="000A6B6A" w:rsidRDefault="004260A3" w:rsidP="00294165">
            <w:pPr>
              <w:jc w:val="both"/>
              <w:rPr>
                <w:rFonts w:ascii="Simplified Arabic" w:hAnsi="Simplified Arabic" w:cs="Simplified Arabic"/>
                <w:b/>
                <w:bCs/>
                <w:sz w:val="26"/>
                <w:szCs w:val="26"/>
              </w:rPr>
            </w:pPr>
            <w:r w:rsidRPr="000A6B6A">
              <w:rPr>
                <w:rFonts w:ascii="Simplified Arabic" w:hAnsi="Simplified Arabic" w:cs="Simplified Arabic"/>
                <w:noProof/>
                <w:sz w:val="26"/>
                <w:szCs w:val="26"/>
                <w:lang w:eastAsia="en-US"/>
              </w:rPr>
              <w:drawing>
                <wp:inline distT="0" distB="0" distL="0" distR="0" wp14:anchorId="4AF9753C" wp14:editId="5F1361C7">
                  <wp:extent cx="2907665" cy="1504950"/>
                  <wp:effectExtent l="0" t="0" r="0" b="0"/>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4260A3" w:rsidRPr="000A6B6A" w:rsidRDefault="004260A3" w:rsidP="000A6B6A">
      <w:pPr>
        <w:ind w:right="-142" w:hanging="71"/>
        <w:jc w:val="center"/>
        <w:rPr>
          <w:rFonts w:ascii="Simplified Arabic" w:hAnsi="Simplified Arabic" w:cs="Simplified Arabic"/>
          <w:b/>
          <w:bCs/>
          <w:sz w:val="22"/>
          <w:szCs w:val="22"/>
          <w:rtl/>
        </w:rPr>
      </w:pPr>
      <w:r w:rsidRPr="000A6B6A">
        <w:rPr>
          <w:rFonts w:ascii="Simplified Arabic" w:hAnsi="Simplified Arabic" w:cs="Simplified Arabic"/>
          <w:b/>
          <w:bCs/>
          <w:sz w:val="22"/>
          <w:szCs w:val="22"/>
          <w:rtl/>
        </w:rPr>
        <w:t xml:space="preserve">المصدر: الجهاز المركزي للإحصاء الفلسطيني، </w:t>
      </w:r>
      <w:r w:rsidRPr="000A6B6A">
        <w:rPr>
          <w:rFonts w:ascii="Simplified Arabic" w:hAnsi="Simplified Arabic" w:cs="Simplified Arabic"/>
          <w:b/>
          <w:bCs/>
          <w:sz w:val="22"/>
          <w:szCs w:val="22"/>
        </w:rPr>
        <w:t>2023</w:t>
      </w:r>
      <w:r w:rsidRPr="000A6B6A">
        <w:rPr>
          <w:rFonts w:ascii="Simplified Arabic" w:hAnsi="Simplified Arabic" w:cs="Simplified Arabic"/>
          <w:sz w:val="22"/>
          <w:szCs w:val="22"/>
          <w:rtl/>
        </w:rPr>
        <w:t>.  قاعدة بيانات القوى العاملة 2022.  رام الله - فلسطين.</w:t>
      </w:r>
    </w:p>
    <w:p w:rsidR="00561594" w:rsidRPr="000A6B6A" w:rsidRDefault="00561594" w:rsidP="00BF08D5">
      <w:pPr>
        <w:pStyle w:val="Heading7"/>
        <w:jc w:val="both"/>
        <w:rPr>
          <w:rFonts w:ascii="Simplified Arabic" w:hAnsi="Simplified Arabic"/>
          <w:sz w:val="28"/>
          <w:szCs w:val="28"/>
          <w:rtl/>
        </w:rPr>
      </w:pPr>
      <w:r w:rsidRPr="000A6B6A">
        <w:rPr>
          <w:rFonts w:ascii="Simplified Arabic" w:hAnsi="Simplified Arabic"/>
          <w:sz w:val="28"/>
          <w:szCs w:val="28"/>
          <w:rtl/>
        </w:rPr>
        <w:lastRenderedPageBreak/>
        <w:t>مشاركة النساء في</w:t>
      </w:r>
      <w:r w:rsidRPr="000A6B6A">
        <w:rPr>
          <w:rFonts w:ascii="Simplified Arabic" w:hAnsi="Simplified Arabic"/>
          <w:sz w:val="28"/>
          <w:szCs w:val="28"/>
        </w:rPr>
        <w:t xml:space="preserve"> </w:t>
      </w:r>
      <w:r w:rsidRPr="000A6B6A">
        <w:rPr>
          <w:rFonts w:ascii="Simplified Arabic" w:hAnsi="Simplified Arabic"/>
          <w:sz w:val="28"/>
          <w:szCs w:val="28"/>
          <w:rtl/>
        </w:rPr>
        <w:t>صنع</w:t>
      </w:r>
      <w:r w:rsidRPr="000A6B6A">
        <w:rPr>
          <w:rFonts w:ascii="Simplified Arabic" w:hAnsi="Simplified Arabic"/>
          <w:sz w:val="28"/>
          <w:szCs w:val="28"/>
        </w:rPr>
        <w:t xml:space="preserve"> </w:t>
      </w:r>
      <w:r w:rsidRPr="000A6B6A">
        <w:rPr>
          <w:rFonts w:ascii="Simplified Arabic" w:hAnsi="Simplified Arabic"/>
          <w:sz w:val="28"/>
          <w:szCs w:val="28"/>
          <w:rtl/>
        </w:rPr>
        <w:t>القرار</w:t>
      </w:r>
      <w:r w:rsidRPr="000A6B6A">
        <w:rPr>
          <w:rFonts w:ascii="Simplified Arabic" w:hAnsi="Simplified Arabic"/>
          <w:sz w:val="28"/>
          <w:szCs w:val="28"/>
        </w:rPr>
        <w:t xml:space="preserve"> </w:t>
      </w:r>
      <w:r w:rsidRPr="000A6B6A">
        <w:rPr>
          <w:rFonts w:ascii="Simplified Arabic" w:hAnsi="Simplified Arabic"/>
          <w:sz w:val="28"/>
          <w:szCs w:val="28"/>
          <w:rtl/>
        </w:rPr>
        <w:t>والحياة العامة والمواقع القيادية يعد جانباً</w:t>
      </w:r>
      <w:r w:rsidRPr="000A6B6A">
        <w:rPr>
          <w:rFonts w:ascii="Simplified Arabic" w:hAnsi="Simplified Arabic"/>
          <w:sz w:val="28"/>
          <w:szCs w:val="28"/>
        </w:rPr>
        <w:t xml:space="preserve"> </w:t>
      </w:r>
      <w:r w:rsidRPr="000A6B6A">
        <w:rPr>
          <w:rFonts w:ascii="Simplified Arabic" w:hAnsi="Simplified Arabic"/>
          <w:sz w:val="28"/>
          <w:szCs w:val="28"/>
          <w:rtl/>
        </w:rPr>
        <w:t>أساسياً</w:t>
      </w:r>
      <w:r w:rsidRPr="000A6B6A">
        <w:rPr>
          <w:rFonts w:ascii="Simplified Arabic" w:hAnsi="Simplified Arabic"/>
          <w:sz w:val="28"/>
          <w:szCs w:val="28"/>
        </w:rPr>
        <w:t xml:space="preserve"> </w:t>
      </w:r>
      <w:r w:rsidRPr="000A6B6A">
        <w:rPr>
          <w:rFonts w:ascii="Simplified Arabic" w:hAnsi="Simplified Arabic"/>
          <w:sz w:val="28"/>
          <w:szCs w:val="28"/>
          <w:rtl/>
        </w:rPr>
        <w:t>من</w:t>
      </w:r>
      <w:r w:rsidRPr="000A6B6A">
        <w:rPr>
          <w:rFonts w:ascii="Simplified Arabic" w:hAnsi="Simplified Arabic"/>
          <w:sz w:val="28"/>
          <w:szCs w:val="28"/>
        </w:rPr>
        <w:t xml:space="preserve"> </w:t>
      </w:r>
      <w:r w:rsidRPr="000A6B6A">
        <w:rPr>
          <w:rFonts w:ascii="Simplified Arabic" w:hAnsi="Simplified Arabic"/>
          <w:sz w:val="28"/>
          <w:szCs w:val="28"/>
          <w:rtl/>
        </w:rPr>
        <w:t>جوانب</w:t>
      </w:r>
      <w:r w:rsidRPr="000A6B6A">
        <w:rPr>
          <w:rFonts w:ascii="Simplified Arabic" w:hAnsi="Simplified Arabic"/>
          <w:sz w:val="28"/>
          <w:szCs w:val="28"/>
        </w:rPr>
        <w:t xml:space="preserve"> </w:t>
      </w:r>
      <w:r w:rsidRPr="000A6B6A">
        <w:rPr>
          <w:rFonts w:ascii="Simplified Arabic" w:hAnsi="Simplified Arabic"/>
          <w:sz w:val="28"/>
          <w:szCs w:val="28"/>
          <w:rtl/>
        </w:rPr>
        <w:t>المساواة بين الجنسين</w:t>
      </w:r>
    </w:p>
    <w:p w:rsidR="00561594" w:rsidRPr="000A6B6A" w:rsidRDefault="00561594" w:rsidP="00561594">
      <w:pPr>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بلغت نسبة النساء اللواتي تم انتخابهنَ وتعينهنَ في الانتخابات المحلية 2021/2022 نحو 21% مقابل 79% للرجال. ولا تزال مشاركة النساء في مواقع صنع القرار محدودة ومتواضعة مقارنة مع الرجال، حيث أظهرت البيانات لعام 2021 أن نسبة النساء من أعضاء المجلس المركزي تشكل حوالي 23%، و19% من أعضاء المجلس الوطني، و12% من أعضاء مجلس الوزراء هنَ نساء، كما أن هناك امرأة واحدة تشغل منصب محافظ من أصل 15 محافظاً، 1% من رؤساء الهيئات</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المحلية</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في فلسطين</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هنَ</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من</w:t>
      </w:r>
      <w:r w:rsidRPr="000A6B6A">
        <w:rPr>
          <w:rFonts w:ascii="Simplified Arabic" w:eastAsia="Calibri" w:hAnsi="Simplified Arabic" w:cs="Simplified Arabic"/>
          <w:sz w:val="26"/>
          <w:szCs w:val="26"/>
          <w:lang w:eastAsia="en-US"/>
        </w:rPr>
        <w:t xml:space="preserve"> </w:t>
      </w:r>
      <w:r w:rsidRPr="000A6B6A">
        <w:rPr>
          <w:rFonts w:ascii="Simplified Arabic" w:eastAsia="Calibri" w:hAnsi="Simplified Arabic" w:cs="Simplified Arabic"/>
          <w:sz w:val="26"/>
          <w:szCs w:val="26"/>
          <w:rtl/>
          <w:lang w:eastAsia="en-US"/>
        </w:rPr>
        <w:t>النساء، أما عن ادارة مجلس الغرف التجارية والصناعية والزراعية فقد بلغت 1% فقط من النساء، وحوالي 19% نسبة القاضيات، وبلغت نسبة النساء أعضاء النيابة 18%.</w:t>
      </w:r>
    </w:p>
    <w:p w:rsidR="00561594" w:rsidRPr="000A6B6A" w:rsidRDefault="00561594" w:rsidP="00561594">
      <w:pPr>
        <w:jc w:val="both"/>
        <w:rPr>
          <w:rFonts w:ascii="Simplified Arabic" w:eastAsia="Calibri" w:hAnsi="Simplified Arabic" w:cs="Simplified Arabic"/>
          <w:sz w:val="16"/>
          <w:szCs w:val="16"/>
          <w:rtl/>
          <w:lang w:eastAsia="en-US"/>
        </w:rPr>
      </w:pPr>
    </w:p>
    <w:p w:rsidR="00561594" w:rsidRPr="000A6B6A" w:rsidRDefault="00561594" w:rsidP="006602C5">
      <w:pPr>
        <w:pStyle w:val="Heading7"/>
        <w:jc w:val="both"/>
        <w:rPr>
          <w:rFonts w:ascii="Simplified Arabic" w:hAnsi="Simplified Arabic"/>
          <w:sz w:val="28"/>
          <w:szCs w:val="28"/>
          <w:rtl/>
        </w:rPr>
      </w:pPr>
      <w:r w:rsidRPr="000A6B6A">
        <w:rPr>
          <w:rFonts w:ascii="Simplified Arabic" w:hAnsi="Simplified Arabic"/>
          <w:sz w:val="28"/>
          <w:szCs w:val="28"/>
          <w:rtl/>
        </w:rPr>
        <w:t>تعزيز استخدام التكنولوجيا التمكينية، وبخاصة تكنولوجيا المعلومات والاتصالات لدى النساء، يؤدي الى تمكينها وتحقيق المساواة بين الجنسين</w:t>
      </w:r>
    </w:p>
    <w:p w:rsidR="00C62D31" w:rsidRPr="000A6B6A" w:rsidRDefault="00C62D31" w:rsidP="00C62D31">
      <w:pPr>
        <w:jc w:val="both"/>
        <w:rPr>
          <w:rFonts w:ascii="Simplified Arabic" w:hAnsi="Simplified Arabic" w:cs="Simplified Arabic"/>
          <w:sz w:val="26"/>
          <w:szCs w:val="26"/>
          <w:rtl/>
        </w:rPr>
      </w:pPr>
      <w:r w:rsidRPr="000A6B6A">
        <w:rPr>
          <w:rFonts w:ascii="Simplified Arabic" w:hAnsi="Simplified Arabic" w:cs="Simplified Arabic"/>
          <w:sz w:val="26"/>
          <w:szCs w:val="26"/>
          <w:rtl/>
        </w:rPr>
        <w:t xml:space="preserve">في العام 2022، افادت حوالي 92% من الأسر في فلسطين بأن لديها او لدى أحد افرادها امكانية النفاذ الى خدمة الانترنت في البيت، بواقع </w:t>
      </w:r>
      <w:r w:rsidRPr="000A6B6A">
        <w:rPr>
          <w:rFonts w:ascii="Simplified Arabic" w:hAnsi="Simplified Arabic" w:cs="Simplified Arabic"/>
          <w:sz w:val="26"/>
          <w:szCs w:val="26"/>
        </w:rPr>
        <w:t>93</w:t>
      </w:r>
      <w:r w:rsidRPr="000A6B6A">
        <w:rPr>
          <w:rFonts w:ascii="Simplified Arabic" w:hAnsi="Simplified Arabic" w:cs="Simplified Arabic"/>
          <w:sz w:val="26"/>
          <w:szCs w:val="26"/>
          <w:rtl/>
        </w:rPr>
        <w:t>% في الضفة الغربية، و</w:t>
      </w:r>
      <w:r w:rsidRPr="000A6B6A">
        <w:rPr>
          <w:rFonts w:ascii="Simplified Arabic" w:hAnsi="Simplified Arabic" w:cs="Simplified Arabic"/>
          <w:sz w:val="26"/>
          <w:szCs w:val="26"/>
        </w:rPr>
        <w:t>92</w:t>
      </w:r>
      <w:r w:rsidRPr="000A6B6A">
        <w:rPr>
          <w:rFonts w:ascii="Simplified Arabic" w:hAnsi="Simplified Arabic" w:cs="Simplified Arabic"/>
          <w:sz w:val="26"/>
          <w:szCs w:val="26"/>
          <w:rtl/>
        </w:rPr>
        <w:t xml:space="preserve">% في قطاع غزة.  في حين بلغت نسبة الأفراد </w:t>
      </w:r>
      <w:r w:rsidRPr="000A6B6A">
        <w:rPr>
          <w:rFonts w:ascii="Simplified Arabic" w:hAnsi="Simplified Arabic" w:cs="Simplified Arabic"/>
          <w:sz w:val="26"/>
          <w:szCs w:val="26"/>
        </w:rPr>
        <w:t>10</w:t>
      </w:r>
      <w:r w:rsidRPr="000A6B6A">
        <w:rPr>
          <w:rFonts w:ascii="Simplified Arabic" w:hAnsi="Simplified Arabic" w:cs="Simplified Arabic"/>
          <w:sz w:val="26"/>
          <w:szCs w:val="26"/>
          <w:rtl/>
        </w:rPr>
        <w:t xml:space="preserve"> سنوات فأكثر الذين استخدموا الانترنت من أي مكان </w:t>
      </w:r>
      <w:r w:rsidRPr="000A6B6A">
        <w:rPr>
          <w:rFonts w:ascii="Simplified Arabic" w:hAnsi="Simplified Arabic" w:cs="Simplified Arabic"/>
          <w:sz w:val="26"/>
          <w:szCs w:val="26"/>
        </w:rPr>
        <w:t>89</w:t>
      </w:r>
      <w:r w:rsidRPr="000A6B6A">
        <w:rPr>
          <w:rFonts w:ascii="Simplified Arabic" w:hAnsi="Simplified Arabic" w:cs="Simplified Arabic"/>
          <w:sz w:val="26"/>
          <w:szCs w:val="26"/>
          <w:rtl/>
        </w:rPr>
        <w:t xml:space="preserve">% في فلسطين بواقع </w:t>
      </w:r>
      <w:r w:rsidRPr="000A6B6A">
        <w:rPr>
          <w:rFonts w:ascii="Simplified Arabic" w:hAnsi="Simplified Arabic" w:cs="Simplified Arabic"/>
          <w:sz w:val="26"/>
          <w:szCs w:val="26"/>
        </w:rPr>
        <w:t>92</w:t>
      </w:r>
      <w:r w:rsidRPr="000A6B6A">
        <w:rPr>
          <w:rFonts w:ascii="Simplified Arabic" w:hAnsi="Simplified Arabic" w:cs="Simplified Arabic"/>
          <w:sz w:val="26"/>
          <w:szCs w:val="26"/>
          <w:rtl/>
        </w:rPr>
        <w:t>% في الضفة الغربية و</w:t>
      </w:r>
      <w:r w:rsidRPr="000A6B6A">
        <w:rPr>
          <w:rFonts w:ascii="Simplified Arabic" w:hAnsi="Simplified Arabic" w:cs="Simplified Arabic"/>
          <w:sz w:val="26"/>
          <w:szCs w:val="26"/>
        </w:rPr>
        <w:t>83</w:t>
      </w:r>
      <w:r w:rsidRPr="000A6B6A">
        <w:rPr>
          <w:rFonts w:ascii="Simplified Arabic" w:hAnsi="Simplified Arabic" w:cs="Simplified Arabic"/>
          <w:sz w:val="26"/>
          <w:szCs w:val="26"/>
          <w:rtl/>
        </w:rPr>
        <w:t>% في قطاع غزة، في حين كانت النسبة 89% بين الذكور و88% بين الإناث.</w:t>
      </w:r>
    </w:p>
    <w:p w:rsidR="00704982" w:rsidRPr="000A6B6A" w:rsidRDefault="00704982" w:rsidP="00C62D31">
      <w:pPr>
        <w:jc w:val="both"/>
        <w:rPr>
          <w:rFonts w:ascii="Simplified Arabic" w:hAnsi="Simplified Arabic" w:cs="Simplified Arabic"/>
          <w:sz w:val="10"/>
          <w:szCs w:val="10"/>
          <w:rtl/>
        </w:rPr>
      </w:pPr>
    </w:p>
    <w:p w:rsidR="00761536" w:rsidRPr="000A6B6A" w:rsidRDefault="00761536" w:rsidP="00761536">
      <w:pPr>
        <w:jc w:val="both"/>
        <w:rPr>
          <w:rFonts w:ascii="Simplified Arabic" w:hAnsi="Simplified Arabic" w:cs="Simplified Arabic"/>
          <w:sz w:val="26"/>
          <w:szCs w:val="26"/>
          <w:rtl/>
        </w:rPr>
      </w:pPr>
      <w:r w:rsidRPr="000A6B6A">
        <w:rPr>
          <w:rFonts w:ascii="Simplified Arabic" w:hAnsi="Simplified Arabic" w:cs="Simplified Arabic"/>
          <w:sz w:val="26"/>
          <w:szCs w:val="26"/>
          <w:rtl/>
        </w:rPr>
        <w:t xml:space="preserve">كما أظهرت النتائج ان حوالي 79% من الأفراد </w:t>
      </w:r>
      <w:r w:rsidRPr="000A6B6A">
        <w:rPr>
          <w:rFonts w:ascii="Simplified Arabic" w:hAnsi="Simplified Arabic" w:cs="Simplified Arabic"/>
          <w:sz w:val="26"/>
          <w:szCs w:val="26"/>
        </w:rPr>
        <w:t>)</w:t>
      </w:r>
      <w:r w:rsidRPr="000A6B6A">
        <w:rPr>
          <w:rFonts w:ascii="Simplified Arabic" w:hAnsi="Simplified Arabic" w:cs="Simplified Arabic"/>
          <w:sz w:val="26"/>
          <w:szCs w:val="26"/>
          <w:rtl/>
        </w:rPr>
        <w:t>10 سنوات    فأكثر</w:t>
      </w:r>
      <w:r w:rsidRPr="000A6B6A">
        <w:rPr>
          <w:rFonts w:ascii="Simplified Arabic" w:hAnsi="Simplified Arabic" w:cs="Simplified Arabic"/>
          <w:sz w:val="26"/>
          <w:szCs w:val="26"/>
        </w:rPr>
        <w:t xml:space="preserve"> (</w:t>
      </w:r>
      <w:r w:rsidRPr="000A6B6A">
        <w:rPr>
          <w:rFonts w:ascii="Simplified Arabic" w:hAnsi="Simplified Arabic" w:cs="Simplified Arabic"/>
          <w:sz w:val="26"/>
          <w:szCs w:val="26"/>
          <w:rtl/>
        </w:rPr>
        <w:t xml:space="preserve"> في فلسطين يمتلكون هاتف نقال، بواقع 86</w:t>
      </w:r>
      <w:r w:rsidRPr="000A6B6A">
        <w:rPr>
          <w:rFonts w:ascii="Simplified Arabic" w:hAnsi="Simplified Arabic" w:cs="Simplified Arabic"/>
          <w:sz w:val="26"/>
          <w:szCs w:val="26"/>
        </w:rPr>
        <w:t xml:space="preserve"> %</w:t>
      </w:r>
      <w:r w:rsidRPr="000A6B6A">
        <w:rPr>
          <w:rFonts w:ascii="Simplified Arabic" w:hAnsi="Simplified Arabic" w:cs="Simplified Arabic"/>
          <w:sz w:val="26"/>
          <w:szCs w:val="26"/>
          <w:rtl/>
        </w:rPr>
        <w:t>في الضفة الغربية و69</w:t>
      </w:r>
      <w:r w:rsidRPr="000A6B6A">
        <w:rPr>
          <w:rFonts w:ascii="Simplified Arabic" w:hAnsi="Simplified Arabic" w:cs="Simplified Arabic"/>
          <w:sz w:val="26"/>
          <w:szCs w:val="26"/>
        </w:rPr>
        <w:t xml:space="preserve"> %</w:t>
      </w:r>
      <w:r w:rsidRPr="000A6B6A">
        <w:rPr>
          <w:rFonts w:ascii="Simplified Arabic" w:hAnsi="Simplified Arabic" w:cs="Simplified Arabic"/>
          <w:sz w:val="26"/>
          <w:szCs w:val="26"/>
          <w:rtl/>
        </w:rPr>
        <w:t>في قطاع غزة. فجوة واضحة في امتلاك الهاتف النقال بين الذكور والإناث حيث بلغت النسبة 83% للذكور و76% للإناث في العام 2022.</w:t>
      </w:r>
    </w:p>
    <w:p w:rsidR="00704982" w:rsidRPr="000A6B6A" w:rsidRDefault="00704982" w:rsidP="00761536">
      <w:pPr>
        <w:jc w:val="both"/>
        <w:rPr>
          <w:rFonts w:ascii="Simplified Arabic" w:hAnsi="Simplified Arabic" w:cs="Simplified Arabic"/>
          <w:sz w:val="10"/>
          <w:szCs w:val="10"/>
          <w:rtl/>
        </w:rPr>
      </w:pPr>
    </w:p>
    <w:p w:rsidR="00761536" w:rsidRPr="000A6B6A" w:rsidRDefault="00761536" w:rsidP="00761536">
      <w:pPr>
        <w:jc w:val="both"/>
        <w:rPr>
          <w:rFonts w:ascii="Simplified Arabic" w:hAnsi="Simplified Arabic" w:cs="Simplified Arabic"/>
          <w:sz w:val="26"/>
          <w:szCs w:val="26"/>
          <w:rtl/>
        </w:rPr>
      </w:pPr>
      <w:r w:rsidRPr="000A6B6A">
        <w:rPr>
          <w:rFonts w:ascii="Simplified Arabic" w:hAnsi="Simplified Arabic" w:cs="Simplified Arabic"/>
          <w:sz w:val="26"/>
          <w:szCs w:val="26"/>
          <w:rtl/>
        </w:rPr>
        <w:t>بلغت نسبة الأفراد 10 سنوات فأكثر الذين يمتلكون هاتف ذكي نحو 73% في فلسطين، بواقع 83% في الضفة الغربية و58% في قطاع غزة، في حين كانت النسبة 74% بين الذكور و72% بين الإناث في العام 2022</w:t>
      </w:r>
      <w:r w:rsidRPr="000A6B6A">
        <w:rPr>
          <w:rFonts w:ascii="Simplified Arabic" w:hAnsi="Simplified Arabic" w:cs="Simplified Arabic"/>
          <w:sz w:val="26"/>
          <w:szCs w:val="26"/>
        </w:rPr>
        <w:t>.</w:t>
      </w:r>
      <w:r w:rsidRPr="000A6B6A">
        <w:rPr>
          <w:rFonts w:ascii="Simplified Arabic" w:hAnsi="Simplified Arabic" w:cs="Simplified Arabic"/>
          <w:sz w:val="26"/>
          <w:szCs w:val="26"/>
          <w:rtl/>
        </w:rPr>
        <w:t xml:space="preserve"> </w:t>
      </w:r>
    </w:p>
    <w:p w:rsidR="00704982" w:rsidRPr="000A6B6A" w:rsidRDefault="00704982" w:rsidP="00761536">
      <w:pPr>
        <w:jc w:val="both"/>
        <w:rPr>
          <w:rFonts w:ascii="Simplified Arabic" w:hAnsi="Simplified Arabic" w:cs="Simplified Arabic"/>
          <w:sz w:val="10"/>
          <w:szCs w:val="10"/>
          <w:rtl/>
        </w:rPr>
      </w:pPr>
    </w:p>
    <w:p w:rsidR="00C62D31" w:rsidRDefault="00C62D31" w:rsidP="00C62D31">
      <w:pPr>
        <w:tabs>
          <w:tab w:val="left" w:pos="9071"/>
        </w:tabs>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 xml:space="preserve">في سياق متصل أشارت بيانات تقرير الواقع الرقمي في فلسطين لشركة "آيبوك" لعام 2022 أن نسبة انتشار مواقع التواصل الاجتماعي في فلسطين بلغت حوالي 66%، وكانت نسب استخدام مواقع التواصل الاجتماعي حسب الجنس موزعة بواقع 51% للذكور مقابل 49% للإناث. </w:t>
      </w:r>
    </w:p>
    <w:p w:rsidR="000A6B6A" w:rsidRPr="000A6B6A" w:rsidRDefault="000A6B6A" w:rsidP="00C62D31">
      <w:pPr>
        <w:tabs>
          <w:tab w:val="left" w:pos="9071"/>
        </w:tabs>
        <w:jc w:val="both"/>
        <w:rPr>
          <w:rFonts w:ascii="Simplified Arabic" w:eastAsia="Calibri" w:hAnsi="Simplified Arabic" w:cs="Simplified Arabic"/>
          <w:sz w:val="16"/>
          <w:szCs w:val="16"/>
          <w:rtl/>
          <w:lang w:eastAsia="en-US"/>
        </w:rPr>
      </w:pPr>
    </w:p>
    <w:p w:rsidR="00561594" w:rsidRPr="000A6B6A" w:rsidRDefault="00561594" w:rsidP="006602C5">
      <w:pPr>
        <w:pStyle w:val="Heading7"/>
        <w:jc w:val="both"/>
        <w:rPr>
          <w:rFonts w:ascii="Simplified Arabic" w:hAnsi="Simplified Arabic"/>
          <w:sz w:val="28"/>
          <w:szCs w:val="28"/>
        </w:rPr>
      </w:pPr>
      <w:r w:rsidRPr="000A6B6A">
        <w:rPr>
          <w:rFonts w:ascii="Simplified Arabic" w:hAnsi="Simplified Arabic"/>
          <w:sz w:val="28"/>
          <w:szCs w:val="28"/>
          <w:rtl/>
        </w:rPr>
        <w:t>الفضاء الرقمي ليس مكان آمناً للنساء حيث أن العنف الالكتروني المُمارس ضد النساء يعد امتداداً وتكريساً للعنف الموجه ضدها في العالم الواقعي</w:t>
      </w:r>
    </w:p>
    <w:p w:rsidR="000A6B6A" w:rsidRDefault="00561594" w:rsidP="000A6B6A">
      <w:pPr>
        <w:tabs>
          <w:tab w:val="left" w:pos="9071"/>
        </w:tabs>
        <w:jc w:val="both"/>
        <w:rPr>
          <w:rFonts w:ascii="Simplified Arabic" w:eastAsia="Calibri" w:hAnsi="Simplified Arabic" w:cs="Simplified Arabic"/>
          <w:sz w:val="26"/>
          <w:szCs w:val="26"/>
          <w:rtl/>
          <w:lang w:eastAsia="en-US"/>
        </w:rPr>
      </w:pPr>
      <w:r w:rsidRPr="000A6B6A">
        <w:rPr>
          <w:rFonts w:ascii="Simplified Arabic" w:eastAsia="Calibri" w:hAnsi="Simplified Arabic" w:cs="Simplified Arabic"/>
          <w:sz w:val="26"/>
          <w:szCs w:val="26"/>
          <w:rtl/>
          <w:lang w:eastAsia="en-US"/>
        </w:rPr>
        <w:t>حوالي 10% من النساء المتزوجات حالياً أو اللواتي سبق لهنَ الزواج (15-64 سنة) في فلسطين تعرّضن لأحد أشكال العنف الالكتروني على الأقل عبر إحدى وسائل التواصل الاجتماعي. وتعرضت نحو 8% من النساء للعنف</w:t>
      </w:r>
      <w:r w:rsidRPr="000A6B6A">
        <w:rPr>
          <w:rFonts w:ascii="Simplified Arabic" w:eastAsia="Calibri" w:hAnsi="Simplified Arabic" w:cs="Simplified Arabic"/>
          <w:rtl/>
          <w:lang w:eastAsia="en-US"/>
        </w:rPr>
        <w:t xml:space="preserve"> </w:t>
      </w:r>
      <w:r w:rsidRPr="000A6B6A">
        <w:rPr>
          <w:rFonts w:ascii="Simplified Arabic" w:eastAsia="Calibri" w:hAnsi="Simplified Arabic" w:cs="Simplified Arabic"/>
          <w:sz w:val="26"/>
          <w:szCs w:val="26"/>
          <w:rtl/>
          <w:lang w:eastAsia="en-US"/>
        </w:rPr>
        <w:t>من خلال الاتصالات (أي تهديد أو ابتزاز أو تحرش أشخاص أو جهات مختلفة عبر المكالمات أو الرسائل).</w:t>
      </w:r>
    </w:p>
    <w:p w:rsidR="000A6B6A" w:rsidRDefault="000A6B6A" w:rsidP="000A6B6A">
      <w:pPr>
        <w:jc w:val="center"/>
        <w:rPr>
          <w:rFonts w:cs="Simplified Arabic"/>
          <w:b/>
          <w:bCs/>
          <w:sz w:val="6"/>
          <w:szCs w:val="6"/>
          <w:rtl/>
        </w:rPr>
      </w:pPr>
    </w:p>
    <w:p w:rsidR="000A6B6A" w:rsidRDefault="000A6B6A" w:rsidP="000A6B6A">
      <w:pPr>
        <w:jc w:val="center"/>
        <w:rPr>
          <w:rFonts w:cs="Simplified Arabic"/>
          <w:b/>
          <w:bCs/>
          <w:sz w:val="6"/>
          <w:szCs w:val="6"/>
          <w:rtl/>
        </w:rPr>
      </w:pPr>
    </w:p>
    <w:p w:rsidR="000A6B6A" w:rsidRDefault="000A6B6A" w:rsidP="000A6B6A">
      <w:pPr>
        <w:jc w:val="center"/>
        <w:rPr>
          <w:rFonts w:cs="Simplified Arabic"/>
          <w:b/>
          <w:bCs/>
          <w:sz w:val="6"/>
          <w:szCs w:val="6"/>
          <w:rtl/>
        </w:rPr>
      </w:pPr>
    </w:p>
    <w:p w:rsidR="000A6B6A" w:rsidRDefault="000A6B6A" w:rsidP="000A6B6A">
      <w:pPr>
        <w:jc w:val="center"/>
        <w:rPr>
          <w:rFonts w:cs="Simplified Arabic"/>
          <w:b/>
          <w:bCs/>
          <w:sz w:val="6"/>
          <w:szCs w:val="6"/>
          <w:rtl/>
        </w:rPr>
      </w:pPr>
    </w:p>
    <w:p w:rsidR="00631E98" w:rsidRPr="000A6B6A" w:rsidRDefault="000A6B6A" w:rsidP="000A6B6A">
      <w:pPr>
        <w:jc w:val="center"/>
        <w:rPr>
          <w:rFonts w:cs="Simplified Arabic"/>
          <w:b/>
          <w:bCs/>
          <w:sz w:val="6"/>
          <w:szCs w:val="6"/>
          <w:rtl/>
        </w:rPr>
      </w:pPr>
      <w:r w:rsidRPr="000A6B6A">
        <w:rPr>
          <w:noProof/>
          <w:rtl/>
          <w:lang w:eastAsia="en-US"/>
        </w:rPr>
        <w:drawing>
          <wp:inline distT="0" distB="0" distL="0" distR="0" wp14:anchorId="51E630A5" wp14:editId="06E518FD">
            <wp:extent cx="714375" cy="790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J.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8905" cy="817722"/>
                    </a:xfrm>
                    <a:prstGeom prst="rect">
                      <a:avLst/>
                    </a:prstGeom>
                  </pic:spPr>
                </pic:pic>
              </a:graphicData>
            </a:graphic>
          </wp:inline>
        </w:drawing>
      </w:r>
    </w:p>
    <w:sectPr w:rsidR="00631E98" w:rsidRPr="000A6B6A" w:rsidSect="00A441CB">
      <w:footerReference w:type="even" r:id="rId13"/>
      <w:footerReference w:type="default" r:id="rId14"/>
      <w:headerReference w:type="first" r:id="rId15"/>
      <w:pgSz w:w="11906" w:h="16838" w:code="9"/>
      <w:pgMar w:top="1134" w:right="1134" w:bottom="1134" w:left="1134" w:header="426" w:footer="55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07" w:rsidRDefault="00A53D07">
      <w:r>
        <w:separator/>
      </w:r>
    </w:p>
  </w:endnote>
  <w:endnote w:type="continuationSeparator" w:id="0">
    <w:p w:rsidR="00A53D07" w:rsidRDefault="00A5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Default="006E725A">
    <w:pPr>
      <w:pStyle w:val="Footer"/>
      <w:framePr w:wrap="around" w:vAnchor="text" w:hAnchor="margin" w:xAlign="center" w:y="1"/>
      <w:rPr>
        <w:rStyle w:val="PageNumber"/>
        <w:rtl/>
        <w:lang w:eastAsia="en-US"/>
      </w:rPr>
    </w:pPr>
    <w:r>
      <w:rPr>
        <w:rStyle w:val="PageNumber"/>
        <w:rtl/>
      </w:rPr>
      <w:fldChar w:fldCharType="begin"/>
    </w:r>
    <w:r w:rsidR="0063523D">
      <w:rPr>
        <w:rStyle w:val="PageNumber"/>
        <w:lang w:eastAsia="en-US"/>
      </w:rPr>
      <w:instrText xml:space="preserve">PAGE  </w:instrText>
    </w:r>
    <w:r>
      <w:rPr>
        <w:rStyle w:val="PageNumber"/>
        <w:rtl/>
      </w:rPr>
      <w:fldChar w:fldCharType="separate"/>
    </w:r>
    <w:r w:rsidR="0063523D">
      <w:rPr>
        <w:rStyle w:val="PageNumber"/>
        <w:noProof/>
        <w:rtl/>
      </w:rPr>
      <w:t>2</w:t>
    </w:r>
    <w:r>
      <w:rPr>
        <w:rStyle w:val="PageNumber"/>
        <w:rtl/>
      </w:rPr>
      <w:fldChar w:fldCharType="end"/>
    </w:r>
  </w:p>
  <w:p w:rsidR="0063523D" w:rsidRDefault="0063523D">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Default="006E725A">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63523D">
      <w:rPr>
        <w:rStyle w:val="PageNumber"/>
        <w:sz w:val="20"/>
        <w:szCs w:val="20"/>
        <w:lang w:eastAsia="en-US"/>
      </w:rPr>
      <w:instrText xml:space="preserve">PAGE  </w:instrText>
    </w:r>
    <w:r>
      <w:rPr>
        <w:rStyle w:val="PageNumber"/>
        <w:sz w:val="20"/>
        <w:szCs w:val="20"/>
        <w:rtl/>
      </w:rPr>
      <w:fldChar w:fldCharType="separate"/>
    </w:r>
    <w:r w:rsidR="00A441CB">
      <w:rPr>
        <w:rStyle w:val="PageNumber"/>
        <w:noProof/>
        <w:sz w:val="20"/>
        <w:szCs w:val="20"/>
        <w:rtl/>
      </w:rPr>
      <w:t>4</w:t>
    </w:r>
    <w:r>
      <w:rPr>
        <w:rStyle w:val="PageNumber"/>
        <w:sz w:val="20"/>
        <w:szCs w:val="20"/>
        <w:rtl/>
      </w:rPr>
      <w:fldChar w:fldCharType="end"/>
    </w:r>
  </w:p>
  <w:p w:rsidR="0063523D" w:rsidRDefault="0063523D">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07" w:rsidRDefault="00A53D07">
      <w:r>
        <w:separator/>
      </w:r>
    </w:p>
  </w:footnote>
  <w:footnote w:type="continuationSeparator" w:id="0">
    <w:p w:rsidR="00A53D07" w:rsidRDefault="00A5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0"/>
      <w:gridCol w:w="3274"/>
      <w:gridCol w:w="3300"/>
    </w:tblGrid>
    <w:tr w:rsidR="0063523D" w:rsidTr="00B10EE0">
      <w:tc>
        <w:tcPr>
          <w:tcW w:w="3473" w:type="dxa"/>
          <w:vAlign w:val="center"/>
        </w:tcPr>
        <w:p w:rsidR="0063523D" w:rsidRDefault="0063523D" w:rsidP="00B10EE0">
          <w:pPr>
            <w:pStyle w:val="Header"/>
            <w:ind w:left="-1"/>
            <w:jc w:val="center"/>
            <w:rPr>
              <w:rFonts w:cs="Simplified Arabic"/>
              <w:b/>
              <w:bCs/>
              <w:sz w:val="28"/>
              <w:szCs w:val="28"/>
              <w:rtl/>
            </w:rPr>
          </w:pPr>
          <w:r>
            <w:rPr>
              <w:rFonts w:cs="Simplified Arabic" w:hint="cs"/>
              <w:b/>
              <w:bCs/>
              <w:sz w:val="28"/>
              <w:szCs w:val="28"/>
              <w:rtl/>
            </w:rPr>
            <w:t>فلسطين</w:t>
          </w:r>
        </w:p>
        <w:p w:rsidR="0063523D" w:rsidRDefault="0063523D"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3523D" w:rsidRDefault="0063523D" w:rsidP="00B10EE0">
          <w:pPr>
            <w:pStyle w:val="Header"/>
            <w:rPr>
              <w:rtl/>
            </w:rPr>
          </w:pPr>
          <w:r>
            <w:rPr>
              <w:noProof/>
              <w:snapToGrid/>
              <w:rtl/>
            </w:rPr>
            <w:drawing>
              <wp:anchor distT="0" distB="0" distL="114300" distR="114300" simplePos="0" relativeHeight="251659264"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63523D" w:rsidRDefault="0063523D"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3523D" w:rsidRPr="00237AA1" w:rsidRDefault="0063523D"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2FEE04FF"/>
    <w:multiLevelType w:val="hybridMultilevel"/>
    <w:tmpl w:val="948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1"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62CF6611"/>
    <w:multiLevelType w:val="hybridMultilevel"/>
    <w:tmpl w:val="892006E4"/>
    <w:lvl w:ilvl="0" w:tplc="A98A83B0">
      <w:numFmt w:val="bullet"/>
      <w:lvlText w:val="•"/>
      <w:lvlJc w:val="left"/>
      <w:pPr>
        <w:ind w:left="720" w:hanging="360"/>
      </w:pPr>
      <w:rPr>
        <w:rFonts w:ascii="Roboto" w:eastAsia="Times New Roman" w:hAnsi="Roboto" w:cs="Times New Roman"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0"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1"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3"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4"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5"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9"/>
  </w:num>
  <w:num w:numId="3">
    <w:abstractNumId w:val="35"/>
  </w:num>
  <w:num w:numId="4">
    <w:abstractNumId w:val="40"/>
  </w:num>
  <w:num w:numId="5">
    <w:abstractNumId w:val="42"/>
  </w:num>
  <w:num w:numId="6">
    <w:abstractNumId w:val="28"/>
  </w:num>
  <w:num w:numId="7">
    <w:abstractNumId w:val="45"/>
  </w:num>
  <w:num w:numId="8">
    <w:abstractNumId w:val="1"/>
  </w:num>
  <w:num w:numId="9">
    <w:abstractNumId w:val="6"/>
  </w:num>
  <w:num w:numId="10">
    <w:abstractNumId w:val="4"/>
  </w:num>
  <w:num w:numId="11">
    <w:abstractNumId w:val="23"/>
  </w:num>
  <w:num w:numId="12">
    <w:abstractNumId w:val="3"/>
  </w:num>
  <w:num w:numId="13">
    <w:abstractNumId w:val="27"/>
  </w:num>
  <w:num w:numId="14">
    <w:abstractNumId w:val="30"/>
  </w:num>
  <w:num w:numId="15">
    <w:abstractNumId w:val="24"/>
  </w:num>
  <w:num w:numId="16">
    <w:abstractNumId w:val="2"/>
  </w:num>
  <w:num w:numId="17">
    <w:abstractNumId w:val="34"/>
  </w:num>
  <w:num w:numId="18">
    <w:abstractNumId w:val="31"/>
  </w:num>
  <w:num w:numId="19">
    <w:abstractNumId w:val="8"/>
  </w:num>
  <w:num w:numId="20">
    <w:abstractNumId w:val="7"/>
  </w:num>
  <w:num w:numId="21">
    <w:abstractNumId w:val="20"/>
  </w:num>
  <w:num w:numId="22">
    <w:abstractNumId w:val="25"/>
  </w:num>
  <w:num w:numId="23">
    <w:abstractNumId w:val="13"/>
  </w:num>
  <w:num w:numId="24">
    <w:abstractNumId w:val="9"/>
  </w:num>
  <w:num w:numId="25">
    <w:abstractNumId w:val="44"/>
  </w:num>
  <w:num w:numId="26">
    <w:abstractNumId w:val="36"/>
  </w:num>
  <w:num w:numId="27">
    <w:abstractNumId w:val="5"/>
  </w:num>
  <w:num w:numId="28">
    <w:abstractNumId w:val="11"/>
  </w:num>
  <w:num w:numId="29">
    <w:abstractNumId w:val="15"/>
  </w:num>
  <w:num w:numId="30">
    <w:abstractNumId w:val="18"/>
  </w:num>
  <w:num w:numId="31">
    <w:abstractNumId w:val="16"/>
  </w:num>
  <w:num w:numId="32">
    <w:abstractNumId w:val="19"/>
  </w:num>
  <w:num w:numId="33">
    <w:abstractNumId w:val="37"/>
  </w:num>
  <w:num w:numId="34">
    <w:abstractNumId w:val="32"/>
  </w:num>
  <w:num w:numId="35">
    <w:abstractNumId w:val="14"/>
  </w:num>
  <w:num w:numId="36">
    <w:abstractNumId w:val="29"/>
  </w:num>
  <w:num w:numId="37">
    <w:abstractNumId w:val="0"/>
  </w:num>
  <w:num w:numId="38">
    <w:abstractNumId w:val="26"/>
  </w:num>
  <w:num w:numId="39">
    <w:abstractNumId w:val="22"/>
  </w:num>
  <w:num w:numId="40">
    <w:abstractNumId w:val="43"/>
  </w:num>
  <w:num w:numId="41">
    <w:abstractNumId w:val="21"/>
  </w:num>
  <w:num w:numId="42">
    <w:abstractNumId w:val="12"/>
  </w:num>
  <w:num w:numId="43">
    <w:abstractNumId w:val="41"/>
  </w:num>
  <w:num w:numId="44">
    <w:abstractNumId w:val="33"/>
  </w:num>
  <w:num w:numId="45">
    <w:abstractNumId w:val="1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71F"/>
    <w:rsid w:val="000009B3"/>
    <w:rsid w:val="00000AD9"/>
    <w:rsid w:val="0000284C"/>
    <w:rsid w:val="000038EA"/>
    <w:rsid w:val="00005179"/>
    <w:rsid w:val="00005A7F"/>
    <w:rsid w:val="0000653A"/>
    <w:rsid w:val="00007697"/>
    <w:rsid w:val="000135D9"/>
    <w:rsid w:val="00014EF7"/>
    <w:rsid w:val="0002405E"/>
    <w:rsid w:val="00024A04"/>
    <w:rsid w:val="00024A21"/>
    <w:rsid w:val="00026672"/>
    <w:rsid w:val="00027544"/>
    <w:rsid w:val="00030C00"/>
    <w:rsid w:val="00034BD5"/>
    <w:rsid w:val="0004077E"/>
    <w:rsid w:val="000423C8"/>
    <w:rsid w:val="00043A56"/>
    <w:rsid w:val="00045501"/>
    <w:rsid w:val="00047956"/>
    <w:rsid w:val="000512B5"/>
    <w:rsid w:val="000550E4"/>
    <w:rsid w:val="00055ABD"/>
    <w:rsid w:val="00055C47"/>
    <w:rsid w:val="00055C69"/>
    <w:rsid w:val="00056EB1"/>
    <w:rsid w:val="00066AFF"/>
    <w:rsid w:val="000709ED"/>
    <w:rsid w:val="00073B0A"/>
    <w:rsid w:val="00074748"/>
    <w:rsid w:val="0007569C"/>
    <w:rsid w:val="000776EB"/>
    <w:rsid w:val="0008051C"/>
    <w:rsid w:val="00085230"/>
    <w:rsid w:val="000869A2"/>
    <w:rsid w:val="00090FCC"/>
    <w:rsid w:val="0009101D"/>
    <w:rsid w:val="0009132E"/>
    <w:rsid w:val="00095E8D"/>
    <w:rsid w:val="00097E4C"/>
    <w:rsid w:val="000A2143"/>
    <w:rsid w:val="000A3BA7"/>
    <w:rsid w:val="000A6B6A"/>
    <w:rsid w:val="000B2D0D"/>
    <w:rsid w:val="000C1DA4"/>
    <w:rsid w:val="000C3718"/>
    <w:rsid w:val="000C4B67"/>
    <w:rsid w:val="000D0C52"/>
    <w:rsid w:val="000D3DC7"/>
    <w:rsid w:val="000D4428"/>
    <w:rsid w:val="000D4D83"/>
    <w:rsid w:val="000E0622"/>
    <w:rsid w:val="000F0130"/>
    <w:rsid w:val="000F1069"/>
    <w:rsid w:val="000F363E"/>
    <w:rsid w:val="000F5133"/>
    <w:rsid w:val="000F5A07"/>
    <w:rsid w:val="000F68E2"/>
    <w:rsid w:val="001003F1"/>
    <w:rsid w:val="0010102F"/>
    <w:rsid w:val="00101EE6"/>
    <w:rsid w:val="00103DA4"/>
    <w:rsid w:val="0010598F"/>
    <w:rsid w:val="001104DD"/>
    <w:rsid w:val="00111EA4"/>
    <w:rsid w:val="00111EF6"/>
    <w:rsid w:val="001158D7"/>
    <w:rsid w:val="00117295"/>
    <w:rsid w:val="0012375A"/>
    <w:rsid w:val="001245DE"/>
    <w:rsid w:val="001276D4"/>
    <w:rsid w:val="00132472"/>
    <w:rsid w:val="00134B3C"/>
    <w:rsid w:val="001356D8"/>
    <w:rsid w:val="0014763A"/>
    <w:rsid w:val="00151720"/>
    <w:rsid w:val="00152B92"/>
    <w:rsid w:val="001538F3"/>
    <w:rsid w:val="00153F2E"/>
    <w:rsid w:val="0016048D"/>
    <w:rsid w:val="00160ED3"/>
    <w:rsid w:val="00162EF1"/>
    <w:rsid w:val="001633DA"/>
    <w:rsid w:val="0016470A"/>
    <w:rsid w:val="00166A06"/>
    <w:rsid w:val="00167681"/>
    <w:rsid w:val="001704DA"/>
    <w:rsid w:val="00171F69"/>
    <w:rsid w:val="001720A1"/>
    <w:rsid w:val="00172428"/>
    <w:rsid w:val="001740A4"/>
    <w:rsid w:val="001741D7"/>
    <w:rsid w:val="00174F20"/>
    <w:rsid w:val="0017670B"/>
    <w:rsid w:val="00176D49"/>
    <w:rsid w:val="001770A6"/>
    <w:rsid w:val="001821FF"/>
    <w:rsid w:val="00184723"/>
    <w:rsid w:val="001862BA"/>
    <w:rsid w:val="00187E55"/>
    <w:rsid w:val="00190CAC"/>
    <w:rsid w:val="00193EF5"/>
    <w:rsid w:val="00195502"/>
    <w:rsid w:val="00197EE2"/>
    <w:rsid w:val="001A2E41"/>
    <w:rsid w:val="001A72FA"/>
    <w:rsid w:val="001A7CA4"/>
    <w:rsid w:val="001B1296"/>
    <w:rsid w:val="001B1ED2"/>
    <w:rsid w:val="001B3D2D"/>
    <w:rsid w:val="001B4786"/>
    <w:rsid w:val="001B7240"/>
    <w:rsid w:val="001C01F7"/>
    <w:rsid w:val="001C7BEE"/>
    <w:rsid w:val="001D0D67"/>
    <w:rsid w:val="001D252F"/>
    <w:rsid w:val="001D2A19"/>
    <w:rsid w:val="001D4837"/>
    <w:rsid w:val="001D58B2"/>
    <w:rsid w:val="001E1284"/>
    <w:rsid w:val="001E53E7"/>
    <w:rsid w:val="001E6769"/>
    <w:rsid w:val="001F24F9"/>
    <w:rsid w:val="001F32D8"/>
    <w:rsid w:val="001F38E3"/>
    <w:rsid w:val="001F45F5"/>
    <w:rsid w:val="001F7076"/>
    <w:rsid w:val="00203E96"/>
    <w:rsid w:val="00204C8F"/>
    <w:rsid w:val="00206FE0"/>
    <w:rsid w:val="00210522"/>
    <w:rsid w:val="002132AA"/>
    <w:rsid w:val="0021554B"/>
    <w:rsid w:val="002236C2"/>
    <w:rsid w:val="00223DAC"/>
    <w:rsid w:val="00224D55"/>
    <w:rsid w:val="00227C85"/>
    <w:rsid w:val="002363A1"/>
    <w:rsid w:val="0023787C"/>
    <w:rsid w:val="00237AA1"/>
    <w:rsid w:val="002414F7"/>
    <w:rsid w:val="002423E7"/>
    <w:rsid w:val="002520C3"/>
    <w:rsid w:val="00254061"/>
    <w:rsid w:val="00254DFE"/>
    <w:rsid w:val="002639F4"/>
    <w:rsid w:val="002709C3"/>
    <w:rsid w:val="00271CC9"/>
    <w:rsid w:val="00272BFE"/>
    <w:rsid w:val="00273434"/>
    <w:rsid w:val="00273617"/>
    <w:rsid w:val="00275682"/>
    <w:rsid w:val="0028127E"/>
    <w:rsid w:val="00283668"/>
    <w:rsid w:val="002840A9"/>
    <w:rsid w:val="00285ACC"/>
    <w:rsid w:val="00286F83"/>
    <w:rsid w:val="00290077"/>
    <w:rsid w:val="002A031F"/>
    <w:rsid w:val="002A4D93"/>
    <w:rsid w:val="002A5383"/>
    <w:rsid w:val="002A6913"/>
    <w:rsid w:val="002B21E9"/>
    <w:rsid w:val="002C4877"/>
    <w:rsid w:val="002C4899"/>
    <w:rsid w:val="002C55C2"/>
    <w:rsid w:val="002C737F"/>
    <w:rsid w:val="002D0C3F"/>
    <w:rsid w:val="002E1CB5"/>
    <w:rsid w:val="002E1F65"/>
    <w:rsid w:val="002E228B"/>
    <w:rsid w:val="002E38E1"/>
    <w:rsid w:val="002E61F4"/>
    <w:rsid w:val="002F0E20"/>
    <w:rsid w:val="002F4437"/>
    <w:rsid w:val="002F784E"/>
    <w:rsid w:val="00304344"/>
    <w:rsid w:val="00304A38"/>
    <w:rsid w:val="00304C00"/>
    <w:rsid w:val="003072D2"/>
    <w:rsid w:val="00310E2F"/>
    <w:rsid w:val="00312413"/>
    <w:rsid w:val="00316F38"/>
    <w:rsid w:val="003172A5"/>
    <w:rsid w:val="00322A71"/>
    <w:rsid w:val="00324A4C"/>
    <w:rsid w:val="00325B3E"/>
    <w:rsid w:val="00325D6B"/>
    <w:rsid w:val="00343E48"/>
    <w:rsid w:val="00343E64"/>
    <w:rsid w:val="0034506C"/>
    <w:rsid w:val="00347F6E"/>
    <w:rsid w:val="00350CE2"/>
    <w:rsid w:val="00354B9B"/>
    <w:rsid w:val="00356CE0"/>
    <w:rsid w:val="00357C51"/>
    <w:rsid w:val="00361A27"/>
    <w:rsid w:val="00363BD7"/>
    <w:rsid w:val="00370646"/>
    <w:rsid w:val="003735DD"/>
    <w:rsid w:val="00373B0F"/>
    <w:rsid w:val="003746DD"/>
    <w:rsid w:val="00374C3C"/>
    <w:rsid w:val="00374D2C"/>
    <w:rsid w:val="003753B8"/>
    <w:rsid w:val="00375602"/>
    <w:rsid w:val="00380242"/>
    <w:rsid w:val="00380487"/>
    <w:rsid w:val="00381B77"/>
    <w:rsid w:val="0038244A"/>
    <w:rsid w:val="00390FBE"/>
    <w:rsid w:val="003A2EEC"/>
    <w:rsid w:val="003A3589"/>
    <w:rsid w:val="003A4694"/>
    <w:rsid w:val="003A7A5D"/>
    <w:rsid w:val="003B1F14"/>
    <w:rsid w:val="003B6017"/>
    <w:rsid w:val="003B779E"/>
    <w:rsid w:val="003C2315"/>
    <w:rsid w:val="003C2D0C"/>
    <w:rsid w:val="003C3885"/>
    <w:rsid w:val="003C449D"/>
    <w:rsid w:val="003C6772"/>
    <w:rsid w:val="003D1A96"/>
    <w:rsid w:val="003D3A7B"/>
    <w:rsid w:val="003D6243"/>
    <w:rsid w:val="003E10FD"/>
    <w:rsid w:val="003E57BD"/>
    <w:rsid w:val="003E7FCE"/>
    <w:rsid w:val="003F1D54"/>
    <w:rsid w:val="003F4698"/>
    <w:rsid w:val="003F46FB"/>
    <w:rsid w:val="003F4EED"/>
    <w:rsid w:val="003F79E7"/>
    <w:rsid w:val="004051ED"/>
    <w:rsid w:val="00406FEA"/>
    <w:rsid w:val="00410898"/>
    <w:rsid w:val="00411431"/>
    <w:rsid w:val="00411652"/>
    <w:rsid w:val="004131AA"/>
    <w:rsid w:val="004150DE"/>
    <w:rsid w:val="004175F3"/>
    <w:rsid w:val="004202CB"/>
    <w:rsid w:val="004204F6"/>
    <w:rsid w:val="00423A2B"/>
    <w:rsid w:val="004260A3"/>
    <w:rsid w:val="004306EE"/>
    <w:rsid w:val="00432D83"/>
    <w:rsid w:val="00434207"/>
    <w:rsid w:val="004353EA"/>
    <w:rsid w:val="004358E7"/>
    <w:rsid w:val="00440CEB"/>
    <w:rsid w:val="00443861"/>
    <w:rsid w:val="0044500C"/>
    <w:rsid w:val="004534FB"/>
    <w:rsid w:val="00454716"/>
    <w:rsid w:val="00466555"/>
    <w:rsid w:val="00471326"/>
    <w:rsid w:val="004714B4"/>
    <w:rsid w:val="00477B04"/>
    <w:rsid w:val="00477B91"/>
    <w:rsid w:val="004803C6"/>
    <w:rsid w:val="00480F1D"/>
    <w:rsid w:val="00481144"/>
    <w:rsid w:val="0048167E"/>
    <w:rsid w:val="00481C64"/>
    <w:rsid w:val="00485EAC"/>
    <w:rsid w:val="00487E2C"/>
    <w:rsid w:val="00492268"/>
    <w:rsid w:val="00493C2C"/>
    <w:rsid w:val="004A2423"/>
    <w:rsid w:val="004A4B6B"/>
    <w:rsid w:val="004A55B0"/>
    <w:rsid w:val="004A63BE"/>
    <w:rsid w:val="004B2084"/>
    <w:rsid w:val="004B2D88"/>
    <w:rsid w:val="004B4081"/>
    <w:rsid w:val="004B416E"/>
    <w:rsid w:val="004B7CB9"/>
    <w:rsid w:val="004C005A"/>
    <w:rsid w:val="004C05E7"/>
    <w:rsid w:val="004C33B2"/>
    <w:rsid w:val="004C5B5B"/>
    <w:rsid w:val="004C731B"/>
    <w:rsid w:val="004D37C0"/>
    <w:rsid w:val="004D390C"/>
    <w:rsid w:val="004E1D64"/>
    <w:rsid w:val="004E40B4"/>
    <w:rsid w:val="004E6BEC"/>
    <w:rsid w:val="004E7B21"/>
    <w:rsid w:val="004F2113"/>
    <w:rsid w:val="004F2C8A"/>
    <w:rsid w:val="004F4067"/>
    <w:rsid w:val="004F6EE1"/>
    <w:rsid w:val="00507FC3"/>
    <w:rsid w:val="00514C04"/>
    <w:rsid w:val="00515789"/>
    <w:rsid w:val="005157AF"/>
    <w:rsid w:val="005218AA"/>
    <w:rsid w:val="00522138"/>
    <w:rsid w:val="00523905"/>
    <w:rsid w:val="00526751"/>
    <w:rsid w:val="00532F08"/>
    <w:rsid w:val="005368CC"/>
    <w:rsid w:val="00541FA2"/>
    <w:rsid w:val="00544D73"/>
    <w:rsid w:val="00546089"/>
    <w:rsid w:val="0054639D"/>
    <w:rsid w:val="00546492"/>
    <w:rsid w:val="005516C5"/>
    <w:rsid w:val="005524C3"/>
    <w:rsid w:val="00553C28"/>
    <w:rsid w:val="005561F1"/>
    <w:rsid w:val="00556D04"/>
    <w:rsid w:val="005579D0"/>
    <w:rsid w:val="00561594"/>
    <w:rsid w:val="005617F4"/>
    <w:rsid w:val="00564554"/>
    <w:rsid w:val="005675D1"/>
    <w:rsid w:val="00567D10"/>
    <w:rsid w:val="0057079A"/>
    <w:rsid w:val="00590681"/>
    <w:rsid w:val="00591FA7"/>
    <w:rsid w:val="005A0D39"/>
    <w:rsid w:val="005A1408"/>
    <w:rsid w:val="005A4D0D"/>
    <w:rsid w:val="005A5569"/>
    <w:rsid w:val="005A6663"/>
    <w:rsid w:val="005A6CF5"/>
    <w:rsid w:val="005B1E09"/>
    <w:rsid w:val="005B5CAF"/>
    <w:rsid w:val="005C0975"/>
    <w:rsid w:val="005C103A"/>
    <w:rsid w:val="005D6E2D"/>
    <w:rsid w:val="005E25CD"/>
    <w:rsid w:val="005E3A9D"/>
    <w:rsid w:val="005E62C4"/>
    <w:rsid w:val="005E688D"/>
    <w:rsid w:val="005E6E19"/>
    <w:rsid w:val="005E7B47"/>
    <w:rsid w:val="005F0EFC"/>
    <w:rsid w:val="005F44FA"/>
    <w:rsid w:val="005F579B"/>
    <w:rsid w:val="00611674"/>
    <w:rsid w:val="006120EB"/>
    <w:rsid w:val="0061396D"/>
    <w:rsid w:val="00617097"/>
    <w:rsid w:val="00617884"/>
    <w:rsid w:val="006200B5"/>
    <w:rsid w:val="00620287"/>
    <w:rsid w:val="00623EAF"/>
    <w:rsid w:val="006249C6"/>
    <w:rsid w:val="00631E98"/>
    <w:rsid w:val="00632B14"/>
    <w:rsid w:val="00632E80"/>
    <w:rsid w:val="0063523D"/>
    <w:rsid w:val="00635ECD"/>
    <w:rsid w:val="00640044"/>
    <w:rsid w:val="006403F9"/>
    <w:rsid w:val="00641D59"/>
    <w:rsid w:val="006433C4"/>
    <w:rsid w:val="00644597"/>
    <w:rsid w:val="0064473C"/>
    <w:rsid w:val="00651190"/>
    <w:rsid w:val="00651F0F"/>
    <w:rsid w:val="00652E47"/>
    <w:rsid w:val="00655535"/>
    <w:rsid w:val="006602C5"/>
    <w:rsid w:val="006609D0"/>
    <w:rsid w:val="00661BDC"/>
    <w:rsid w:val="0066251F"/>
    <w:rsid w:val="0066400C"/>
    <w:rsid w:val="00664C3A"/>
    <w:rsid w:val="00666465"/>
    <w:rsid w:val="006716AC"/>
    <w:rsid w:val="00673F02"/>
    <w:rsid w:val="0068493B"/>
    <w:rsid w:val="0069110E"/>
    <w:rsid w:val="0069213A"/>
    <w:rsid w:val="006936AF"/>
    <w:rsid w:val="006944DC"/>
    <w:rsid w:val="006967C8"/>
    <w:rsid w:val="006A0E87"/>
    <w:rsid w:val="006A0F73"/>
    <w:rsid w:val="006A493F"/>
    <w:rsid w:val="006A4E9A"/>
    <w:rsid w:val="006A52F2"/>
    <w:rsid w:val="006A5F28"/>
    <w:rsid w:val="006A6FF1"/>
    <w:rsid w:val="006B0644"/>
    <w:rsid w:val="006B108E"/>
    <w:rsid w:val="006B157B"/>
    <w:rsid w:val="006B5E72"/>
    <w:rsid w:val="006C19EA"/>
    <w:rsid w:val="006C4F41"/>
    <w:rsid w:val="006C5FC3"/>
    <w:rsid w:val="006C6B1D"/>
    <w:rsid w:val="006D1853"/>
    <w:rsid w:val="006D21F0"/>
    <w:rsid w:val="006D4742"/>
    <w:rsid w:val="006D49FB"/>
    <w:rsid w:val="006D6933"/>
    <w:rsid w:val="006D72AF"/>
    <w:rsid w:val="006D7622"/>
    <w:rsid w:val="006D7B5A"/>
    <w:rsid w:val="006E0C76"/>
    <w:rsid w:val="006E1D1B"/>
    <w:rsid w:val="006E3BE1"/>
    <w:rsid w:val="006E3E08"/>
    <w:rsid w:val="006E677B"/>
    <w:rsid w:val="006E725A"/>
    <w:rsid w:val="006F1263"/>
    <w:rsid w:val="006F1F89"/>
    <w:rsid w:val="006F39C7"/>
    <w:rsid w:val="006F3D08"/>
    <w:rsid w:val="006F4E33"/>
    <w:rsid w:val="006F63E9"/>
    <w:rsid w:val="006F6656"/>
    <w:rsid w:val="006F69FB"/>
    <w:rsid w:val="006F78B0"/>
    <w:rsid w:val="0070024A"/>
    <w:rsid w:val="00702A42"/>
    <w:rsid w:val="00704982"/>
    <w:rsid w:val="0070704A"/>
    <w:rsid w:val="00707967"/>
    <w:rsid w:val="007112E8"/>
    <w:rsid w:val="00711B86"/>
    <w:rsid w:val="00713870"/>
    <w:rsid w:val="00715D55"/>
    <w:rsid w:val="007161A4"/>
    <w:rsid w:val="00716EE8"/>
    <w:rsid w:val="00717EE5"/>
    <w:rsid w:val="00720D00"/>
    <w:rsid w:val="00720F07"/>
    <w:rsid w:val="00722918"/>
    <w:rsid w:val="00730A36"/>
    <w:rsid w:val="00734E18"/>
    <w:rsid w:val="00742A60"/>
    <w:rsid w:val="00743787"/>
    <w:rsid w:val="00744BCD"/>
    <w:rsid w:val="00746B07"/>
    <w:rsid w:val="00746B86"/>
    <w:rsid w:val="0074720C"/>
    <w:rsid w:val="00747B3E"/>
    <w:rsid w:val="00756258"/>
    <w:rsid w:val="007614E2"/>
    <w:rsid w:val="00761536"/>
    <w:rsid w:val="00766F5C"/>
    <w:rsid w:val="00771668"/>
    <w:rsid w:val="0077438F"/>
    <w:rsid w:val="00774F8E"/>
    <w:rsid w:val="00776280"/>
    <w:rsid w:val="00781CF0"/>
    <w:rsid w:val="007835B1"/>
    <w:rsid w:val="00783771"/>
    <w:rsid w:val="00785839"/>
    <w:rsid w:val="00787412"/>
    <w:rsid w:val="00787619"/>
    <w:rsid w:val="0078792E"/>
    <w:rsid w:val="007902C4"/>
    <w:rsid w:val="00794170"/>
    <w:rsid w:val="00794AAA"/>
    <w:rsid w:val="00795048"/>
    <w:rsid w:val="007A509A"/>
    <w:rsid w:val="007A6485"/>
    <w:rsid w:val="007A7742"/>
    <w:rsid w:val="007B399D"/>
    <w:rsid w:val="007B7DAB"/>
    <w:rsid w:val="007C1E58"/>
    <w:rsid w:val="007C20D7"/>
    <w:rsid w:val="007C4E96"/>
    <w:rsid w:val="007D2796"/>
    <w:rsid w:val="007D409D"/>
    <w:rsid w:val="007D573F"/>
    <w:rsid w:val="007D5B19"/>
    <w:rsid w:val="007E0ACD"/>
    <w:rsid w:val="007F3537"/>
    <w:rsid w:val="007F6E11"/>
    <w:rsid w:val="007F72A1"/>
    <w:rsid w:val="00800114"/>
    <w:rsid w:val="00813B7F"/>
    <w:rsid w:val="0081532D"/>
    <w:rsid w:val="00817DA0"/>
    <w:rsid w:val="008253B9"/>
    <w:rsid w:val="00832431"/>
    <w:rsid w:val="00832D2C"/>
    <w:rsid w:val="008332C3"/>
    <w:rsid w:val="00835E65"/>
    <w:rsid w:val="008373D9"/>
    <w:rsid w:val="00837B60"/>
    <w:rsid w:val="00841352"/>
    <w:rsid w:val="00843086"/>
    <w:rsid w:val="00844195"/>
    <w:rsid w:val="008443DA"/>
    <w:rsid w:val="00845295"/>
    <w:rsid w:val="008528A7"/>
    <w:rsid w:val="008558DA"/>
    <w:rsid w:val="0086011D"/>
    <w:rsid w:val="00860A1C"/>
    <w:rsid w:val="0087032A"/>
    <w:rsid w:val="0087384A"/>
    <w:rsid w:val="00885C7A"/>
    <w:rsid w:val="0088753F"/>
    <w:rsid w:val="00890FF2"/>
    <w:rsid w:val="008910BE"/>
    <w:rsid w:val="00892FB9"/>
    <w:rsid w:val="00897671"/>
    <w:rsid w:val="008A0579"/>
    <w:rsid w:val="008A2EDD"/>
    <w:rsid w:val="008A7E2B"/>
    <w:rsid w:val="008B0404"/>
    <w:rsid w:val="008B40C8"/>
    <w:rsid w:val="008B5798"/>
    <w:rsid w:val="008B58A0"/>
    <w:rsid w:val="008B5EF7"/>
    <w:rsid w:val="008B7BFC"/>
    <w:rsid w:val="008B7ECB"/>
    <w:rsid w:val="008C0368"/>
    <w:rsid w:val="008C1A90"/>
    <w:rsid w:val="008C415B"/>
    <w:rsid w:val="008C4A38"/>
    <w:rsid w:val="008C584B"/>
    <w:rsid w:val="008C6AF4"/>
    <w:rsid w:val="008C7F4F"/>
    <w:rsid w:val="008D6C41"/>
    <w:rsid w:val="008E1056"/>
    <w:rsid w:val="008E2052"/>
    <w:rsid w:val="008E2E60"/>
    <w:rsid w:val="008F0F75"/>
    <w:rsid w:val="008F2D8F"/>
    <w:rsid w:val="009003E6"/>
    <w:rsid w:val="00903C3D"/>
    <w:rsid w:val="00904CFA"/>
    <w:rsid w:val="0090513E"/>
    <w:rsid w:val="009065BC"/>
    <w:rsid w:val="0091276C"/>
    <w:rsid w:val="0092151B"/>
    <w:rsid w:val="00923A97"/>
    <w:rsid w:val="00925A59"/>
    <w:rsid w:val="00926DDA"/>
    <w:rsid w:val="00927850"/>
    <w:rsid w:val="00931210"/>
    <w:rsid w:val="00932067"/>
    <w:rsid w:val="009403EC"/>
    <w:rsid w:val="009437E6"/>
    <w:rsid w:val="00944C3C"/>
    <w:rsid w:val="00947EE9"/>
    <w:rsid w:val="00951474"/>
    <w:rsid w:val="0095464D"/>
    <w:rsid w:val="009560F4"/>
    <w:rsid w:val="00956DD9"/>
    <w:rsid w:val="009636EF"/>
    <w:rsid w:val="00964000"/>
    <w:rsid w:val="009648A0"/>
    <w:rsid w:val="0096610A"/>
    <w:rsid w:val="0097173D"/>
    <w:rsid w:val="009764B5"/>
    <w:rsid w:val="00976561"/>
    <w:rsid w:val="0097736E"/>
    <w:rsid w:val="009849DA"/>
    <w:rsid w:val="009857D9"/>
    <w:rsid w:val="00990378"/>
    <w:rsid w:val="00990AB9"/>
    <w:rsid w:val="009A246E"/>
    <w:rsid w:val="009A31C1"/>
    <w:rsid w:val="009A4CB0"/>
    <w:rsid w:val="009B53EF"/>
    <w:rsid w:val="009C0547"/>
    <w:rsid w:val="009C28F9"/>
    <w:rsid w:val="009C2D41"/>
    <w:rsid w:val="009C47BF"/>
    <w:rsid w:val="009C4C69"/>
    <w:rsid w:val="009C5DF1"/>
    <w:rsid w:val="009C7124"/>
    <w:rsid w:val="009C745F"/>
    <w:rsid w:val="009D0966"/>
    <w:rsid w:val="009D3A28"/>
    <w:rsid w:val="009E1697"/>
    <w:rsid w:val="009F186C"/>
    <w:rsid w:val="00A03117"/>
    <w:rsid w:val="00A03370"/>
    <w:rsid w:val="00A05640"/>
    <w:rsid w:val="00A070B8"/>
    <w:rsid w:val="00A07E67"/>
    <w:rsid w:val="00A11083"/>
    <w:rsid w:val="00A118EF"/>
    <w:rsid w:val="00A12A52"/>
    <w:rsid w:val="00A138CD"/>
    <w:rsid w:val="00A15268"/>
    <w:rsid w:val="00A16964"/>
    <w:rsid w:val="00A2003C"/>
    <w:rsid w:val="00A2027B"/>
    <w:rsid w:val="00A20710"/>
    <w:rsid w:val="00A22F1E"/>
    <w:rsid w:val="00A279EE"/>
    <w:rsid w:val="00A30BE4"/>
    <w:rsid w:val="00A30DBB"/>
    <w:rsid w:val="00A31AA0"/>
    <w:rsid w:val="00A32CE0"/>
    <w:rsid w:val="00A33A3E"/>
    <w:rsid w:val="00A34DBA"/>
    <w:rsid w:val="00A40E6F"/>
    <w:rsid w:val="00A42368"/>
    <w:rsid w:val="00A42D72"/>
    <w:rsid w:val="00A441CB"/>
    <w:rsid w:val="00A46660"/>
    <w:rsid w:val="00A52040"/>
    <w:rsid w:val="00A5260D"/>
    <w:rsid w:val="00A5344B"/>
    <w:rsid w:val="00A53D07"/>
    <w:rsid w:val="00A543D4"/>
    <w:rsid w:val="00A552AA"/>
    <w:rsid w:val="00A62B42"/>
    <w:rsid w:val="00A71097"/>
    <w:rsid w:val="00A741FA"/>
    <w:rsid w:val="00A765EB"/>
    <w:rsid w:val="00A8240D"/>
    <w:rsid w:val="00A824BF"/>
    <w:rsid w:val="00A83D00"/>
    <w:rsid w:val="00A84103"/>
    <w:rsid w:val="00A86144"/>
    <w:rsid w:val="00A93951"/>
    <w:rsid w:val="00A9452E"/>
    <w:rsid w:val="00A9547E"/>
    <w:rsid w:val="00A95586"/>
    <w:rsid w:val="00A96704"/>
    <w:rsid w:val="00A973FC"/>
    <w:rsid w:val="00A97553"/>
    <w:rsid w:val="00AA14D9"/>
    <w:rsid w:val="00AA25DA"/>
    <w:rsid w:val="00AA2ED4"/>
    <w:rsid w:val="00AB17CF"/>
    <w:rsid w:val="00AB7080"/>
    <w:rsid w:val="00AB7587"/>
    <w:rsid w:val="00AC064B"/>
    <w:rsid w:val="00AC0D1C"/>
    <w:rsid w:val="00AC78DF"/>
    <w:rsid w:val="00AD3FCD"/>
    <w:rsid w:val="00AD6533"/>
    <w:rsid w:val="00AE02A2"/>
    <w:rsid w:val="00AE03C1"/>
    <w:rsid w:val="00AE5BB3"/>
    <w:rsid w:val="00AE65FC"/>
    <w:rsid w:val="00AF2957"/>
    <w:rsid w:val="00AF301D"/>
    <w:rsid w:val="00AF43D2"/>
    <w:rsid w:val="00AF7029"/>
    <w:rsid w:val="00B00565"/>
    <w:rsid w:val="00B0205D"/>
    <w:rsid w:val="00B03225"/>
    <w:rsid w:val="00B036F9"/>
    <w:rsid w:val="00B10EE0"/>
    <w:rsid w:val="00B11833"/>
    <w:rsid w:val="00B203FA"/>
    <w:rsid w:val="00B2280E"/>
    <w:rsid w:val="00B23097"/>
    <w:rsid w:val="00B252F2"/>
    <w:rsid w:val="00B2552A"/>
    <w:rsid w:val="00B258D9"/>
    <w:rsid w:val="00B26686"/>
    <w:rsid w:val="00B274FB"/>
    <w:rsid w:val="00B276D6"/>
    <w:rsid w:val="00B367BB"/>
    <w:rsid w:val="00B3789C"/>
    <w:rsid w:val="00B41459"/>
    <w:rsid w:val="00B43256"/>
    <w:rsid w:val="00B43A6F"/>
    <w:rsid w:val="00B446F3"/>
    <w:rsid w:val="00B478B1"/>
    <w:rsid w:val="00B47913"/>
    <w:rsid w:val="00B56FA1"/>
    <w:rsid w:val="00B578BF"/>
    <w:rsid w:val="00B62810"/>
    <w:rsid w:val="00B645F1"/>
    <w:rsid w:val="00B64E45"/>
    <w:rsid w:val="00B66C63"/>
    <w:rsid w:val="00B72E6C"/>
    <w:rsid w:val="00B80948"/>
    <w:rsid w:val="00B93E65"/>
    <w:rsid w:val="00B94E0D"/>
    <w:rsid w:val="00B95437"/>
    <w:rsid w:val="00B97D5A"/>
    <w:rsid w:val="00BA0BFF"/>
    <w:rsid w:val="00BA7749"/>
    <w:rsid w:val="00BB2087"/>
    <w:rsid w:val="00BB3712"/>
    <w:rsid w:val="00BC4BC3"/>
    <w:rsid w:val="00BC5613"/>
    <w:rsid w:val="00BC5C79"/>
    <w:rsid w:val="00BC5E25"/>
    <w:rsid w:val="00BC6254"/>
    <w:rsid w:val="00BD0EBB"/>
    <w:rsid w:val="00BD1FBF"/>
    <w:rsid w:val="00BD3F78"/>
    <w:rsid w:val="00BD4930"/>
    <w:rsid w:val="00BE0C67"/>
    <w:rsid w:val="00BE27E6"/>
    <w:rsid w:val="00BE3E19"/>
    <w:rsid w:val="00BE483F"/>
    <w:rsid w:val="00BE7F85"/>
    <w:rsid w:val="00BF08D5"/>
    <w:rsid w:val="00BF0F7F"/>
    <w:rsid w:val="00BF12F6"/>
    <w:rsid w:val="00BF3F43"/>
    <w:rsid w:val="00BF43C3"/>
    <w:rsid w:val="00BF564C"/>
    <w:rsid w:val="00BF59A1"/>
    <w:rsid w:val="00BF5CB0"/>
    <w:rsid w:val="00C0155D"/>
    <w:rsid w:val="00C0170F"/>
    <w:rsid w:val="00C02720"/>
    <w:rsid w:val="00C03293"/>
    <w:rsid w:val="00C03815"/>
    <w:rsid w:val="00C04E58"/>
    <w:rsid w:val="00C050EF"/>
    <w:rsid w:val="00C06DCA"/>
    <w:rsid w:val="00C119B9"/>
    <w:rsid w:val="00C124F6"/>
    <w:rsid w:val="00C12C0D"/>
    <w:rsid w:val="00C140F3"/>
    <w:rsid w:val="00C167AD"/>
    <w:rsid w:val="00C20831"/>
    <w:rsid w:val="00C21CB0"/>
    <w:rsid w:val="00C2449B"/>
    <w:rsid w:val="00C2722F"/>
    <w:rsid w:val="00C30246"/>
    <w:rsid w:val="00C30CD6"/>
    <w:rsid w:val="00C32171"/>
    <w:rsid w:val="00C3410D"/>
    <w:rsid w:val="00C34A7F"/>
    <w:rsid w:val="00C367C6"/>
    <w:rsid w:val="00C37BE3"/>
    <w:rsid w:val="00C46FE8"/>
    <w:rsid w:val="00C47F0E"/>
    <w:rsid w:val="00C5002B"/>
    <w:rsid w:val="00C524C9"/>
    <w:rsid w:val="00C53456"/>
    <w:rsid w:val="00C537B9"/>
    <w:rsid w:val="00C53CC1"/>
    <w:rsid w:val="00C6119E"/>
    <w:rsid w:val="00C612A6"/>
    <w:rsid w:val="00C61534"/>
    <w:rsid w:val="00C6278F"/>
    <w:rsid w:val="00C62D31"/>
    <w:rsid w:val="00C64F06"/>
    <w:rsid w:val="00C65F0A"/>
    <w:rsid w:val="00C6615A"/>
    <w:rsid w:val="00C70172"/>
    <w:rsid w:val="00C70429"/>
    <w:rsid w:val="00C70A19"/>
    <w:rsid w:val="00C71C78"/>
    <w:rsid w:val="00C71F07"/>
    <w:rsid w:val="00C74BE5"/>
    <w:rsid w:val="00C80C9B"/>
    <w:rsid w:val="00C8105E"/>
    <w:rsid w:val="00C81381"/>
    <w:rsid w:val="00C81E9B"/>
    <w:rsid w:val="00C8413F"/>
    <w:rsid w:val="00C86A0B"/>
    <w:rsid w:val="00C913C3"/>
    <w:rsid w:val="00C9572A"/>
    <w:rsid w:val="00C979BE"/>
    <w:rsid w:val="00CA09D4"/>
    <w:rsid w:val="00CA17FC"/>
    <w:rsid w:val="00CA409A"/>
    <w:rsid w:val="00CA7C26"/>
    <w:rsid w:val="00CB403F"/>
    <w:rsid w:val="00CB4944"/>
    <w:rsid w:val="00CC4B84"/>
    <w:rsid w:val="00CC5347"/>
    <w:rsid w:val="00CC589F"/>
    <w:rsid w:val="00CC58CF"/>
    <w:rsid w:val="00CC7519"/>
    <w:rsid w:val="00CD0522"/>
    <w:rsid w:val="00CD1D58"/>
    <w:rsid w:val="00CD630F"/>
    <w:rsid w:val="00CD6C04"/>
    <w:rsid w:val="00CE620A"/>
    <w:rsid w:val="00CF2D3A"/>
    <w:rsid w:val="00CF2EE8"/>
    <w:rsid w:val="00CF4239"/>
    <w:rsid w:val="00CF43E5"/>
    <w:rsid w:val="00CF46D3"/>
    <w:rsid w:val="00CF4923"/>
    <w:rsid w:val="00CF569F"/>
    <w:rsid w:val="00D00173"/>
    <w:rsid w:val="00D05061"/>
    <w:rsid w:val="00D057A9"/>
    <w:rsid w:val="00D05C90"/>
    <w:rsid w:val="00D065FF"/>
    <w:rsid w:val="00D104A3"/>
    <w:rsid w:val="00D10672"/>
    <w:rsid w:val="00D1384E"/>
    <w:rsid w:val="00D22DEE"/>
    <w:rsid w:val="00D254ED"/>
    <w:rsid w:val="00D25F3E"/>
    <w:rsid w:val="00D2688B"/>
    <w:rsid w:val="00D31AA0"/>
    <w:rsid w:val="00D31F3B"/>
    <w:rsid w:val="00D371D1"/>
    <w:rsid w:val="00D376FF"/>
    <w:rsid w:val="00D379A6"/>
    <w:rsid w:val="00D42F20"/>
    <w:rsid w:val="00D4303F"/>
    <w:rsid w:val="00D54825"/>
    <w:rsid w:val="00D552CD"/>
    <w:rsid w:val="00D56072"/>
    <w:rsid w:val="00D56642"/>
    <w:rsid w:val="00D617ED"/>
    <w:rsid w:val="00D63AA6"/>
    <w:rsid w:val="00D6430A"/>
    <w:rsid w:val="00D651FA"/>
    <w:rsid w:val="00D654B1"/>
    <w:rsid w:val="00D658BC"/>
    <w:rsid w:val="00D66044"/>
    <w:rsid w:val="00D715B7"/>
    <w:rsid w:val="00D73388"/>
    <w:rsid w:val="00D77E51"/>
    <w:rsid w:val="00D806D4"/>
    <w:rsid w:val="00D81E07"/>
    <w:rsid w:val="00D82D1A"/>
    <w:rsid w:val="00D92781"/>
    <w:rsid w:val="00D932E4"/>
    <w:rsid w:val="00D94D30"/>
    <w:rsid w:val="00D963B8"/>
    <w:rsid w:val="00DA48A5"/>
    <w:rsid w:val="00DB13D5"/>
    <w:rsid w:val="00DB23A2"/>
    <w:rsid w:val="00DB2B00"/>
    <w:rsid w:val="00DC241B"/>
    <w:rsid w:val="00DC7434"/>
    <w:rsid w:val="00DC77A6"/>
    <w:rsid w:val="00DD2BE0"/>
    <w:rsid w:val="00DD41D9"/>
    <w:rsid w:val="00DD4E17"/>
    <w:rsid w:val="00DD5048"/>
    <w:rsid w:val="00DD6131"/>
    <w:rsid w:val="00DD69E8"/>
    <w:rsid w:val="00DD6D96"/>
    <w:rsid w:val="00DE10DF"/>
    <w:rsid w:val="00DE3352"/>
    <w:rsid w:val="00DF25E5"/>
    <w:rsid w:val="00DF41D6"/>
    <w:rsid w:val="00DF4DE8"/>
    <w:rsid w:val="00E02972"/>
    <w:rsid w:val="00E03E62"/>
    <w:rsid w:val="00E12809"/>
    <w:rsid w:val="00E12FC1"/>
    <w:rsid w:val="00E13456"/>
    <w:rsid w:val="00E134AA"/>
    <w:rsid w:val="00E16D5E"/>
    <w:rsid w:val="00E202DB"/>
    <w:rsid w:val="00E22A97"/>
    <w:rsid w:val="00E235C6"/>
    <w:rsid w:val="00E23E84"/>
    <w:rsid w:val="00E2693B"/>
    <w:rsid w:val="00E26B30"/>
    <w:rsid w:val="00E357EE"/>
    <w:rsid w:val="00E36667"/>
    <w:rsid w:val="00E36F8C"/>
    <w:rsid w:val="00E3711D"/>
    <w:rsid w:val="00E37C72"/>
    <w:rsid w:val="00E420E3"/>
    <w:rsid w:val="00E51B5B"/>
    <w:rsid w:val="00E57E24"/>
    <w:rsid w:val="00E61506"/>
    <w:rsid w:val="00E615C9"/>
    <w:rsid w:val="00E65870"/>
    <w:rsid w:val="00E66FF2"/>
    <w:rsid w:val="00E6790F"/>
    <w:rsid w:val="00E70CA1"/>
    <w:rsid w:val="00E71102"/>
    <w:rsid w:val="00E73303"/>
    <w:rsid w:val="00E757AE"/>
    <w:rsid w:val="00E76643"/>
    <w:rsid w:val="00E80085"/>
    <w:rsid w:val="00E83DF8"/>
    <w:rsid w:val="00E83F2C"/>
    <w:rsid w:val="00E903DB"/>
    <w:rsid w:val="00E90C4B"/>
    <w:rsid w:val="00E9277E"/>
    <w:rsid w:val="00E9723E"/>
    <w:rsid w:val="00EA3B8C"/>
    <w:rsid w:val="00EA44C1"/>
    <w:rsid w:val="00EA66C8"/>
    <w:rsid w:val="00EB3D8F"/>
    <w:rsid w:val="00EB5221"/>
    <w:rsid w:val="00EB7652"/>
    <w:rsid w:val="00EC0A75"/>
    <w:rsid w:val="00EC17A7"/>
    <w:rsid w:val="00EC21A0"/>
    <w:rsid w:val="00EC21C8"/>
    <w:rsid w:val="00EC5AF4"/>
    <w:rsid w:val="00ED2A8A"/>
    <w:rsid w:val="00ED40E8"/>
    <w:rsid w:val="00ED51E6"/>
    <w:rsid w:val="00EE2902"/>
    <w:rsid w:val="00EF6B11"/>
    <w:rsid w:val="00F011C0"/>
    <w:rsid w:val="00F034A6"/>
    <w:rsid w:val="00F04EAE"/>
    <w:rsid w:val="00F052B1"/>
    <w:rsid w:val="00F107A6"/>
    <w:rsid w:val="00F15FD9"/>
    <w:rsid w:val="00F210DC"/>
    <w:rsid w:val="00F26E0A"/>
    <w:rsid w:val="00F302EB"/>
    <w:rsid w:val="00F313A7"/>
    <w:rsid w:val="00F332A3"/>
    <w:rsid w:val="00F34357"/>
    <w:rsid w:val="00F34CCC"/>
    <w:rsid w:val="00F3614F"/>
    <w:rsid w:val="00F36460"/>
    <w:rsid w:val="00F36932"/>
    <w:rsid w:val="00F37D49"/>
    <w:rsid w:val="00F42A32"/>
    <w:rsid w:val="00F4407D"/>
    <w:rsid w:val="00F440AA"/>
    <w:rsid w:val="00F442DE"/>
    <w:rsid w:val="00F44A53"/>
    <w:rsid w:val="00F451A0"/>
    <w:rsid w:val="00F47008"/>
    <w:rsid w:val="00F515F4"/>
    <w:rsid w:val="00F53F1F"/>
    <w:rsid w:val="00F542A9"/>
    <w:rsid w:val="00F562CF"/>
    <w:rsid w:val="00F65C1E"/>
    <w:rsid w:val="00F6727D"/>
    <w:rsid w:val="00F72B1B"/>
    <w:rsid w:val="00F73753"/>
    <w:rsid w:val="00F760BB"/>
    <w:rsid w:val="00F779FE"/>
    <w:rsid w:val="00F77E75"/>
    <w:rsid w:val="00F77E8C"/>
    <w:rsid w:val="00F81B9C"/>
    <w:rsid w:val="00F85F64"/>
    <w:rsid w:val="00F87464"/>
    <w:rsid w:val="00F91DC8"/>
    <w:rsid w:val="00F93E4A"/>
    <w:rsid w:val="00F94B27"/>
    <w:rsid w:val="00F97926"/>
    <w:rsid w:val="00FA0786"/>
    <w:rsid w:val="00FA1678"/>
    <w:rsid w:val="00FA3432"/>
    <w:rsid w:val="00FA3629"/>
    <w:rsid w:val="00FA5814"/>
    <w:rsid w:val="00FA5E77"/>
    <w:rsid w:val="00FB00A8"/>
    <w:rsid w:val="00FB04FE"/>
    <w:rsid w:val="00FB31E1"/>
    <w:rsid w:val="00FB4AE3"/>
    <w:rsid w:val="00FC0372"/>
    <w:rsid w:val="00FC061A"/>
    <w:rsid w:val="00FC0792"/>
    <w:rsid w:val="00FC1BB5"/>
    <w:rsid w:val="00FC2CF3"/>
    <w:rsid w:val="00FC348A"/>
    <w:rsid w:val="00FC4433"/>
    <w:rsid w:val="00FC6341"/>
    <w:rsid w:val="00FD00ED"/>
    <w:rsid w:val="00FD43DD"/>
    <w:rsid w:val="00FD7B9E"/>
    <w:rsid w:val="00FE130B"/>
    <w:rsid w:val="00FE4B9A"/>
    <w:rsid w:val="00FE67B9"/>
    <w:rsid w:val="00FE69D4"/>
    <w:rsid w:val="00FE7715"/>
    <w:rsid w:val="00FE7E3F"/>
    <w:rsid w:val="00FE7FCB"/>
    <w:rsid w:val="00FF0F8E"/>
    <w:rsid w:val="00FF295A"/>
    <w:rsid w:val="00FF48B0"/>
    <w:rsid w:val="00FF616D"/>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9B23AB-46B3-4617-B745-8657331E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link w:val="Heading3Char"/>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link w:val="Heading7Char"/>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uiPriority w:val="99"/>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167681"/>
    <w:rPr>
      <w:lang w:eastAsia="ar-SA"/>
    </w:rPr>
  </w:style>
  <w:style w:type="character" w:customStyle="1" w:styleId="Heading3Char">
    <w:name w:val="Heading 3 Char"/>
    <w:basedOn w:val="DefaultParagraphFont"/>
    <w:link w:val="Heading3"/>
    <w:rsid w:val="00E71102"/>
    <w:rPr>
      <w:rFonts w:cs="Simplified Arabic"/>
      <w:b/>
      <w:bCs/>
      <w:sz w:val="22"/>
      <w:szCs w:val="22"/>
      <w:lang w:eastAsia="ar-SA"/>
    </w:rPr>
  </w:style>
  <w:style w:type="character" w:customStyle="1" w:styleId="Heading7Char">
    <w:name w:val="Heading 7 Char"/>
    <w:basedOn w:val="DefaultParagraphFont"/>
    <w:link w:val="Heading7"/>
    <w:rsid w:val="00E71102"/>
    <w:rPr>
      <w:rFonts w:cs="Simplified Arabic"/>
      <w:b/>
      <w:bCs/>
      <w:sz w:val="22"/>
      <w:szCs w:val="22"/>
      <w:lang w:eastAsia="ar-SA"/>
    </w:rPr>
  </w:style>
  <w:style w:type="character" w:customStyle="1" w:styleId="BodyTextChar">
    <w:name w:val="Body Text Char"/>
    <w:basedOn w:val="DefaultParagraphFont"/>
    <w:link w:val="BodyText"/>
    <w:semiHidden/>
    <w:rsid w:val="00E71102"/>
    <w:rPr>
      <w:rFonts w:cs="Simplified Arabic"/>
      <w:snapToGrid w:val="0"/>
    </w:rPr>
  </w:style>
  <w:style w:type="character" w:customStyle="1" w:styleId="jlqj4b">
    <w:name w:val="jlqj4b"/>
    <w:basedOn w:val="DefaultParagraphFont"/>
    <w:rsid w:val="00443861"/>
  </w:style>
  <w:style w:type="character" w:customStyle="1" w:styleId="fszzbb">
    <w:name w:val="fszzbb"/>
    <w:basedOn w:val="DefaultParagraphFont"/>
    <w:rsid w:val="00443861"/>
  </w:style>
  <w:style w:type="paragraph" w:styleId="ListParagraph">
    <w:name w:val="List Paragraph"/>
    <w:basedOn w:val="Normal"/>
    <w:uiPriority w:val="34"/>
    <w:qFormat/>
    <w:rsid w:val="00443861"/>
    <w:pPr>
      <w:ind w:left="720"/>
      <w:contextualSpacing/>
    </w:pPr>
  </w:style>
  <w:style w:type="table" w:styleId="LightShading-Accent4">
    <w:name w:val="Light Shading Accent 4"/>
    <w:basedOn w:val="TableNormal"/>
    <w:uiPriority w:val="60"/>
    <w:rsid w:val="00E3711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670">
      <w:bodyDiv w:val="1"/>
      <w:marLeft w:val="0"/>
      <w:marRight w:val="0"/>
      <w:marTop w:val="0"/>
      <w:marBottom w:val="0"/>
      <w:divBdr>
        <w:top w:val="none" w:sz="0" w:space="0" w:color="auto"/>
        <w:left w:val="none" w:sz="0" w:space="0" w:color="auto"/>
        <w:bottom w:val="none" w:sz="0" w:space="0" w:color="auto"/>
        <w:right w:val="none" w:sz="0" w:space="0" w:color="auto"/>
      </w:divBdr>
    </w:div>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535702651">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705446958">
      <w:bodyDiv w:val="1"/>
      <w:marLeft w:val="0"/>
      <w:marRight w:val="0"/>
      <w:marTop w:val="0"/>
      <w:marBottom w:val="0"/>
      <w:divBdr>
        <w:top w:val="none" w:sz="0" w:space="0" w:color="auto"/>
        <w:left w:val="none" w:sz="0" w:space="0" w:color="auto"/>
        <w:bottom w:val="none" w:sz="0" w:space="0" w:color="auto"/>
        <w:right w:val="none" w:sz="0" w:space="0" w:color="auto"/>
      </w:divBdr>
    </w:div>
    <w:div w:id="705983326">
      <w:bodyDiv w:val="1"/>
      <w:marLeft w:val="0"/>
      <w:marRight w:val="0"/>
      <w:marTop w:val="0"/>
      <w:marBottom w:val="0"/>
      <w:divBdr>
        <w:top w:val="none" w:sz="0" w:space="0" w:color="auto"/>
        <w:left w:val="none" w:sz="0" w:space="0" w:color="auto"/>
        <w:bottom w:val="none" w:sz="0" w:space="0" w:color="auto"/>
        <w:right w:val="none" w:sz="0" w:space="0" w:color="auto"/>
      </w:divBdr>
    </w:div>
    <w:div w:id="807817490">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369526532">
      <w:bodyDiv w:val="1"/>
      <w:marLeft w:val="0"/>
      <w:marRight w:val="0"/>
      <w:marTop w:val="0"/>
      <w:marBottom w:val="0"/>
      <w:divBdr>
        <w:top w:val="none" w:sz="0" w:space="0" w:color="auto"/>
        <w:left w:val="none" w:sz="0" w:space="0" w:color="auto"/>
        <w:bottom w:val="none" w:sz="0" w:space="0" w:color="auto"/>
        <w:right w:val="none" w:sz="0" w:space="0" w:color="auto"/>
      </w:divBdr>
    </w:div>
    <w:div w:id="1711145722">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1906068905">
      <w:bodyDiv w:val="1"/>
      <w:marLeft w:val="0"/>
      <w:marRight w:val="0"/>
      <w:marTop w:val="0"/>
      <w:marBottom w:val="0"/>
      <w:divBdr>
        <w:top w:val="none" w:sz="0" w:space="0" w:color="auto"/>
        <w:left w:val="none" w:sz="0" w:space="0" w:color="auto"/>
        <w:bottom w:val="none" w:sz="0" w:space="0" w:color="auto"/>
        <w:right w:val="none" w:sz="0" w:space="0" w:color="auto"/>
      </w:divBdr>
      <w:divsChild>
        <w:div w:id="230702601">
          <w:marLeft w:val="0"/>
          <w:marRight w:val="0"/>
          <w:marTop w:val="0"/>
          <w:marBottom w:val="0"/>
          <w:divBdr>
            <w:top w:val="none" w:sz="0" w:space="0" w:color="auto"/>
            <w:left w:val="none" w:sz="0" w:space="0" w:color="auto"/>
            <w:bottom w:val="none" w:sz="0" w:space="0" w:color="auto"/>
            <w:right w:val="none" w:sz="0" w:space="0" w:color="auto"/>
          </w:divBdr>
          <w:divsChild>
            <w:div w:id="1932470952">
              <w:marLeft w:val="0"/>
              <w:marRight w:val="0"/>
              <w:marTop w:val="0"/>
              <w:marBottom w:val="0"/>
              <w:divBdr>
                <w:top w:val="none" w:sz="0" w:space="0" w:color="auto"/>
                <w:left w:val="none" w:sz="0" w:space="0" w:color="auto"/>
                <w:bottom w:val="none" w:sz="0" w:space="0" w:color="auto"/>
                <w:right w:val="none" w:sz="0" w:space="0" w:color="auto"/>
              </w:divBdr>
              <w:divsChild>
                <w:div w:id="2005618660">
                  <w:marLeft w:val="0"/>
                  <w:marRight w:val="0"/>
                  <w:marTop w:val="0"/>
                  <w:marBottom w:val="0"/>
                  <w:divBdr>
                    <w:top w:val="none" w:sz="0" w:space="0" w:color="auto"/>
                    <w:left w:val="none" w:sz="0" w:space="0" w:color="auto"/>
                    <w:bottom w:val="none" w:sz="0" w:space="0" w:color="auto"/>
                    <w:right w:val="none" w:sz="0" w:space="0" w:color="auto"/>
                  </w:divBdr>
                  <w:divsChild>
                    <w:div w:id="500314899">
                      <w:marLeft w:val="0"/>
                      <w:marRight w:val="0"/>
                      <w:marTop w:val="0"/>
                      <w:marBottom w:val="0"/>
                      <w:divBdr>
                        <w:top w:val="none" w:sz="0" w:space="0" w:color="auto"/>
                        <w:left w:val="none" w:sz="0" w:space="0" w:color="auto"/>
                        <w:bottom w:val="none" w:sz="0" w:space="0" w:color="auto"/>
                        <w:right w:val="none" w:sz="0" w:space="0" w:color="auto"/>
                      </w:divBdr>
                      <w:divsChild>
                        <w:div w:id="1558738222">
                          <w:marLeft w:val="0"/>
                          <w:marRight w:val="0"/>
                          <w:marTop w:val="0"/>
                          <w:marBottom w:val="0"/>
                          <w:divBdr>
                            <w:top w:val="none" w:sz="0" w:space="0" w:color="auto"/>
                            <w:left w:val="none" w:sz="0" w:space="0" w:color="auto"/>
                            <w:bottom w:val="none" w:sz="0" w:space="0" w:color="auto"/>
                            <w:right w:val="none" w:sz="0" w:space="0" w:color="auto"/>
                          </w:divBdr>
                          <w:divsChild>
                            <w:div w:id="1311986296">
                              <w:marLeft w:val="0"/>
                              <w:marRight w:val="0"/>
                              <w:marTop w:val="0"/>
                              <w:marBottom w:val="0"/>
                              <w:divBdr>
                                <w:top w:val="none" w:sz="0" w:space="0" w:color="auto"/>
                                <w:left w:val="none" w:sz="0" w:space="0" w:color="auto"/>
                                <w:bottom w:val="none" w:sz="0" w:space="0" w:color="auto"/>
                                <w:right w:val="none" w:sz="0" w:space="0" w:color="auto"/>
                              </w:divBdr>
                              <w:divsChild>
                                <w:div w:id="1933973908">
                                  <w:marLeft w:val="0"/>
                                  <w:marRight w:val="0"/>
                                  <w:marTop w:val="0"/>
                                  <w:marBottom w:val="0"/>
                                  <w:divBdr>
                                    <w:top w:val="none" w:sz="0" w:space="0" w:color="auto"/>
                                    <w:left w:val="none" w:sz="0" w:space="0" w:color="auto"/>
                                    <w:bottom w:val="none" w:sz="0" w:space="0" w:color="auto"/>
                                    <w:right w:val="none" w:sz="0" w:space="0" w:color="auto"/>
                                  </w:divBdr>
                                  <w:divsChild>
                                    <w:div w:id="79252438">
                                      <w:marLeft w:val="0"/>
                                      <w:marRight w:val="0"/>
                                      <w:marTop w:val="0"/>
                                      <w:marBottom w:val="0"/>
                                      <w:divBdr>
                                        <w:top w:val="none" w:sz="0" w:space="0" w:color="auto"/>
                                        <w:left w:val="none" w:sz="0" w:space="0" w:color="auto"/>
                                        <w:bottom w:val="none" w:sz="0" w:space="0" w:color="auto"/>
                                        <w:right w:val="none" w:sz="0" w:space="0" w:color="auto"/>
                                      </w:divBdr>
                                      <w:divsChild>
                                        <w:div w:id="1546601153">
                                          <w:marLeft w:val="0"/>
                                          <w:marRight w:val="0"/>
                                          <w:marTop w:val="0"/>
                                          <w:marBottom w:val="0"/>
                                          <w:divBdr>
                                            <w:top w:val="none" w:sz="0" w:space="0" w:color="auto"/>
                                            <w:left w:val="none" w:sz="0" w:space="0" w:color="auto"/>
                                            <w:bottom w:val="none" w:sz="0" w:space="0" w:color="auto"/>
                                            <w:right w:val="none" w:sz="0" w:space="0" w:color="auto"/>
                                          </w:divBdr>
                                          <w:divsChild>
                                            <w:div w:id="1665477057">
                                              <w:marLeft w:val="0"/>
                                              <w:marRight w:val="0"/>
                                              <w:marTop w:val="0"/>
                                              <w:marBottom w:val="0"/>
                                              <w:divBdr>
                                                <w:top w:val="none" w:sz="0" w:space="0" w:color="auto"/>
                                                <w:left w:val="none" w:sz="0" w:space="0" w:color="auto"/>
                                                <w:bottom w:val="none" w:sz="0" w:space="0" w:color="auto"/>
                                                <w:right w:val="none" w:sz="0" w:space="0" w:color="auto"/>
                                              </w:divBdr>
                                              <w:divsChild>
                                                <w:div w:id="507059082">
                                                  <w:marLeft w:val="0"/>
                                                  <w:marRight w:val="0"/>
                                                  <w:marTop w:val="0"/>
                                                  <w:marBottom w:val="0"/>
                                                  <w:divBdr>
                                                    <w:top w:val="none" w:sz="0" w:space="0" w:color="auto"/>
                                                    <w:left w:val="none" w:sz="0" w:space="0" w:color="auto"/>
                                                    <w:bottom w:val="single" w:sz="6" w:space="0" w:color="DADCE0"/>
                                                    <w:right w:val="none" w:sz="0" w:space="0" w:color="auto"/>
                                                  </w:divBdr>
                                                  <w:divsChild>
                                                    <w:div w:id="1588005149">
                                                      <w:marLeft w:val="0"/>
                                                      <w:marRight w:val="0"/>
                                                      <w:marTop w:val="0"/>
                                                      <w:marBottom w:val="0"/>
                                                      <w:divBdr>
                                                        <w:top w:val="none" w:sz="0" w:space="0" w:color="auto"/>
                                                        <w:left w:val="none" w:sz="0" w:space="0" w:color="auto"/>
                                                        <w:bottom w:val="none" w:sz="0" w:space="0" w:color="auto"/>
                                                        <w:right w:val="none" w:sz="0" w:space="0" w:color="auto"/>
                                                      </w:divBdr>
                                                      <w:divsChild>
                                                        <w:div w:id="1561744283">
                                                          <w:marLeft w:val="0"/>
                                                          <w:marRight w:val="0"/>
                                                          <w:marTop w:val="0"/>
                                                          <w:marBottom w:val="0"/>
                                                          <w:divBdr>
                                                            <w:top w:val="none" w:sz="0" w:space="0" w:color="auto"/>
                                                            <w:left w:val="none" w:sz="0" w:space="0" w:color="auto"/>
                                                            <w:bottom w:val="none" w:sz="0" w:space="0" w:color="auto"/>
                                                            <w:right w:val="none" w:sz="0" w:space="0" w:color="auto"/>
                                                          </w:divBdr>
                                                        </w:div>
                                                        <w:div w:id="92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7781">
                                                  <w:marLeft w:val="0"/>
                                                  <w:marRight w:val="0"/>
                                                  <w:marTop w:val="0"/>
                                                  <w:marBottom w:val="0"/>
                                                  <w:divBdr>
                                                    <w:top w:val="none" w:sz="0" w:space="0" w:color="auto"/>
                                                    <w:left w:val="none" w:sz="0" w:space="0" w:color="auto"/>
                                                    <w:bottom w:val="single" w:sz="6" w:space="0" w:color="DADCE0"/>
                                                    <w:right w:val="none" w:sz="0" w:space="0" w:color="auto"/>
                                                  </w:divBdr>
                                                  <w:divsChild>
                                                    <w:div w:id="461271759">
                                                      <w:marLeft w:val="0"/>
                                                      <w:marRight w:val="0"/>
                                                      <w:marTop w:val="0"/>
                                                      <w:marBottom w:val="0"/>
                                                      <w:divBdr>
                                                        <w:top w:val="none" w:sz="0" w:space="0" w:color="auto"/>
                                                        <w:left w:val="none" w:sz="0" w:space="0" w:color="auto"/>
                                                        <w:bottom w:val="none" w:sz="0" w:space="0" w:color="auto"/>
                                                        <w:right w:val="none" w:sz="0" w:space="0" w:color="auto"/>
                                                      </w:divBdr>
                                                      <w:divsChild>
                                                        <w:div w:id="257905588">
                                                          <w:marLeft w:val="0"/>
                                                          <w:marRight w:val="0"/>
                                                          <w:marTop w:val="0"/>
                                                          <w:marBottom w:val="0"/>
                                                          <w:divBdr>
                                                            <w:top w:val="none" w:sz="0" w:space="0" w:color="auto"/>
                                                            <w:left w:val="none" w:sz="0" w:space="0" w:color="auto"/>
                                                            <w:bottom w:val="none" w:sz="0" w:space="0" w:color="auto"/>
                                                            <w:right w:val="none" w:sz="0" w:space="0" w:color="auto"/>
                                                          </w:divBdr>
                                                        </w:div>
                                                        <w:div w:id="9470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2">
                                                  <w:marLeft w:val="0"/>
                                                  <w:marRight w:val="0"/>
                                                  <w:marTop w:val="0"/>
                                                  <w:marBottom w:val="0"/>
                                                  <w:divBdr>
                                                    <w:top w:val="none" w:sz="0" w:space="0" w:color="auto"/>
                                                    <w:left w:val="none" w:sz="0" w:space="0" w:color="auto"/>
                                                    <w:bottom w:val="none" w:sz="0" w:space="0" w:color="auto"/>
                                                    <w:right w:val="none" w:sz="0" w:space="0" w:color="auto"/>
                                                  </w:divBdr>
                                                  <w:divsChild>
                                                    <w:div w:id="268195454">
                                                      <w:marLeft w:val="0"/>
                                                      <w:marRight w:val="0"/>
                                                      <w:marTop w:val="0"/>
                                                      <w:marBottom w:val="0"/>
                                                      <w:divBdr>
                                                        <w:top w:val="none" w:sz="0" w:space="0" w:color="auto"/>
                                                        <w:left w:val="none" w:sz="0" w:space="0" w:color="auto"/>
                                                        <w:bottom w:val="none" w:sz="0" w:space="0" w:color="auto"/>
                                                        <w:right w:val="none" w:sz="0" w:space="0" w:color="auto"/>
                                                      </w:divBdr>
                                                      <w:divsChild>
                                                        <w:div w:id="2088528033">
                                                          <w:marLeft w:val="0"/>
                                                          <w:marRight w:val="0"/>
                                                          <w:marTop w:val="0"/>
                                                          <w:marBottom w:val="0"/>
                                                          <w:divBdr>
                                                            <w:top w:val="none" w:sz="0" w:space="0" w:color="auto"/>
                                                            <w:left w:val="none" w:sz="0" w:space="0" w:color="auto"/>
                                                            <w:bottom w:val="none" w:sz="0" w:space="0" w:color="auto"/>
                                                            <w:right w:val="none" w:sz="0" w:space="0" w:color="auto"/>
                                                          </w:divBdr>
                                                        </w:div>
                                                        <w:div w:id="2143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3790">
                                                  <w:marLeft w:val="0"/>
                                                  <w:marRight w:val="0"/>
                                                  <w:marTop w:val="0"/>
                                                  <w:marBottom w:val="0"/>
                                                  <w:divBdr>
                                                    <w:top w:val="none" w:sz="0" w:space="0" w:color="auto"/>
                                                    <w:left w:val="none" w:sz="0" w:space="0" w:color="auto"/>
                                                    <w:bottom w:val="none" w:sz="0" w:space="0" w:color="auto"/>
                                                    <w:right w:val="none" w:sz="0" w:space="0" w:color="auto"/>
                                                  </w:divBdr>
                                                  <w:divsChild>
                                                    <w:div w:id="1891266552">
                                                      <w:marLeft w:val="0"/>
                                                      <w:marRight w:val="0"/>
                                                      <w:marTop w:val="0"/>
                                                      <w:marBottom w:val="0"/>
                                                      <w:divBdr>
                                                        <w:top w:val="none" w:sz="0" w:space="0" w:color="auto"/>
                                                        <w:left w:val="none" w:sz="0" w:space="0" w:color="auto"/>
                                                        <w:bottom w:val="none" w:sz="0" w:space="0" w:color="auto"/>
                                                        <w:right w:val="none" w:sz="0" w:space="0" w:color="auto"/>
                                                      </w:divBdr>
                                                      <w:divsChild>
                                                        <w:div w:id="13313993">
                                                          <w:marLeft w:val="0"/>
                                                          <w:marRight w:val="0"/>
                                                          <w:marTop w:val="0"/>
                                                          <w:marBottom w:val="0"/>
                                                          <w:divBdr>
                                                            <w:top w:val="none" w:sz="0" w:space="0" w:color="auto"/>
                                                            <w:left w:val="none" w:sz="0" w:space="0" w:color="auto"/>
                                                            <w:bottom w:val="none" w:sz="0" w:space="0" w:color="auto"/>
                                                            <w:right w:val="none" w:sz="0" w:space="0" w:color="auto"/>
                                                          </w:divBdr>
                                                          <w:divsChild>
                                                            <w:div w:id="1583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6393">
                                              <w:marLeft w:val="0"/>
                                              <w:marRight w:val="0"/>
                                              <w:marTop w:val="0"/>
                                              <w:marBottom w:val="0"/>
                                              <w:divBdr>
                                                <w:top w:val="none" w:sz="0" w:space="0" w:color="auto"/>
                                                <w:left w:val="none" w:sz="0" w:space="0" w:color="auto"/>
                                                <w:bottom w:val="none" w:sz="0" w:space="0" w:color="auto"/>
                                                <w:right w:val="none" w:sz="0" w:space="0" w:color="auto"/>
                                              </w:divBdr>
                                              <w:divsChild>
                                                <w:div w:id="307980419">
                                                  <w:marLeft w:val="0"/>
                                                  <w:marRight w:val="0"/>
                                                  <w:marTop w:val="0"/>
                                                  <w:marBottom w:val="0"/>
                                                  <w:divBdr>
                                                    <w:top w:val="none" w:sz="0" w:space="0" w:color="auto"/>
                                                    <w:left w:val="none" w:sz="0" w:space="0" w:color="auto"/>
                                                    <w:bottom w:val="none" w:sz="0" w:space="0" w:color="auto"/>
                                                    <w:right w:val="none" w:sz="0" w:space="0" w:color="auto"/>
                                                  </w:divBdr>
                                                  <w:divsChild>
                                                    <w:div w:id="1493133423">
                                                      <w:marLeft w:val="0"/>
                                                      <w:marRight w:val="0"/>
                                                      <w:marTop w:val="0"/>
                                                      <w:marBottom w:val="0"/>
                                                      <w:divBdr>
                                                        <w:top w:val="none" w:sz="0" w:space="0" w:color="auto"/>
                                                        <w:left w:val="none" w:sz="0" w:space="0" w:color="auto"/>
                                                        <w:bottom w:val="none" w:sz="0" w:space="0" w:color="auto"/>
                                                        <w:right w:val="none" w:sz="0" w:space="0" w:color="auto"/>
                                                      </w:divBdr>
                                                      <w:divsChild>
                                                        <w:div w:id="1601716367">
                                                          <w:marLeft w:val="0"/>
                                                          <w:marRight w:val="0"/>
                                                          <w:marTop w:val="0"/>
                                                          <w:marBottom w:val="0"/>
                                                          <w:divBdr>
                                                            <w:top w:val="none" w:sz="0" w:space="0" w:color="auto"/>
                                                            <w:left w:val="none" w:sz="0" w:space="0" w:color="auto"/>
                                                            <w:bottom w:val="none" w:sz="0" w:space="0" w:color="auto"/>
                                                            <w:right w:val="none" w:sz="0" w:space="0" w:color="auto"/>
                                                          </w:divBdr>
                                                        </w:div>
                                                        <w:div w:id="1447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8889">
                                                  <w:marLeft w:val="0"/>
                                                  <w:marRight w:val="0"/>
                                                  <w:marTop w:val="0"/>
                                                  <w:marBottom w:val="0"/>
                                                  <w:divBdr>
                                                    <w:top w:val="none" w:sz="0" w:space="0" w:color="auto"/>
                                                    <w:left w:val="none" w:sz="0" w:space="0" w:color="auto"/>
                                                    <w:bottom w:val="none" w:sz="0" w:space="0" w:color="auto"/>
                                                    <w:right w:val="none" w:sz="0" w:space="0" w:color="auto"/>
                                                  </w:divBdr>
                                                  <w:divsChild>
                                                    <w:div w:id="1250890475">
                                                      <w:marLeft w:val="0"/>
                                                      <w:marRight w:val="0"/>
                                                      <w:marTop w:val="0"/>
                                                      <w:marBottom w:val="0"/>
                                                      <w:divBdr>
                                                        <w:top w:val="none" w:sz="0" w:space="0" w:color="auto"/>
                                                        <w:left w:val="none" w:sz="0" w:space="0" w:color="auto"/>
                                                        <w:bottom w:val="none" w:sz="0" w:space="0" w:color="auto"/>
                                                        <w:right w:val="none" w:sz="0" w:space="0" w:color="auto"/>
                                                      </w:divBdr>
                                                      <w:divsChild>
                                                        <w:div w:id="632978102">
                                                          <w:marLeft w:val="0"/>
                                                          <w:marRight w:val="0"/>
                                                          <w:marTop w:val="0"/>
                                                          <w:marBottom w:val="0"/>
                                                          <w:divBdr>
                                                            <w:top w:val="none" w:sz="0" w:space="0" w:color="auto"/>
                                                            <w:left w:val="none" w:sz="0" w:space="0" w:color="auto"/>
                                                            <w:bottom w:val="none" w:sz="0" w:space="0" w:color="auto"/>
                                                            <w:right w:val="none" w:sz="0" w:space="0" w:color="auto"/>
                                                          </w:divBdr>
                                                          <w:divsChild>
                                                            <w:div w:id="280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2658">
                                              <w:marLeft w:val="0"/>
                                              <w:marRight w:val="0"/>
                                              <w:marTop w:val="0"/>
                                              <w:marBottom w:val="0"/>
                                              <w:divBdr>
                                                <w:top w:val="none" w:sz="0" w:space="0" w:color="auto"/>
                                                <w:left w:val="none" w:sz="0" w:space="0" w:color="auto"/>
                                                <w:bottom w:val="none" w:sz="0" w:space="0" w:color="auto"/>
                                                <w:right w:val="none" w:sz="0" w:space="0" w:color="auto"/>
                                              </w:divBdr>
                                              <w:divsChild>
                                                <w:div w:id="854806519">
                                                  <w:marLeft w:val="0"/>
                                                  <w:marRight w:val="0"/>
                                                  <w:marTop w:val="0"/>
                                                  <w:marBottom w:val="0"/>
                                                  <w:divBdr>
                                                    <w:top w:val="none" w:sz="0" w:space="0" w:color="auto"/>
                                                    <w:left w:val="none" w:sz="0" w:space="0" w:color="auto"/>
                                                    <w:bottom w:val="single" w:sz="6" w:space="0" w:color="DADCE0"/>
                                                    <w:right w:val="none" w:sz="0" w:space="0" w:color="auto"/>
                                                  </w:divBdr>
                                                  <w:divsChild>
                                                    <w:div w:id="541985504">
                                                      <w:marLeft w:val="0"/>
                                                      <w:marRight w:val="0"/>
                                                      <w:marTop w:val="0"/>
                                                      <w:marBottom w:val="0"/>
                                                      <w:divBdr>
                                                        <w:top w:val="none" w:sz="0" w:space="0" w:color="auto"/>
                                                        <w:left w:val="none" w:sz="0" w:space="0" w:color="auto"/>
                                                        <w:bottom w:val="none" w:sz="0" w:space="0" w:color="auto"/>
                                                        <w:right w:val="none" w:sz="0" w:space="0" w:color="auto"/>
                                                      </w:divBdr>
                                                      <w:divsChild>
                                                        <w:div w:id="413671999">
                                                          <w:marLeft w:val="0"/>
                                                          <w:marRight w:val="0"/>
                                                          <w:marTop w:val="0"/>
                                                          <w:marBottom w:val="0"/>
                                                          <w:divBdr>
                                                            <w:top w:val="none" w:sz="0" w:space="0" w:color="auto"/>
                                                            <w:left w:val="none" w:sz="0" w:space="0" w:color="auto"/>
                                                            <w:bottom w:val="none" w:sz="0" w:space="0" w:color="auto"/>
                                                            <w:right w:val="none" w:sz="0" w:space="0" w:color="auto"/>
                                                          </w:divBdr>
                                                        </w:div>
                                                        <w:div w:id="1429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8377">
                                                  <w:marLeft w:val="0"/>
                                                  <w:marRight w:val="0"/>
                                                  <w:marTop w:val="0"/>
                                                  <w:marBottom w:val="0"/>
                                                  <w:divBdr>
                                                    <w:top w:val="none" w:sz="0" w:space="0" w:color="auto"/>
                                                    <w:left w:val="none" w:sz="0" w:space="0" w:color="auto"/>
                                                    <w:bottom w:val="single" w:sz="6" w:space="0" w:color="DADCE0"/>
                                                    <w:right w:val="none" w:sz="0" w:space="0" w:color="auto"/>
                                                  </w:divBdr>
                                                  <w:divsChild>
                                                    <w:div w:id="1969621126">
                                                      <w:marLeft w:val="0"/>
                                                      <w:marRight w:val="0"/>
                                                      <w:marTop w:val="0"/>
                                                      <w:marBottom w:val="0"/>
                                                      <w:divBdr>
                                                        <w:top w:val="none" w:sz="0" w:space="0" w:color="auto"/>
                                                        <w:left w:val="none" w:sz="0" w:space="0" w:color="auto"/>
                                                        <w:bottom w:val="none" w:sz="0" w:space="0" w:color="auto"/>
                                                        <w:right w:val="none" w:sz="0" w:space="0" w:color="auto"/>
                                                      </w:divBdr>
                                                      <w:divsChild>
                                                        <w:div w:id="1160006223">
                                                          <w:marLeft w:val="0"/>
                                                          <w:marRight w:val="0"/>
                                                          <w:marTop w:val="0"/>
                                                          <w:marBottom w:val="0"/>
                                                          <w:divBdr>
                                                            <w:top w:val="none" w:sz="0" w:space="0" w:color="auto"/>
                                                            <w:left w:val="none" w:sz="0" w:space="0" w:color="auto"/>
                                                            <w:bottom w:val="none" w:sz="0" w:space="0" w:color="auto"/>
                                                            <w:right w:val="none" w:sz="0" w:space="0" w:color="auto"/>
                                                          </w:divBdr>
                                                        </w:div>
                                                        <w:div w:id="13961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016">
                                                  <w:marLeft w:val="0"/>
                                                  <w:marRight w:val="0"/>
                                                  <w:marTop w:val="0"/>
                                                  <w:marBottom w:val="0"/>
                                                  <w:divBdr>
                                                    <w:top w:val="none" w:sz="0" w:space="0" w:color="auto"/>
                                                    <w:left w:val="none" w:sz="0" w:space="0" w:color="auto"/>
                                                    <w:bottom w:val="none" w:sz="0" w:space="0" w:color="auto"/>
                                                    <w:right w:val="none" w:sz="0" w:space="0" w:color="auto"/>
                                                  </w:divBdr>
                                                  <w:divsChild>
                                                    <w:div w:id="1855656209">
                                                      <w:marLeft w:val="0"/>
                                                      <w:marRight w:val="0"/>
                                                      <w:marTop w:val="0"/>
                                                      <w:marBottom w:val="0"/>
                                                      <w:divBdr>
                                                        <w:top w:val="none" w:sz="0" w:space="0" w:color="auto"/>
                                                        <w:left w:val="none" w:sz="0" w:space="0" w:color="auto"/>
                                                        <w:bottom w:val="none" w:sz="0" w:space="0" w:color="auto"/>
                                                        <w:right w:val="none" w:sz="0" w:space="0" w:color="auto"/>
                                                      </w:divBdr>
                                                      <w:divsChild>
                                                        <w:div w:id="202448060">
                                                          <w:marLeft w:val="0"/>
                                                          <w:marRight w:val="0"/>
                                                          <w:marTop w:val="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2905">
                                                  <w:marLeft w:val="0"/>
                                                  <w:marRight w:val="0"/>
                                                  <w:marTop w:val="0"/>
                                                  <w:marBottom w:val="0"/>
                                                  <w:divBdr>
                                                    <w:top w:val="none" w:sz="0" w:space="0" w:color="auto"/>
                                                    <w:left w:val="none" w:sz="0" w:space="0" w:color="auto"/>
                                                    <w:bottom w:val="none" w:sz="0" w:space="0" w:color="auto"/>
                                                    <w:right w:val="none" w:sz="0" w:space="0" w:color="auto"/>
                                                  </w:divBdr>
                                                  <w:divsChild>
                                                    <w:div w:id="75829203">
                                                      <w:marLeft w:val="0"/>
                                                      <w:marRight w:val="0"/>
                                                      <w:marTop w:val="0"/>
                                                      <w:marBottom w:val="0"/>
                                                      <w:divBdr>
                                                        <w:top w:val="none" w:sz="0" w:space="0" w:color="auto"/>
                                                        <w:left w:val="none" w:sz="0" w:space="0" w:color="auto"/>
                                                        <w:bottom w:val="none" w:sz="0" w:space="0" w:color="auto"/>
                                                        <w:right w:val="none" w:sz="0" w:space="0" w:color="auto"/>
                                                      </w:divBdr>
                                                      <w:divsChild>
                                                        <w:div w:id="562063948">
                                                          <w:marLeft w:val="0"/>
                                                          <w:marRight w:val="0"/>
                                                          <w:marTop w:val="0"/>
                                                          <w:marBottom w:val="0"/>
                                                          <w:divBdr>
                                                            <w:top w:val="none" w:sz="0" w:space="0" w:color="auto"/>
                                                            <w:left w:val="none" w:sz="0" w:space="0" w:color="auto"/>
                                                            <w:bottom w:val="none" w:sz="0" w:space="0" w:color="auto"/>
                                                            <w:right w:val="none" w:sz="0" w:space="0" w:color="auto"/>
                                                          </w:divBdr>
                                                          <w:divsChild>
                                                            <w:div w:id="1548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2030">
                                              <w:marLeft w:val="0"/>
                                              <w:marRight w:val="0"/>
                                              <w:marTop w:val="0"/>
                                              <w:marBottom w:val="0"/>
                                              <w:divBdr>
                                                <w:top w:val="none" w:sz="0" w:space="0" w:color="auto"/>
                                                <w:left w:val="none" w:sz="0" w:space="0" w:color="auto"/>
                                                <w:bottom w:val="none" w:sz="0" w:space="0" w:color="auto"/>
                                                <w:right w:val="none" w:sz="0" w:space="0" w:color="auto"/>
                                              </w:divBdr>
                                              <w:divsChild>
                                                <w:div w:id="689994111">
                                                  <w:marLeft w:val="0"/>
                                                  <w:marRight w:val="0"/>
                                                  <w:marTop w:val="0"/>
                                                  <w:marBottom w:val="0"/>
                                                  <w:divBdr>
                                                    <w:top w:val="none" w:sz="0" w:space="0" w:color="auto"/>
                                                    <w:left w:val="none" w:sz="0" w:space="0" w:color="auto"/>
                                                    <w:bottom w:val="single" w:sz="6" w:space="0" w:color="DADCE0"/>
                                                    <w:right w:val="none" w:sz="0" w:space="0" w:color="auto"/>
                                                  </w:divBdr>
                                                  <w:divsChild>
                                                    <w:div w:id="1303920475">
                                                      <w:marLeft w:val="0"/>
                                                      <w:marRight w:val="0"/>
                                                      <w:marTop w:val="0"/>
                                                      <w:marBottom w:val="0"/>
                                                      <w:divBdr>
                                                        <w:top w:val="none" w:sz="0" w:space="0" w:color="auto"/>
                                                        <w:left w:val="none" w:sz="0" w:space="0" w:color="auto"/>
                                                        <w:bottom w:val="none" w:sz="0" w:space="0" w:color="auto"/>
                                                        <w:right w:val="none" w:sz="0" w:space="0" w:color="auto"/>
                                                      </w:divBdr>
                                                      <w:divsChild>
                                                        <w:div w:id="16855588">
                                                          <w:marLeft w:val="0"/>
                                                          <w:marRight w:val="0"/>
                                                          <w:marTop w:val="0"/>
                                                          <w:marBottom w:val="0"/>
                                                          <w:divBdr>
                                                            <w:top w:val="none" w:sz="0" w:space="0" w:color="auto"/>
                                                            <w:left w:val="none" w:sz="0" w:space="0" w:color="auto"/>
                                                            <w:bottom w:val="none" w:sz="0" w:space="0" w:color="auto"/>
                                                            <w:right w:val="none" w:sz="0" w:space="0" w:color="auto"/>
                                                          </w:divBdr>
                                                        </w:div>
                                                        <w:div w:id="5816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4460">
                                                  <w:marLeft w:val="0"/>
                                                  <w:marRight w:val="0"/>
                                                  <w:marTop w:val="0"/>
                                                  <w:marBottom w:val="0"/>
                                                  <w:divBdr>
                                                    <w:top w:val="none" w:sz="0" w:space="0" w:color="auto"/>
                                                    <w:left w:val="none" w:sz="0" w:space="0" w:color="auto"/>
                                                    <w:bottom w:val="single" w:sz="6" w:space="0" w:color="DADCE0"/>
                                                    <w:right w:val="none" w:sz="0" w:space="0" w:color="auto"/>
                                                  </w:divBdr>
                                                  <w:divsChild>
                                                    <w:div w:id="1115707722">
                                                      <w:marLeft w:val="0"/>
                                                      <w:marRight w:val="0"/>
                                                      <w:marTop w:val="0"/>
                                                      <w:marBottom w:val="0"/>
                                                      <w:divBdr>
                                                        <w:top w:val="none" w:sz="0" w:space="0" w:color="auto"/>
                                                        <w:left w:val="none" w:sz="0" w:space="0" w:color="auto"/>
                                                        <w:bottom w:val="none" w:sz="0" w:space="0" w:color="auto"/>
                                                        <w:right w:val="none" w:sz="0" w:space="0" w:color="auto"/>
                                                      </w:divBdr>
                                                      <w:divsChild>
                                                        <w:div w:id="443767427">
                                                          <w:marLeft w:val="0"/>
                                                          <w:marRight w:val="0"/>
                                                          <w:marTop w:val="0"/>
                                                          <w:marBottom w:val="0"/>
                                                          <w:divBdr>
                                                            <w:top w:val="none" w:sz="0" w:space="0" w:color="auto"/>
                                                            <w:left w:val="none" w:sz="0" w:space="0" w:color="auto"/>
                                                            <w:bottom w:val="none" w:sz="0" w:space="0" w:color="auto"/>
                                                            <w:right w:val="none" w:sz="0" w:space="0" w:color="auto"/>
                                                          </w:divBdr>
                                                        </w:div>
                                                        <w:div w:id="88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373">
                                                  <w:marLeft w:val="0"/>
                                                  <w:marRight w:val="0"/>
                                                  <w:marTop w:val="0"/>
                                                  <w:marBottom w:val="0"/>
                                                  <w:divBdr>
                                                    <w:top w:val="none" w:sz="0" w:space="0" w:color="auto"/>
                                                    <w:left w:val="none" w:sz="0" w:space="0" w:color="auto"/>
                                                    <w:bottom w:val="none" w:sz="0" w:space="0" w:color="auto"/>
                                                    <w:right w:val="none" w:sz="0" w:space="0" w:color="auto"/>
                                                  </w:divBdr>
                                                  <w:divsChild>
                                                    <w:div w:id="714700646">
                                                      <w:marLeft w:val="0"/>
                                                      <w:marRight w:val="0"/>
                                                      <w:marTop w:val="0"/>
                                                      <w:marBottom w:val="0"/>
                                                      <w:divBdr>
                                                        <w:top w:val="none" w:sz="0" w:space="0" w:color="auto"/>
                                                        <w:left w:val="none" w:sz="0" w:space="0" w:color="auto"/>
                                                        <w:bottom w:val="none" w:sz="0" w:space="0" w:color="auto"/>
                                                        <w:right w:val="none" w:sz="0" w:space="0" w:color="auto"/>
                                                      </w:divBdr>
                                                      <w:divsChild>
                                                        <w:div w:id="1627540932">
                                                          <w:marLeft w:val="0"/>
                                                          <w:marRight w:val="0"/>
                                                          <w:marTop w:val="0"/>
                                                          <w:marBottom w:val="0"/>
                                                          <w:divBdr>
                                                            <w:top w:val="none" w:sz="0" w:space="0" w:color="auto"/>
                                                            <w:left w:val="none" w:sz="0" w:space="0" w:color="auto"/>
                                                            <w:bottom w:val="none" w:sz="0" w:space="0" w:color="auto"/>
                                                            <w:right w:val="none" w:sz="0" w:space="0" w:color="auto"/>
                                                          </w:divBdr>
                                                        </w:div>
                                                        <w:div w:id="18665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521">
                                                  <w:marLeft w:val="0"/>
                                                  <w:marRight w:val="0"/>
                                                  <w:marTop w:val="0"/>
                                                  <w:marBottom w:val="0"/>
                                                  <w:divBdr>
                                                    <w:top w:val="none" w:sz="0" w:space="0" w:color="auto"/>
                                                    <w:left w:val="none" w:sz="0" w:space="0" w:color="auto"/>
                                                    <w:bottom w:val="none" w:sz="0" w:space="0" w:color="auto"/>
                                                    <w:right w:val="none" w:sz="0" w:space="0" w:color="auto"/>
                                                  </w:divBdr>
                                                  <w:divsChild>
                                                    <w:div w:id="1560090554">
                                                      <w:marLeft w:val="0"/>
                                                      <w:marRight w:val="0"/>
                                                      <w:marTop w:val="0"/>
                                                      <w:marBottom w:val="0"/>
                                                      <w:divBdr>
                                                        <w:top w:val="none" w:sz="0" w:space="0" w:color="auto"/>
                                                        <w:left w:val="none" w:sz="0" w:space="0" w:color="auto"/>
                                                        <w:bottom w:val="none" w:sz="0" w:space="0" w:color="auto"/>
                                                        <w:right w:val="none" w:sz="0" w:space="0" w:color="auto"/>
                                                      </w:divBdr>
                                                      <w:divsChild>
                                                        <w:div w:id="979384550">
                                                          <w:marLeft w:val="0"/>
                                                          <w:marRight w:val="0"/>
                                                          <w:marTop w:val="0"/>
                                                          <w:marBottom w:val="0"/>
                                                          <w:divBdr>
                                                            <w:top w:val="none" w:sz="0" w:space="0" w:color="auto"/>
                                                            <w:left w:val="none" w:sz="0" w:space="0" w:color="auto"/>
                                                            <w:bottom w:val="none" w:sz="0" w:space="0" w:color="auto"/>
                                                            <w:right w:val="none" w:sz="0" w:space="0" w:color="auto"/>
                                                          </w:divBdr>
                                                          <w:divsChild>
                                                            <w:div w:id="15939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manualLayout>
          <c:layoutTarget val="inner"/>
          <c:xMode val="edge"/>
          <c:yMode val="edge"/>
          <c:x val="3.4323664813463938E-3"/>
          <c:y val="0.10184652028628595"/>
          <c:w val="0.85920857336922363"/>
          <c:h val="0.71280940360923828"/>
        </c:manualLayout>
      </c:layout>
      <c:barChart>
        <c:barDir val="col"/>
        <c:grouping val="clustered"/>
        <c:varyColors val="0"/>
        <c:ser>
          <c:idx val="0"/>
          <c:order val="0"/>
          <c:tx>
            <c:strRef>
              <c:f>Sheet1!$B$1</c:f>
              <c:strCache>
                <c:ptCount val="1"/>
                <c:pt idx="0">
                  <c:v>2023</c:v>
                </c:pt>
              </c:strCache>
            </c:strRef>
          </c:tx>
          <c:invertIfNegative val="0"/>
          <c:dPt>
            <c:idx val="0"/>
            <c:invertIfNegative val="0"/>
            <c:bubble3D val="0"/>
            <c:spPr>
              <a:solidFill>
                <a:schemeClr val="bg2">
                  <a:lumMod val="10000"/>
                </a:schemeClr>
              </a:solidFill>
            </c:spPr>
            <c:extLst>
              <c:ext xmlns:c16="http://schemas.microsoft.com/office/drawing/2014/chart" uri="{C3380CC4-5D6E-409C-BE32-E72D297353CC}">
                <c16:uniqueId val="{00000003-2C30-44AB-9981-1381CC14C982}"/>
              </c:ext>
            </c:extLst>
          </c:dPt>
          <c:dPt>
            <c:idx val="1"/>
            <c:invertIfNegative val="0"/>
            <c:bubble3D val="0"/>
            <c:spPr>
              <a:solidFill>
                <a:schemeClr val="bg2">
                  <a:lumMod val="50000"/>
                </a:schemeClr>
              </a:solidFill>
            </c:spPr>
            <c:extLst>
              <c:ext xmlns:c16="http://schemas.microsoft.com/office/drawing/2014/chart" uri="{C3380CC4-5D6E-409C-BE32-E72D297353CC}">
                <c16:uniqueId val="{00000000-2C30-44AB-9981-1381CC14C982}"/>
              </c:ext>
            </c:extLst>
          </c:dPt>
          <c:dPt>
            <c:idx val="2"/>
            <c:invertIfNegative val="0"/>
            <c:bubble3D val="0"/>
            <c:spPr>
              <a:solidFill>
                <a:schemeClr val="bg2">
                  <a:lumMod val="25000"/>
                </a:schemeClr>
              </a:solidFill>
            </c:spPr>
            <c:extLst>
              <c:ext xmlns:c16="http://schemas.microsoft.com/office/drawing/2014/chart" uri="{C3380CC4-5D6E-409C-BE32-E72D297353CC}">
                <c16:uniqueId val="{00000001-2C30-44AB-9981-1381CC14C982}"/>
              </c:ext>
            </c:extLst>
          </c:dPt>
          <c:dPt>
            <c:idx val="3"/>
            <c:invertIfNegative val="0"/>
            <c:bubble3D val="0"/>
            <c:spPr>
              <a:solidFill>
                <a:schemeClr val="bg2">
                  <a:lumMod val="90000"/>
                </a:schemeClr>
              </a:solidFill>
            </c:spPr>
            <c:extLst>
              <c:ext xmlns:c16="http://schemas.microsoft.com/office/drawing/2014/chart" uri="{C3380CC4-5D6E-409C-BE32-E72D297353CC}">
                <c16:uniqueId val="{00000002-2C30-44AB-9981-1381CC14C982}"/>
              </c:ext>
            </c:extLst>
          </c:dPt>
          <c:dLbls>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دولة فلسطين</c:v>
                </c:pt>
                <c:pt idx="1">
                  <c:v>أراضي 1948 </c:v>
                </c:pt>
                <c:pt idx="2">
                  <c:v>الدول العربية </c:v>
                </c:pt>
                <c:pt idx="3">
                  <c:v>الدول الأجنبية </c:v>
                </c:pt>
              </c:strCache>
            </c:strRef>
          </c:cat>
          <c:val>
            <c:numRef>
              <c:f>Sheet1!$B$2:$B$5</c:f>
              <c:numCache>
                <c:formatCode>0.0</c:formatCode>
                <c:ptCount val="4"/>
                <c:pt idx="0">
                  <c:v>5.5</c:v>
                </c:pt>
                <c:pt idx="1">
                  <c:v>1.7</c:v>
                </c:pt>
                <c:pt idx="2">
                  <c:v>6.5</c:v>
                </c:pt>
                <c:pt idx="3">
                  <c:v>0.8</c:v>
                </c:pt>
              </c:numCache>
            </c:numRef>
          </c:val>
          <c:extLst>
            <c:ext xmlns:c16="http://schemas.microsoft.com/office/drawing/2014/chart" uri="{C3380CC4-5D6E-409C-BE32-E72D297353CC}">
              <c16:uniqueId val="{00000000-892F-479A-8FC6-E96CBB9E0D07}"/>
            </c:ext>
          </c:extLst>
        </c:ser>
        <c:dLbls>
          <c:showLegendKey val="0"/>
          <c:showVal val="0"/>
          <c:showCatName val="0"/>
          <c:showSerName val="0"/>
          <c:showPercent val="0"/>
          <c:showBubbleSize val="0"/>
        </c:dLbls>
        <c:gapWidth val="150"/>
        <c:axId val="145432960"/>
        <c:axId val="145434880"/>
      </c:barChart>
      <c:catAx>
        <c:axId val="145432960"/>
        <c:scaling>
          <c:orientation val="maxMin"/>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ar-SA"/>
          </a:p>
        </c:txPr>
        <c:crossAx val="145434880"/>
        <c:crosses val="autoZero"/>
        <c:auto val="1"/>
        <c:lblAlgn val="ctr"/>
        <c:lblOffset val="100"/>
        <c:noMultiLvlLbl val="0"/>
      </c:catAx>
      <c:valAx>
        <c:axId val="145434880"/>
        <c:scaling>
          <c:orientation val="minMax"/>
        </c:scaling>
        <c:delete val="0"/>
        <c:axPos val="r"/>
        <c:title>
          <c:tx>
            <c:rich>
              <a:bodyPr rot="-5400000" vert="horz"/>
              <a:lstStyle/>
              <a:p>
                <a:pPr>
                  <a:defRPr sz="1000">
                    <a:latin typeface="Arial" pitchFamily="34" charset="0"/>
                    <a:cs typeface="Arial" pitchFamily="34" charset="0"/>
                  </a:defRPr>
                </a:pPr>
                <a:r>
                  <a:rPr lang="ar-SA" sz="800">
                    <a:latin typeface="Arial" pitchFamily="34" charset="0"/>
                    <a:cs typeface="Arial" pitchFamily="34" charset="0"/>
                  </a:rPr>
                  <a:t>عدد السكان (بالمليون)</a:t>
                </a:r>
                <a:endParaRPr lang="en-US" sz="800">
                  <a:latin typeface="Arial" pitchFamily="34" charset="0"/>
                  <a:cs typeface="Arial" pitchFamily="34" charset="0"/>
                </a:endParaRPr>
              </a:p>
            </c:rich>
          </c:tx>
          <c:layout>
            <c:manualLayout>
              <c:xMode val="edge"/>
              <c:yMode val="edge"/>
              <c:x val="0.9317304317923305"/>
              <c:y val="0.22697617986430937"/>
            </c:manualLayout>
          </c:layout>
          <c:overlay val="0"/>
        </c:title>
        <c:numFmt formatCode="#,##0" sourceLinked="0"/>
        <c:majorTickMark val="out"/>
        <c:minorTickMark val="none"/>
        <c:tickLblPos val="nextTo"/>
        <c:txPr>
          <a:bodyPr/>
          <a:lstStyle/>
          <a:p>
            <a:pPr>
              <a:defRPr sz="900">
                <a:latin typeface="Arial" pitchFamily="34" charset="0"/>
                <a:cs typeface="Arial" pitchFamily="34" charset="0"/>
              </a:defRPr>
            </a:pPr>
            <a:endParaRPr lang="ar-SA"/>
          </a:p>
        </c:txPr>
        <c:crossAx val="145432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72594821204905"/>
          <c:y val="0.22600424946881639"/>
          <c:w val="0.88287414824773558"/>
          <c:h val="0.65912710911136119"/>
        </c:manualLayout>
      </c:layout>
      <c:barChart>
        <c:barDir val="col"/>
        <c:grouping val="clustered"/>
        <c:varyColors val="0"/>
        <c:ser>
          <c:idx val="0"/>
          <c:order val="0"/>
          <c:tx>
            <c:strRef>
              <c:f>Sheet1!$B$1</c:f>
              <c:strCache>
                <c:ptCount val="1"/>
                <c:pt idx="0">
                  <c:v>فلسطين</c:v>
                </c:pt>
              </c:strCache>
            </c:strRef>
          </c:tx>
          <c:spPr>
            <a:solidFill>
              <a:schemeClr val="bg2">
                <a:lumMod val="50000"/>
              </a:schemeClr>
            </a:solid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2022</c:v>
                </c:pt>
              </c:numCache>
            </c:numRef>
          </c:cat>
          <c:val>
            <c:numRef>
              <c:f>Sheet1!$B$2:$B$3</c:f>
              <c:numCache>
                <c:formatCode>#,##0.0</c:formatCode>
                <c:ptCount val="2"/>
                <c:pt idx="0" formatCode="General">
                  <c:v>5.8</c:v>
                </c:pt>
                <c:pt idx="1">
                  <c:v>5</c:v>
                </c:pt>
              </c:numCache>
            </c:numRef>
          </c:val>
          <c:extLst>
            <c:ext xmlns:c16="http://schemas.microsoft.com/office/drawing/2014/chart" uri="{C3380CC4-5D6E-409C-BE32-E72D297353CC}">
              <c16:uniqueId val="{00000000-348F-4A35-A805-EF8AFCCC9F6B}"/>
            </c:ext>
          </c:extLst>
        </c:ser>
        <c:ser>
          <c:idx val="1"/>
          <c:order val="1"/>
          <c:tx>
            <c:strRef>
              <c:f>Sheet1!$C$1</c:f>
              <c:strCache>
                <c:ptCount val="1"/>
                <c:pt idx="0">
                  <c:v>الضفة الغربية</c:v>
                </c:pt>
              </c:strCache>
            </c:strRef>
          </c:tx>
          <c:spPr>
            <a:pattFill prst="ltHorz">
              <a:fgClr>
                <a:schemeClr val="bg2">
                  <a:lumMod val="50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2022</c:v>
                </c:pt>
              </c:numCache>
            </c:numRef>
          </c:cat>
          <c:val>
            <c:numRef>
              <c:f>Sheet1!$C$2:$C$3</c:f>
              <c:numCache>
                <c:formatCode>General</c:formatCode>
                <c:ptCount val="2"/>
                <c:pt idx="0">
                  <c:v>5.5</c:v>
                </c:pt>
                <c:pt idx="1">
                  <c:v>4.7</c:v>
                </c:pt>
              </c:numCache>
            </c:numRef>
          </c:val>
          <c:extLst>
            <c:ext xmlns:c16="http://schemas.microsoft.com/office/drawing/2014/chart" uri="{C3380CC4-5D6E-409C-BE32-E72D297353CC}">
              <c16:uniqueId val="{00000001-348F-4A35-A805-EF8AFCCC9F6B}"/>
            </c:ext>
          </c:extLst>
        </c:ser>
        <c:ser>
          <c:idx val="2"/>
          <c:order val="2"/>
          <c:tx>
            <c:strRef>
              <c:f>Sheet1!$D$1</c:f>
              <c:strCache>
                <c:ptCount val="1"/>
                <c:pt idx="0">
                  <c:v>قطاع غزة</c:v>
                </c:pt>
              </c:strCache>
            </c:strRef>
          </c:tx>
          <c:spPr>
            <a:pattFill prst="narVert">
              <a:fgClr>
                <a:schemeClr val="bg2">
                  <a:lumMod val="25000"/>
                </a:schemeClr>
              </a:fgClr>
              <a:bgClr>
                <a:schemeClr val="bg1"/>
              </a:bgClr>
            </a:pattFill>
          </c:spPr>
          <c:invertIfNegative val="0"/>
          <c:dLbls>
            <c:spPr>
              <a:noFill/>
              <a:ln w="25403">
                <a:noFill/>
              </a:ln>
            </c:spPr>
            <c:txPr>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2007</c:v>
                </c:pt>
                <c:pt idx="1">
                  <c:v>2022</c:v>
                </c:pt>
              </c:numCache>
            </c:numRef>
          </c:cat>
          <c:val>
            <c:numRef>
              <c:f>Sheet1!$D$2:$D$3</c:f>
              <c:numCache>
                <c:formatCode>General</c:formatCode>
                <c:ptCount val="2"/>
                <c:pt idx="0">
                  <c:v>6.5</c:v>
                </c:pt>
                <c:pt idx="1">
                  <c:v>5.5</c:v>
                </c:pt>
              </c:numCache>
            </c:numRef>
          </c:val>
          <c:extLst>
            <c:ext xmlns:c16="http://schemas.microsoft.com/office/drawing/2014/chart" uri="{C3380CC4-5D6E-409C-BE32-E72D297353CC}">
              <c16:uniqueId val="{00000002-348F-4A35-A805-EF8AFCCC9F6B}"/>
            </c:ext>
          </c:extLst>
        </c:ser>
        <c:dLbls>
          <c:showLegendKey val="0"/>
          <c:showVal val="0"/>
          <c:showCatName val="0"/>
          <c:showSerName val="0"/>
          <c:showPercent val="0"/>
          <c:showBubbleSize val="0"/>
        </c:dLbls>
        <c:gapWidth val="150"/>
        <c:axId val="175893752"/>
        <c:axId val="1"/>
      </c:barChart>
      <c:catAx>
        <c:axId val="175893752"/>
        <c:scaling>
          <c:orientation val="maxMin"/>
        </c:scaling>
        <c:delete val="0"/>
        <c:axPos val="b"/>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r"/>
        <c:numFmt formatCode="General" sourceLinked="1"/>
        <c:majorTickMark val="out"/>
        <c:minorTickMark val="none"/>
        <c:tickLblPos val="nextTo"/>
        <c:txPr>
          <a:bodyPr/>
          <a:lstStyle/>
          <a:p>
            <a:pPr>
              <a:defRPr sz="800"/>
            </a:pPr>
            <a:endParaRPr lang="ar-SA"/>
          </a:p>
        </c:txPr>
        <c:crossAx val="175893752"/>
        <c:crosses val="autoZero"/>
        <c:crossBetween val="between"/>
      </c:valAx>
    </c:plotArea>
    <c:legend>
      <c:legendPos val="t"/>
      <c:layout>
        <c:manualLayout>
          <c:xMode val="edge"/>
          <c:yMode val="edge"/>
          <c:x val="0.10461302093335893"/>
          <c:y val="3.8095238095238099E-2"/>
          <c:w val="0.75038839657237966"/>
          <c:h val="0.1148124484439445"/>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7409809067984237E-3"/>
          <c:y val="6.6096826392276181E-2"/>
          <c:w val="0.9029831636899045"/>
          <c:h val="0.7701458898528617"/>
        </c:manualLayout>
      </c:layout>
      <c:lineChart>
        <c:grouping val="standard"/>
        <c:varyColors val="0"/>
        <c:ser>
          <c:idx val="0"/>
          <c:order val="0"/>
          <c:tx>
            <c:strRef>
              <c:f>Sheet1!$B$1</c:f>
              <c:strCache>
                <c:ptCount val="1"/>
                <c:pt idx="0">
                  <c:v>ذكور</c:v>
                </c:pt>
              </c:strCache>
            </c:strRef>
          </c:tx>
          <c:dLbls>
            <c:dLbl>
              <c:idx val="0"/>
              <c:layout>
                <c:manualLayout>
                  <c:x val="-0.10767790262172285"/>
                  <c:y val="-7.4855328594970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C2-4CBD-9C5B-C96A07BE5508}"/>
                </c:ext>
              </c:extLst>
            </c:dLbl>
            <c:dLbl>
              <c:idx val="22"/>
              <c:layout>
                <c:manualLayout>
                  <c:x val="-2.8089887640449437E-2"/>
                  <c:y val="-5.24148259078996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C2-4CBD-9C5B-C96A07BE5508}"/>
                </c:ext>
              </c:extLst>
            </c:dLbl>
            <c:spPr>
              <a:noFill/>
              <a:ln>
                <a:noFill/>
              </a:ln>
              <a:effectLst/>
            </c:spPr>
            <c:txPr>
              <a:bodyPr/>
              <a:lstStyle/>
              <a:p>
                <a:pPr>
                  <a:defRPr sz="800">
                    <a:latin typeface="Arial" panose="020B0604020202020204" pitchFamily="34" charset="0"/>
                    <a:cs typeface="Arial" panose="020B0604020202020204" pitchFamily="34" charset="0"/>
                  </a:defRPr>
                </a:pPr>
                <a:endParaRPr lang="ar-SA"/>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Sheet1!$B$2:$B$24</c:f>
              <c:numCache>
                <c:formatCode>0.0</c:formatCode>
                <c:ptCount val="23"/>
                <c:pt idx="0">
                  <c:v>5.6</c:v>
                </c:pt>
                <c:pt idx="1">
                  <c:v>4.7</c:v>
                </c:pt>
                <c:pt idx="2">
                  <c:v>4.3</c:v>
                </c:pt>
                <c:pt idx="3">
                  <c:v>3.7</c:v>
                </c:pt>
                <c:pt idx="4">
                  <c:v>3.5</c:v>
                </c:pt>
                <c:pt idx="5">
                  <c:v>3.1</c:v>
                </c:pt>
                <c:pt idx="6">
                  <c:v>2.9</c:v>
                </c:pt>
                <c:pt idx="7">
                  <c:v>2.8</c:v>
                </c:pt>
                <c:pt idx="8">
                  <c:v>2.9</c:v>
                </c:pt>
                <c:pt idx="9">
                  <c:v>2.6</c:v>
                </c:pt>
                <c:pt idx="10">
                  <c:v>2.4</c:v>
                </c:pt>
                <c:pt idx="11">
                  <c:v>2.1</c:v>
                </c:pt>
                <c:pt idx="12">
                  <c:v>1.8</c:v>
                </c:pt>
                <c:pt idx="13">
                  <c:v>1.6</c:v>
                </c:pt>
                <c:pt idx="14">
                  <c:v>1.6</c:v>
                </c:pt>
                <c:pt idx="15">
                  <c:v>1.5</c:v>
                </c:pt>
                <c:pt idx="16">
                  <c:v>1.4</c:v>
                </c:pt>
                <c:pt idx="17">
                  <c:v>1.7</c:v>
                </c:pt>
                <c:pt idx="18">
                  <c:v>1.3</c:v>
                </c:pt>
                <c:pt idx="19">
                  <c:v>1.2</c:v>
                </c:pt>
                <c:pt idx="20">
                  <c:v>1.2</c:v>
                </c:pt>
                <c:pt idx="21">
                  <c:v>1.2</c:v>
                </c:pt>
                <c:pt idx="22">
                  <c:v>1.1000000000000001</c:v>
                </c:pt>
              </c:numCache>
            </c:numRef>
          </c:val>
          <c:smooth val="0"/>
          <c:extLst>
            <c:ext xmlns:c16="http://schemas.microsoft.com/office/drawing/2014/chart" uri="{C3380CC4-5D6E-409C-BE32-E72D297353CC}">
              <c16:uniqueId val="{00000002-CBC2-4CBD-9C5B-C96A07BE5508}"/>
            </c:ext>
          </c:extLst>
        </c:ser>
        <c:ser>
          <c:idx val="1"/>
          <c:order val="1"/>
          <c:tx>
            <c:strRef>
              <c:f>Sheet1!$C$1</c:f>
              <c:strCache>
                <c:ptCount val="1"/>
                <c:pt idx="0">
                  <c:v>اناث</c:v>
                </c:pt>
              </c:strCache>
            </c:strRef>
          </c:tx>
          <c:dLbls>
            <c:dLbl>
              <c:idx val="0"/>
              <c:layout>
                <c:manualLayout>
                  <c:x val="-0.11704119850187283"/>
                  <c:y val="-8.2343160867527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C2-4CBD-9C5B-C96A07BE5508}"/>
                </c:ext>
              </c:extLst>
            </c:dLbl>
            <c:dLbl>
              <c:idx val="22"/>
              <c:layout>
                <c:manualLayout>
                  <c:x val="-4.2134831460674156E-2"/>
                  <c:y val="-0.13475032206522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C2-4CBD-9C5B-C96A07BE5508}"/>
                </c:ext>
              </c:extLst>
            </c:dLbl>
            <c:spPr>
              <a:noFill/>
              <a:ln>
                <a:noFill/>
              </a:ln>
              <a:effectLst/>
            </c:spPr>
            <c:txPr>
              <a:bodyPr/>
              <a:lstStyle/>
              <a:p>
                <a:pPr>
                  <a:defRPr sz="800">
                    <a:latin typeface="Arial" panose="020B0604020202020204" pitchFamily="34" charset="0"/>
                    <a:cs typeface="Arial" panose="020B0604020202020204" pitchFamily="34" charset="0"/>
                  </a:defRPr>
                </a:pPr>
                <a:endParaRPr lang="ar-SA"/>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Sheet1!$C$2:$C$24</c:f>
              <c:numCache>
                <c:formatCode>0.0</c:formatCode>
                <c:ptCount val="23"/>
                <c:pt idx="0">
                  <c:v>16.100000000000001</c:v>
                </c:pt>
                <c:pt idx="1">
                  <c:v>15</c:v>
                </c:pt>
                <c:pt idx="2">
                  <c:v>13.6</c:v>
                </c:pt>
                <c:pt idx="3">
                  <c:v>12.6</c:v>
                </c:pt>
                <c:pt idx="4">
                  <c:v>12</c:v>
                </c:pt>
                <c:pt idx="5">
                  <c:v>11.1</c:v>
                </c:pt>
                <c:pt idx="6">
                  <c:v>10.200000000000001</c:v>
                </c:pt>
                <c:pt idx="7">
                  <c:v>9.5</c:v>
                </c:pt>
                <c:pt idx="8">
                  <c:v>9.1</c:v>
                </c:pt>
                <c:pt idx="9">
                  <c:v>8.3000000000000007</c:v>
                </c:pt>
                <c:pt idx="10">
                  <c:v>7.8</c:v>
                </c:pt>
                <c:pt idx="11">
                  <c:v>7.4</c:v>
                </c:pt>
                <c:pt idx="12">
                  <c:v>6.4</c:v>
                </c:pt>
                <c:pt idx="13">
                  <c:v>5.9</c:v>
                </c:pt>
                <c:pt idx="14">
                  <c:v>5.6</c:v>
                </c:pt>
                <c:pt idx="15">
                  <c:v>5.0999999999999996</c:v>
                </c:pt>
                <c:pt idx="16">
                  <c:v>4.8</c:v>
                </c:pt>
                <c:pt idx="17">
                  <c:v>5</c:v>
                </c:pt>
                <c:pt idx="18">
                  <c:v>4.3</c:v>
                </c:pt>
                <c:pt idx="19">
                  <c:v>4.0999999999999996</c:v>
                </c:pt>
                <c:pt idx="20">
                  <c:v>3.8</c:v>
                </c:pt>
                <c:pt idx="21">
                  <c:v>3.5</c:v>
                </c:pt>
                <c:pt idx="22">
                  <c:v>3.3</c:v>
                </c:pt>
              </c:numCache>
            </c:numRef>
          </c:val>
          <c:smooth val="0"/>
          <c:extLst>
            <c:ext xmlns:c16="http://schemas.microsoft.com/office/drawing/2014/chart" uri="{C3380CC4-5D6E-409C-BE32-E72D297353CC}">
              <c16:uniqueId val="{00000005-CBC2-4CBD-9C5B-C96A07BE5508}"/>
            </c:ext>
          </c:extLst>
        </c:ser>
        <c:dLbls>
          <c:showLegendKey val="0"/>
          <c:showVal val="0"/>
          <c:showCatName val="0"/>
          <c:showSerName val="0"/>
          <c:showPercent val="0"/>
          <c:showBubbleSize val="0"/>
        </c:dLbls>
        <c:marker val="1"/>
        <c:smooth val="0"/>
        <c:axId val="90469504"/>
        <c:axId val="90471040"/>
      </c:lineChart>
      <c:catAx>
        <c:axId val="90469504"/>
        <c:scaling>
          <c:orientation val="maxMin"/>
        </c:scaling>
        <c:delete val="0"/>
        <c:axPos val="b"/>
        <c:numFmt formatCode="General" sourceLinked="1"/>
        <c:majorTickMark val="out"/>
        <c:minorTickMark val="none"/>
        <c:tickLblPos val="nextTo"/>
        <c:txPr>
          <a:bodyPr/>
          <a:lstStyle/>
          <a:p>
            <a:pPr>
              <a:defRPr sz="700">
                <a:latin typeface="Arial" pitchFamily="34" charset="0"/>
                <a:cs typeface="Arial" pitchFamily="34" charset="0"/>
              </a:defRPr>
            </a:pPr>
            <a:endParaRPr lang="ar-SA"/>
          </a:p>
        </c:txPr>
        <c:crossAx val="90471040"/>
        <c:crossesAt val="0"/>
        <c:auto val="1"/>
        <c:lblAlgn val="ctr"/>
        <c:lblOffset val="100"/>
        <c:noMultiLvlLbl val="0"/>
      </c:catAx>
      <c:valAx>
        <c:axId val="90471040"/>
        <c:scaling>
          <c:orientation val="minMax"/>
          <c:max val="20"/>
          <c:min val="0"/>
        </c:scaling>
        <c:delete val="0"/>
        <c:axPos val="r"/>
        <c:numFmt formatCode="0" sourceLinked="0"/>
        <c:majorTickMark val="out"/>
        <c:minorTickMark val="none"/>
        <c:tickLblPos val="nextTo"/>
        <c:txPr>
          <a:bodyPr/>
          <a:lstStyle/>
          <a:p>
            <a:pPr>
              <a:defRPr sz="900">
                <a:latin typeface="Arial" pitchFamily="34" charset="0"/>
                <a:cs typeface="Arial" pitchFamily="34" charset="0"/>
              </a:defRPr>
            </a:pPr>
            <a:endParaRPr lang="ar-SA"/>
          </a:p>
        </c:txPr>
        <c:crossAx val="90469504"/>
        <c:crosses val="autoZero"/>
        <c:crossBetween val="between"/>
        <c:majorUnit val="2"/>
      </c:valAx>
      <c:spPr>
        <a:ln>
          <a:noFill/>
        </a:ln>
      </c:spPr>
    </c:plotArea>
    <c:legend>
      <c:legendPos val="r"/>
      <c:layout>
        <c:manualLayout>
          <c:xMode val="edge"/>
          <c:yMode val="edge"/>
          <c:x val="0.12529463228861087"/>
          <c:y val="9.7810192604980445E-2"/>
          <c:w val="0.67290968001482521"/>
          <c:h val="0.10571337916015409"/>
        </c:manualLayout>
      </c:layout>
      <c:overlay val="0"/>
      <c:txPr>
        <a:bodyPr/>
        <a:lstStyle/>
        <a:p>
          <a:pPr>
            <a:defRPr sz="900">
              <a:latin typeface="Simplified Arabic" panose="02020603050405020304" pitchFamily="18" charset="-78"/>
              <a:cs typeface="Simplified Arabic" panose="02020603050405020304" pitchFamily="18" charset="-78"/>
            </a:defRPr>
          </a:pPr>
          <a:endParaRPr lang="ar-SA"/>
        </a:p>
      </c:txPr>
    </c:legend>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51961993989995"/>
          <c:y val="4.6431359846476623E-2"/>
          <c:w val="0.86375221920296241"/>
          <c:h val="0.82443866219093753"/>
        </c:manualLayout>
      </c:layout>
      <c:lineChart>
        <c:grouping val="standard"/>
        <c:varyColors val="0"/>
        <c:ser>
          <c:idx val="0"/>
          <c:order val="0"/>
          <c:tx>
            <c:strRef>
              <c:f>Sheet1!$B$1</c:f>
              <c:strCache>
                <c:ptCount val="1"/>
                <c:pt idx="0">
                  <c:v>فلسطين</c:v>
                </c:pt>
              </c:strCache>
            </c:strRef>
          </c:tx>
          <c:dLbls>
            <c:dLbl>
              <c:idx val="0"/>
              <c:layout>
                <c:manualLayout>
                  <c:x val="-8.4409999088615781E-2"/>
                  <c:y val="-7.1149207614870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21-4EC3-B794-426E3A538C2D}"/>
                </c:ext>
              </c:extLst>
            </c:dLbl>
            <c:dLbl>
              <c:idx val="1"/>
              <c:delete val="1"/>
              <c:extLst>
                <c:ext xmlns:c15="http://schemas.microsoft.com/office/drawing/2012/chart" uri="{CE6537A1-D6FC-4f65-9D91-7224C49458BB}"/>
                <c:ext xmlns:c16="http://schemas.microsoft.com/office/drawing/2014/chart" uri="{C3380CC4-5D6E-409C-BE32-E72D297353CC}">
                  <c16:uniqueId val="{00000001-0D21-4EC3-B794-426E3A538C2D}"/>
                </c:ext>
              </c:extLst>
            </c:dLbl>
            <c:dLbl>
              <c:idx val="2"/>
              <c:delete val="1"/>
              <c:extLst>
                <c:ext xmlns:c15="http://schemas.microsoft.com/office/drawing/2012/chart" uri="{CE6537A1-D6FC-4f65-9D91-7224C49458BB}"/>
                <c:ext xmlns:c16="http://schemas.microsoft.com/office/drawing/2014/chart" uri="{C3380CC4-5D6E-409C-BE32-E72D297353CC}">
                  <c16:uniqueId val="{00000002-0D21-4EC3-B794-426E3A538C2D}"/>
                </c:ext>
              </c:extLst>
            </c:dLbl>
            <c:dLbl>
              <c:idx val="3"/>
              <c:delete val="1"/>
              <c:extLst>
                <c:ext xmlns:c15="http://schemas.microsoft.com/office/drawing/2012/chart" uri="{CE6537A1-D6FC-4f65-9D91-7224C49458BB}"/>
                <c:ext xmlns:c16="http://schemas.microsoft.com/office/drawing/2014/chart" uri="{C3380CC4-5D6E-409C-BE32-E72D297353CC}">
                  <c16:uniqueId val="{00000003-0D21-4EC3-B794-426E3A538C2D}"/>
                </c:ext>
              </c:extLst>
            </c:dLbl>
            <c:dLbl>
              <c:idx val="4"/>
              <c:delete val="1"/>
              <c:extLst>
                <c:ext xmlns:c15="http://schemas.microsoft.com/office/drawing/2012/chart" uri="{CE6537A1-D6FC-4f65-9D91-7224C49458BB}"/>
                <c:ext xmlns:c16="http://schemas.microsoft.com/office/drawing/2014/chart" uri="{C3380CC4-5D6E-409C-BE32-E72D297353CC}">
                  <c16:uniqueId val="{00000004-0D21-4EC3-B794-426E3A538C2D}"/>
                </c:ext>
              </c:extLst>
            </c:dLbl>
            <c:dLbl>
              <c:idx val="5"/>
              <c:delete val="1"/>
              <c:extLst>
                <c:ext xmlns:c15="http://schemas.microsoft.com/office/drawing/2012/chart" uri="{CE6537A1-D6FC-4f65-9D91-7224C49458BB}"/>
                <c:ext xmlns:c16="http://schemas.microsoft.com/office/drawing/2014/chart" uri="{C3380CC4-5D6E-409C-BE32-E72D297353CC}">
                  <c16:uniqueId val="{00000005-0D21-4EC3-B794-426E3A538C2D}"/>
                </c:ext>
              </c:extLst>
            </c:dLbl>
            <c:dLbl>
              <c:idx val="6"/>
              <c:delete val="1"/>
              <c:extLst>
                <c:ext xmlns:c15="http://schemas.microsoft.com/office/drawing/2012/chart" uri="{CE6537A1-D6FC-4f65-9D91-7224C49458BB}"/>
                <c:ext xmlns:c16="http://schemas.microsoft.com/office/drawing/2014/chart" uri="{C3380CC4-5D6E-409C-BE32-E72D297353CC}">
                  <c16:uniqueId val="{00000006-0D21-4EC3-B794-426E3A538C2D}"/>
                </c:ext>
              </c:extLst>
            </c:dLbl>
            <c:dLbl>
              <c:idx val="7"/>
              <c:layout>
                <c:manualLayout>
                  <c:x val="-4.8045424765232596E-2"/>
                  <c:y val="4.8879837067209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21-4EC3-B794-426E3A538C2D}"/>
                </c:ext>
              </c:extLst>
            </c:dLbl>
            <c:spPr>
              <a:noFill/>
              <a:ln w="25432">
                <a:noFill/>
              </a:ln>
            </c:spPr>
            <c:txPr>
              <a:bodyPr/>
              <a:lstStyle/>
              <a:p>
                <a:pPr>
                  <a:defRPr sz="901">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2015</c:v>
                </c:pt>
                <c:pt idx="1">
                  <c:v>2016</c:v>
                </c:pt>
                <c:pt idx="2">
                  <c:v>2017</c:v>
                </c:pt>
                <c:pt idx="3">
                  <c:v>2018</c:v>
                </c:pt>
                <c:pt idx="4">
                  <c:v>2019</c:v>
                </c:pt>
                <c:pt idx="5">
                  <c:v>2020</c:v>
                </c:pt>
                <c:pt idx="6">
                  <c:v>2021</c:v>
                </c:pt>
                <c:pt idx="7">
                  <c:v>2022</c:v>
                </c:pt>
              </c:strCache>
            </c:strRef>
          </c:cat>
          <c:val>
            <c:numRef>
              <c:f>Sheet1!$B$2:$B$9</c:f>
              <c:numCache>
                <c:formatCode>General</c:formatCode>
                <c:ptCount val="8"/>
                <c:pt idx="0" formatCode="0.0">
                  <c:v>23</c:v>
                </c:pt>
                <c:pt idx="1">
                  <c:v>23.9</c:v>
                </c:pt>
                <c:pt idx="2">
                  <c:v>25.7</c:v>
                </c:pt>
                <c:pt idx="3">
                  <c:v>26.2</c:v>
                </c:pt>
                <c:pt idx="4">
                  <c:v>25.3</c:v>
                </c:pt>
                <c:pt idx="5">
                  <c:v>25.9</c:v>
                </c:pt>
                <c:pt idx="6">
                  <c:v>26.4</c:v>
                </c:pt>
                <c:pt idx="7">
                  <c:v>24.4</c:v>
                </c:pt>
              </c:numCache>
            </c:numRef>
          </c:val>
          <c:smooth val="0"/>
          <c:extLst>
            <c:ext xmlns:c16="http://schemas.microsoft.com/office/drawing/2014/chart" uri="{C3380CC4-5D6E-409C-BE32-E72D297353CC}">
              <c16:uniqueId val="{00000008-0D21-4EC3-B794-426E3A538C2D}"/>
            </c:ext>
          </c:extLst>
        </c:ser>
        <c:ser>
          <c:idx val="1"/>
          <c:order val="1"/>
          <c:tx>
            <c:strRef>
              <c:f>Sheet1!$C$1</c:f>
              <c:strCache>
                <c:ptCount val="1"/>
                <c:pt idx="0">
                  <c:v>الضفة الغربية</c:v>
                </c:pt>
              </c:strCache>
            </c:strRef>
          </c:tx>
          <c:dLbls>
            <c:dLbl>
              <c:idx val="0"/>
              <c:layout>
                <c:manualLayout>
                  <c:x val="-9.7668444188845738E-2"/>
                  <c:y val="8.45746972211432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21-4EC3-B794-426E3A538C2D}"/>
                </c:ext>
              </c:extLst>
            </c:dLbl>
            <c:dLbl>
              <c:idx val="1"/>
              <c:delete val="1"/>
              <c:extLst>
                <c:ext xmlns:c15="http://schemas.microsoft.com/office/drawing/2012/chart" uri="{CE6537A1-D6FC-4f65-9D91-7224C49458BB}"/>
                <c:ext xmlns:c16="http://schemas.microsoft.com/office/drawing/2014/chart" uri="{C3380CC4-5D6E-409C-BE32-E72D297353CC}">
                  <c16:uniqueId val="{0000000A-0D21-4EC3-B794-426E3A538C2D}"/>
                </c:ext>
              </c:extLst>
            </c:dLbl>
            <c:dLbl>
              <c:idx val="2"/>
              <c:delete val="1"/>
              <c:extLst>
                <c:ext xmlns:c15="http://schemas.microsoft.com/office/drawing/2012/chart" uri="{CE6537A1-D6FC-4f65-9D91-7224C49458BB}"/>
                <c:ext xmlns:c16="http://schemas.microsoft.com/office/drawing/2014/chart" uri="{C3380CC4-5D6E-409C-BE32-E72D297353CC}">
                  <c16:uniqueId val="{0000000B-0D21-4EC3-B794-426E3A538C2D}"/>
                </c:ext>
              </c:extLst>
            </c:dLbl>
            <c:dLbl>
              <c:idx val="3"/>
              <c:delete val="1"/>
              <c:extLst>
                <c:ext xmlns:c15="http://schemas.microsoft.com/office/drawing/2012/chart" uri="{CE6537A1-D6FC-4f65-9D91-7224C49458BB}"/>
                <c:ext xmlns:c16="http://schemas.microsoft.com/office/drawing/2014/chart" uri="{C3380CC4-5D6E-409C-BE32-E72D297353CC}">
                  <c16:uniqueId val="{0000000C-0D21-4EC3-B794-426E3A538C2D}"/>
                </c:ext>
              </c:extLst>
            </c:dLbl>
            <c:dLbl>
              <c:idx val="4"/>
              <c:delete val="1"/>
              <c:extLst>
                <c:ext xmlns:c15="http://schemas.microsoft.com/office/drawing/2012/chart" uri="{CE6537A1-D6FC-4f65-9D91-7224C49458BB}"/>
                <c:ext xmlns:c16="http://schemas.microsoft.com/office/drawing/2014/chart" uri="{C3380CC4-5D6E-409C-BE32-E72D297353CC}">
                  <c16:uniqueId val="{0000000D-0D21-4EC3-B794-426E3A538C2D}"/>
                </c:ext>
              </c:extLst>
            </c:dLbl>
            <c:dLbl>
              <c:idx val="5"/>
              <c:delete val="1"/>
              <c:extLst>
                <c:ext xmlns:c15="http://schemas.microsoft.com/office/drawing/2012/chart" uri="{CE6537A1-D6FC-4f65-9D91-7224C49458BB}"/>
                <c:ext xmlns:c16="http://schemas.microsoft.com/office/drawing/2014/chart" uri="{C3380CC4-5D6E-409C-BE32-E72D297353CC}">
                  <c16:uniqueId val="{0000000E-0D21-4EC3-B794-426E3A538C2D}"/>
                </c:ext>
              </c:extLst>
            </c:dLbl>
            <c:dLbl>
              <c:idx val="6"/>
              <c:delete val="1"/>
              <c:extLst>
                <c:ext xmlns:c15="http://schemas.microsoft.com/office/drawing/2012/chart" uri="{CE6537A1-D6FC-4f65-9D91-7224C49458BB}"/>
                <c:ext xmlns:c16="http://schemas.microsoft.com/office/drawing/2014/chart" uri="{C3380CC4-5D6E-409C-BE32-E72D297353CC}">
                  <c16:uniqueId val="{0000000F-0D21-4EC3-B794-426E3A538C2D}"/>
                </c:ext>
              </c:extLst>
            </c:dLbl>
            <c:dLbl>
              <c:idx val="7"/>
              <c:layout>
                <c:manualLayout>
                  <c:x val="-5.678095654072942E-2"/>
                  <c:y val="6.517311608961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D21-4EC3-B794-426E3A538C2D}"/>
                </c:ext>
              </c:extLst>
            </c:dLbl>
            <c:spPr>
              <a:noFill/>
              <a:ln w="25432">
                <a:noFill/>
              </a:ln>
            </c:spPr>
            <c:txPr>
              <a:bodyPr/>
              <a:lstStyle/>
              <a:p>
                <a:pPr>
                  <a:defRPr sz="901">
                    <a:latin typeface="Arial" pitchFamily="34" charset="0"/>
                    <a:cs typeface="Arial"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2015</c:v>
                </c:pt>
                <c:pt idx="1">
                  <c:v>2016</c:v>
                </c:pt>
                <c:pt idx="2">
                  <c:v>2017</c:v>
                </c:pt>
                <c:pt idx="3">
                  <c:v>2018</c:v>
                </c:pt>
                <c:pt idx="4">
                  <c:v>2019</c:v>
                </c:pt>
                <c:pt idx="5">
                  <c:v>2020</c:v>
                </c:pt>
                <c:pt idx="6">
                  <c:v>2021</c:v>
                </c:pt>
                <c:pt idx="7">
                  <c:v>2022</c:v>
                </c:pt>
              </c:strCache>
            </c:strRef>
          </c:cat>
          <c:val>
            <c:numRef>
              <c:f>Sheet1!$C$2:$C$9</c:f>
              <c:numCache>
                <c:formatCode>General</c:formatCode>
                <c:ptCount val="8"/>
                <c:pt idx="0">
                  <c:v>16.600000000000001</c:v>
                </c:pt>
                <c:pt idx="1">
                  <c:v>17.5</c:v>
                </c:pt>
                <c:pt idx="2">
                  <c:v>18.399999999999999</c:v>
                </c:pt>
                <c:pt idx="3">
                  <c:v>17.3</c:v>
                </c:pt>
                <c:pt idx="4">
                  <c:v>14.6</c:v>
                </c:pt>
                <c:pt idx="5">
                  <c:v>15.7</c:v>
                </c:pt>
                <c:pt idx="6">
                  <c:v>15.5</c:v>
                </c:pt>
                <c:pt idx="7">
                  <c:v>13.1</c:v>
                </c:pt>
              </c:numCache>
            </c:numRef>
          </c:val>
          <c:smooth val="0"/>
          <c:extLst>
            <c:ext xmlns:c16="http://schemas.microsoft.com/office/drawing/2014/chart" uri="{C3380CC4-5D6E-409C-BE32-E72D297353CC}">
              <c16:uniqueId val="{00000011-0D21-4EC3-B794-426E3A538C2D}"/>
            </c:ext>
          </c:extLst>
        </c:ser>
        <c:ser>
          <c:idx val="2"/>
          <c:order val="2"/>
          <c:tx>
            <c:strRef>
              <c:f>Sheet1!$D$1</c:f>
              <c:strCache>
                <c:ptCount val="1"/>
                <c:pt idx="0">
                  <c:v>قطاع غزة</c:v>
                </c:pt>
              </c:strCache>
            </c:strRef>
          </c:tx>
          <c:dLbls>
            <c:dLbl>
              <c:idx val="0"/>
              <c:layout>
                <c:manualLayout>
                  <c:x val="-8.3096435600262475E-2"/>
                  <c:y val="-8.3707025411061398E-2"/>
                </c:manualLayout>
              </c:layout>
              <c:spPr>
                <a:noFill/>
                <a:ln w="25432">
                  <a:noFill/>
                </a:ln>
              </c:spPr>
              <c:txPr>
                <a:bodyPr/>
                <a:lstStyle/>
                <a:p>
                  <a:pPr>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D21-4EC3-B794-426E3A538C2D}"/>
                </c:ext>
              </c:extLst>
            </c:dLbl>
            <c:dLbl>
              <c:idx val="1"/>
              <c:delete val="1"/>
              <c:extLst>
                <c:ext xmlns:c15="http://schemas.microsoft.com/office/drawing/2012/chart" uri="{CE6537A1-D6FC-4f65-9D91-7224C49458BB}"/>
                <c:ext xmlns:c16="http://schemas.microsoft.com/office/drawing/2014/chart" uri="{C3380CC4-5D6E-409C-BE32-E72D297353CC}">
                  <c16:uniqueId val="{00000013-0D21-4EC3-B794-426E3A538C2D}"/>
                </c:ext>
              </c:extLst>
            </c:dLbl>
            <c:dLbl>
              <c:idx val="2"/>
              <c:delete val="1"/>
              <c:extLst>
                <c:ext xmlns:c15="http://schemas.microsoft.com/office/drawing/2012/chart" uri="{CE6537A1-D6FC-4f65-9D91-7224C49458BB}"/>
                <c:ext xmlns:c16="http://schemas.microsoft.com/office/drawing/2014/chart" uri="{C3380CC4-5D6E-409C-BE32-E72D297353CC}">
                  <c16:uniqueId val="{00000014-0D21-4EC3-B794-426E3A538C2D}"/>
                </c:ext>
              </c:extLst>
            </c:dLbl>
            <c:dLbl>
              <c:idx val="3"/>
              <c:delete val="1"/>
              <c:extLst>
                <c:ext xmlns:c15="http://schemas.microsoft.com/office/drawing/2012/chart" uri="{CE6537A1-D6FC-4f65-9D91-7224C49458BB}"/>
                <c:ext xmlns:c16="http://schemas.microsoft.com/office/drawing/2014/chart" uri="{C3380CC4-5D6E-409C-BE32-E72D297353CC}">
                  <c16:uniqueId val="{00000015-0D21-4EC3-B794-426E3A538C2D}"/>
                </c:ext>
              </c:extLst>
            </c:dLbl>
            <c:dLbl>
              <c:idx val="4"/>
              <c:delete val="1"/>
              <c:extLst>
                <c:ext xmlns:c15="http://schemas.microsoft.com/office/drawing/2012/chart" uri="{CE6537A1-D6FC-4f65-9D91-7224C49458BB}"/>
                <c:ext xmlns:c16="http://schemas.microsoft.com/office/drawing/2014/chart" uri="{C3380CC4-5D6E-409C-BE32-E72D297353CC}">
                  <c16:uniqueId val="{00000016-0D21-4EC3-B794-426E3A538C2D}"/>
                </c:ext>
              </c:extLst>
            </c:dLbl>
            <c:dLbl>
              <c:idx val="5"/>
              <c:delete val="1"/>
              <c:extLst>
                <c:ext xmlns:c15="http://schemas.microsoft.com/office/drawing/2012/chart" uri="{CE6537A1-D6FC-4f65-9D91-7224C49458BB}"/>
                <c:ext xmlns:c16="http://schemas.microsoft.com/office/drawing/2014/chart" uri="{C3380CC4-5D6E-409C-BE32-E72D297353CC}">
                  <c16:uniqueId val="{00000017-0D21-4EC3-B794-426E3A538C2D}"/>
                </c:ext>
              </c:extLst>
            </c:dLbl>
            <c:dLbl>
              <c:idx val="6"/>
              <c:delete val="1"/>
              <c:extLst>
                <c:ext xmlns:c15="http://schemas.microsoft.com/office/drawing/2012/chart" uri="{CE6537A1-D6FC-4f65-9D91-7224C49458BB}"/>
                <c:ext xmlns:c16="http://schemas.microsoft.com/office/drawing/2014/chart" uri="{C3380CC4-5D6E-409C-BE32-E72D297353CC}">
                  <c16:uniqueId val="{00000018-0D21-4EC3-B794-426E3A538C2D}"/>
                </c:ext>
              </c:extLst>
            </c:dLbl>
            <c:dLbl>
              <c:idx val="7"/>
              <c:layout>
                <c:manualLayout>
                  <c:x val="-3.9310064949022672E-2"/>
                  <c:y val="6.9246435845213811E-2"/>
                </c:manualLayout>
              </c:layout>
              <c:spPr>
                <a:noFill/>
                <a:ln w="25432">
                  <a:noFill/>
                </a:ln>
              </c:spPr>
              <c:txPr>
                <a:bodyPr wrap="square" lIns="38100" tIns="19050" rIns="38100" bIns="19050" anchor="ctr">
                  <a:noAutofit/>
                </a:bodyPr>
                <a:lstStyle/>
                <a:p>
                  <a:pPr>
                    <a:defRPr/>
                  </a:pPr>
                  <a:endParaRPr lang="ar-SA"/>
                </a:p>
              </c:txPr>
              <c:showLegendKey val="0"/>
              <c:showVal val="1"/>
              <c:showCatName val="0"/>
              <c:showSerName val="0"/>
              <c:showPercent val="0"/>
              <c:showBubbleSize val="0"/>
              <c:extLst>
                <c:ext xmlns:c15="http://schemas.microsoft.com/office/drawing/2012/chart" uri="{CE6537A1-D6FC-4f65-9D91-7224C49458BB}">
                  <c15:layout>
                    <c:manualLayout>
                      <c:w val="0.10366875138642173"/>
                      <c:h val="0.13201661401286144"/>
                    </c:manualLayout>
                  </c15:layout>
                </c:ext>
                <c:ext xmlns:c16="http://schemas.microsoft.com/office/drawing/2014/chart" uri="{C3380CC4-5D6E-409C-BE32-E72D297353CC}">
                  <c16:uniqueId val="{00000019-0D21-4EC3-B794-426E3A538C2D}"/>
                </c:ext>
              </c:extLst>
            </c:dLbl>
            <c:spPr>
              <a:noFill/>
              <a:ln w="2543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2015</c:v>
                </c:pt>
                <c:pt idx="1">
                  <c:v>2016</c:v>
                </c:pt>
                <c:pt idx="2">
                  <c:v>2017</c:v>
                </c:pt>
                <c:pt idx="3">
                  <c:v>2018</c:v>
                </c:pt>
                <c:pt idx="4">
                  <c:v>2019</c:v>
                </c:pt>
                <c:pt idx="5">
                  <c:v>2020</c:v>
                </c:pt>
                <c:pt idx="6">
                  <c:v>2021</c:v>
                </c:pt>
                <c:pt idx="7">
                  <c:v>2022</c:v>
                </c:pt>
              </c:strCache>
            </c:strRef>
          </c:cat>
          <c:val>
            <c:numRef>
              <c:f>Sheet1!$D$2:$D$9</c:f>
              <c:numCache>
                <c:formatCode>General</c:formatCode>
                <c:ptCount val="8"/>
                <c:pt idx="0">
                  <c:v>34.799999999999997</c:v>
                </c:pt>
                <c:pt idx="1">
                  <c:v>35.4</c:v>
                </c:pt>
                <c:pt idx="2">
                  <c:v>38.799999999999997</c:v>
                </c:pt>
                <c:pt idx="3">
                  <c:v>43.1</c:v>
                </c:pt>
                <c:pt idx="4">
                  <c:v>45.1</c:v>
                </c:pt>
                <c:pt idx="5">
                  <c:v>46.6</c:v>
                </c:pt>
                <c:pt idx="6">
                  <c:v>46.9</c:v>
                </c:pt>
                <c:pt idx="7">
                  <c:v>45.3</c:v>
                </c:pt>
              </c:numCache>
            </c:numRef>
          </c:val>
          <c:smooth val="0"/>
          <c:extLst>
            <c:ext xmlns:c16="http://schemas.microsoft.com/office/drawing/2014/chart" uri="{C3380CC4-5D6E-409C-BE32-E72D297353CC}">
              <c16:uniqueId val="{0000001A-0D21-4EC3-B794-426E3A538C2D}"/>
            </c:ext>
          </c:extLst>
        </c:ser>
        <c:dLbls>
          <c:showLegendKey val="0"/>
          <c:showVal val="0"/>
          <c:showCatName val="0"/>
          <c:showSerName val="0"/>
          <c:showPercent val="0"/>
          <c:showBubbleSize val="0"/>
        </c:dLbls>
        <c:marker val="1"/>
        <c:smooth val="0"/>
        <c:axId val="159006992"/>
        <c:axId val="1"/>
      </c:lineChart>
      <c:catAx>
        <c:axId val="159006992"/>
        <c:scaling>
          <c:orientation val="maxMin"/>
        </c:scaling>
        <c:delete val="0"/>
        <c:axPos val="b"/>
        <c:numFmt formatCode="General" sourceLinked="0"/>
        <c:majorTickMark val="out"/>
        <c:minorTickMark val="none"/>
        <c:tickLblPos val="nextTo"/>
        <c:txPr>
          <a:bodyPr/>
          <a:lstStyle/>
          <a:p>
            <a:pPr>
              <a:defRPr sz="901">
                <a:latin typeface="Arial" pitchFamily="34" charset="0"/>
                <a:cs typeface="Arial" pitchFamily="34" charset="0"/>
              </a:defRPr>
            </a:pPr>
            <a:endParaRPr lang="ar-SA"/>
          </a:p>
        </c:txPr>
        <c:crossAx val="1"/>
        <c:crosses val="autoZero"/>
        <c:auto val="1"/>
        <c:lblAlgn val="ctr"/>
        <c:lblOffset val="100"/>
        <c:noMultiLvlLbl val="0"/>
      </c:catAx>
      <c:valAx>
        <c:axId val="1"/>
        <c:scaling>
          <c:orientation val="minMax"/>
          <c:max val="55"/>
          <c:min val="0"/>
        </c:scaling>
        <c:delete val="0"/>
        <c:axPos val="r"/>
        <c:numFmt formatCode="0.0" sourceLinked="1"/>
        <c:majorTickMark val="out"/>
        <c:minorTickMark val="none"/>
        <c:tickLblPos val="nextTo"/>
        <c:txPr>
          <a:bodyPr/>
          <a:lstStyle/>
          <a:p>
            <a:pPr>
              <a:defRPr sz="901">
                <a:latin typeface="Arial" pitchFamily="34" charset="0"/>
                <a:cs typeface="Arial" pitchFamily="34" charset="0"/>
              </a:defRPr>
            </a:pPr>
            <a:endParaRPr lang="ar-SA"/>
          </a:p>
        </c:txPr>
        <c:crossAx val="159006992"/>
        <c:crosses val="autoZero"/>
        <c:crossBetween val="between"/>
      </c:valAx>
    </c:plotArea>
    <c:legend>
      <c:legendPos val="r"/>
      <c:layout>
        <c:manualLayout>
          <c:xMode val="edge"/>
          <c:yMode val="edge"/>
          <c:x val="0.13836665332087728"/>
          <c:y val="3.881348164812732E-2"/>
          <c:w val="0.74074967747675613"/>
          <c:h val="0.10571345248510602"/>
        </c:manualLayout>
      </c:layout>
      <c:overlay val="0"/>
      <c:txPr>
        <a:bodyPr/>
        <a:lstStyle/>
        <a:p>
          <a:pPr>
            <a:defRPr sz="901">
              <a:latin typeface="Simplified Arabic" panose="02020603050405020304" pitchFamily="18" charset="-78"/>
              <a:cs typeface="Simplified Arabic" panose="02020603050405020304" pitchFamily="18" charset="-78"/>
            </a:defRPr>
          </a:pPr>
          <a:endParaRPr lang="ar-SA"/>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0212-918E-4334-9657-A2427C3F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6610</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Hadeel Badran</cp:lastModifiedBy>
  <cp:revision>3</cp:revision>
  <cp:lastPrinted>2023-07-10T06:47:00Z</cp:lastPrinted>
  <dcterms:created xsi:type="dcterms:W3CDTF">2023-07-10T06:53:00Z</dcterms:created>
  <dcterms:modified xsi:type="dcterms:W3CDTF">2023-07-10T06:54:00Z</dcterms:modified>
</cp:coreProperties>
</file>