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1B" w:rsidRPr="001E1EDA" w:rsidRDefault="00AD571B" w:rsidP="00AD571B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bookmarkStart w:id="0" w:name="_GoBack"/>
      <w:bookmarkEnd w:id="0"/>
      <w:r w:rsidRPr="001E1EDA"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>الاحصاء الفلسطيني يستعرض</w:t>
      </w:r>
      <w:r w:rsidRPr="001E1EDA">
        <w:rPr>
          <w:rFonts w:ascii="Simplified Arabic" w:hAnsi="Simplified Arabic" w:cs="Simplified Arabic"/>
          <w:b/>
          <w:bCs/>
          <w:sz w:val="32"/>
          <w:szCs w:val="32"/>
          <w:lang w:eastAsia="en-US"/>
        </w:rPr>
        <w:t xml:space="preserve"> </w:t>
      </w:r>
      <w:r w:rsidRPr="001E1EDA"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>نتائج مسح القوى العاملة في فلسطين خلال العام 2022</w:t>
      </w:r>
    </w:p>
    <w:p w:rsidR="00AD571B" w:rsidRPr="00533117" w:rsidRDefault="00AD571B" w:rsidP="00AD571B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FA1EAB" w:rsidRPr="001E1EDA" w:rsidRDefault="00126CCB" w:rsidP="00003C1A">
      <w:pPr>
        <w:pStyle w:val="NoSpacing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انخفاض</w:t>
      </w:r>
      <w:r w:rsidR="00003C1A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في معدل</w:t>
      </w:r>
      <w:r w:rsidR="00003C1A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FA1EAB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البطالة للعام 202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2</w:t>
      </w:r>
      <w:r w:rsidR="00FA1EAB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مقارنة بالعام 202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1</w:t>
      </w:r>
    </w:p>
    <w:p w:rsidR="005B244E" w:rsidRPr="001E1EDA" w:rsidRDefault="000F0887" w:rsidP="009F0A7F">
      <w:pPr>
        <w:pStyle w:val="NoSpacing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معدل البطالة بين المشاركين في القوى العاملة (15 سنة فأكثر) في عام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202</w:t>
      </w:r>
      <w:r w:rsidR="00126CC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حوالي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26CC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24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٪</w:t>
      </w:r>
      <w:r w:rsidR="006E2323" w:rsidRPr="001E1EDA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6E2323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26.4% في  العام 2021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من جهة أخرى 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إجمالي نقص الاستخدام للعمالة </w:t>
      </w:r>
      <w:r w:rsidR="009F0A7F" w:rsidRPr="001E1EDA">
        <w:rPr>
          <w:rFonts w:ascii="Simplified Arabic" w:hAnsi="Simplified Arabic" w:cs="Simplified Arabic"/>
          <w:color w:val="000000"/>
          <w:sz w:val="26"/>
          <w:szCs w:val="26"/>
        </w:rPr>
        <w:t>31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٪،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وذلك 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وفقاً لمعايير منظمة العمل الدولية المنقحة (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</w:rPr>
        <w:t>(ICLS-19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vertAlign w:val="superscript"/>
        </w:rPr>
        <w:t>th</w:t>
      </w:r>
      <w:r w:rsidR="005B244E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0F0887" w:rsidRPr="001E1EDA" w:rsidRDefault="000F0887" w:rsidP="000F0887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0F0887" w:rsidRPr="001E1EDA" w:rsidRDefault="000F0887" w:rsidP="009973B4">
      <w:pPr>
        <w:pStyle w:val="NoSpacing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CB20C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يزال التفاوت كبيراً في معدل البطالة بين الضفة الغربية وقطاع غزة، حيث ب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لغ هذا المعدل </w:t>
      </w:r>
      <w:r w:rsidR="009973B4" w:rsidRPr="001E1EDA">
        <w:rPr>
          <w:rFonts w:ascii="Simplified Arabic" w:hAnsi="Simplified Arabic" w:cs="Simplified Arabic"/>
          <w:color w:val="000000"/>
          <w:sz w:val="26"/>
          <w:szCs w:val="26"/>
        </w:rPr>
        <w:t>45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٪ في قطاع غزة مقارنة بـ 1</w:t>
      </w:r>
      <w:r w:rsidR="00126CC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3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٪ في الضفة الغربية،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بلغ معدل البطالة للإناث 4</w:t>
      </w:r>
      <w:r w:rsidR="009973B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0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مقابل </w:t>
      </w:r>
      <w:r w:rsidR="009973B4" w:rsidRPr="001E1EDA">
        <w:rPr>
          <w:rFonts w:ascii="Simplified Arabic" w:hAnsi="Simplified Arabic" w:cs="Simplified Arabic"/>
          <w:color w:val="000000"/>
          <w:sz w:val="26"/>
          <w:szCs w:val="26"/>
        </w:rPr>
        <w:t>20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٪ للذكور في فلسطين.</w:t>
      </w:r>
    </w:p>
    <w:p w:rsidR="005B244E" w:rsidRPr="00533117" w:rsidRDefault="005B244E" w:rsidP="00552674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0F0887" w:rsidRPr="001E1EDA" w:rsidRDefault="000F0887" w:rsidP="001E1EDA">
      <w:pPr>
        <w:ind w:left="-1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1E1E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معدل البطالة في فلسطين حسب المنطقة، 2015- 202</w:t>
      </w:r>
      <w:r w:rsidR="009973B4" w:rsidRPr="001E1EDA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2</w:t>
      </w:r>
    </w:p>
    <w:tbl>
      <w:tblPr>
        <w:bidiVisual/>
        <w:tblW w:w="0" w:type="auto"/>
        <w:tblInd w:w="2529" w:type="dxa"/>
        <w:tblLook w:val="04A0" w:firstRow="1" w:lastRow="0" w:firstColumn="1" w:lastColumn="0" w:noHBand="0" w:noVBand="1"/>
      </w:tblPr>
      <w:tblGrid>
        <w:gridCol w:w="5232"/>
      </w:tblGrid>
      <w:tr w:rsidR="00E43199" w:rsidRPr="001E1EDA" w:rsidTr="00E43199">
        <w:tc>
          <w:tcPr>
            <w:tcW w:w="5232" w:type="dxa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4"/>
            </w:tblGrid>
            <w:tr w:rsidR="00E43199" w:rsidRPr="001E1EDA" w:rsidTr="001E1EDA">
              <w:trPr>
                <w:trHeight w:val="2866"/>
                <w:jc w:val="center"/>
              </w:trPr>
              <w:tc>
                <w:tcPr>
                  <w:tcW w:w="4444" w:type="dxa"/>
                  <w:shd w:val="clear" w:color="auto" w:fill="auto"/>
                </w:tcPr>
                <w:p w:rsidR="00E43199" w:rsidRPr="001E1EDA" w:rsidRDefault="00E43199" w:rsidP="0076563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eastAsia="en-US"/>
                    </w:rPr>
                  </w:pPr>
                  <w:r w:rsidRPr="001E1EDA">
                    <w:rPr>
                      <w:rFonts w:ascii="Simplified Arabic" w:hAnsi="Simplified Arabic" w:cs="Simplified Arabic"/>
                      <w:b/>
                      <w:bCs/>
                      <w:noProof/>
                      <w:sz w:val="26"/>
                      <w:szCs w:val="26"/>
                      <w:lang w:eastAsia="en-US"/>
                    </w:rPr>
                    <w:drawing>
                      <wp:inline distT="0" distB="0" distL="0" distR="0" wp14:anchorId="5C272F67" wp14:editId="665273A2">
                        <wp:extent cx="2619375" cy="1609725"/>
                        <wp:effectExtent l="0" t="0" r="0" b="0"/>
                        <wp:docPr id="442" name="Object 4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199" w:rsidRPr="001E1EDA" w:rsidRDefault="00E43199" w:rsidP="0076563E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</w:tbl>
    <w:p w:rsidR="000F0887" w:rsidRPr="001E1EDA" w:rsidRDefault="000F0887" w:rsidP="000745C7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5B244E" w:rsidRPr="001E1EDA" w:rsidRDefault="005B244E" w:rsidP="001F4A82">
      <w:pPr>
        <w:pStyle w:val="NoSpacing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عدد العاطلين عن العمل 15 سنة فأكثر 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3</w:t>
      </w:r>
      <w:r w:rsidR="001F4A8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67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شخص في عام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202</w:t>
      </w:r>
      <w:r w:rsidR="001F4A8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بواقع 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23</w:t>
      </w:r>
      <w:r w:rsidR="001F4A8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9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شخص في قطاع غزة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1F4A8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28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="000F088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شخص في الضفة الغربية.</w:t>
      </w:r>
    </w:p>
    <w:p w:rsidR="005B244E" w:rsidRPr="00533117" w:rsidRDefault="005B244E" w:rsidP="000745C7">
      <w:pPr>
        <w:jc w:val="lowKashida"/>
        <w:rPr>
          <w:rFonts w:ascii="Simplified Arabic" w:hAnsi="Simplified Arabic" w:cs="Simplified Arabic" w:hint="cs"/>
          <w:sz w:val="10"/>
          <w:szCs w:val="10"/>
        </w:rPr>
      </w:pPr>
    </w:p>
    <w:p w:rsidR="005B244E" w:rsidRPr="001E1EDA" w:rsidRDefault="005B244E" w:rsidP="00AD571B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إجمالي الاستخدام الناقص للعمالة 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5</w:t>
      </w:r>
      <w:r w:rsidR="009F0A7F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00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شخص، حيث يتضمن هذا العدد </w:t>
      </w:r>
      <w:r w:rsidR="009F0A7F" w:rsidRPr="001E1EDA">
        <w:rPr>
          <w:rFonts w:ascii="Simplified Arabic" w:hAnsi="Simplified Arabic" w:cs="Simplified Arabic"/>
          <w:color w:val="000000"/>
          <w:sz w:val="26"/>
          <w:szCs w:val="26"/>
        </w:rPr>
        <w:t>56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 الباحثين عن عمل</w:t>
      </w:r>
      <w:r w:rsidR="00AD571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المحبطين </w:t>
      </w:r>
      <w:r w:rsidR="000F088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و</w:t>
      </w:r>
      <w:r w:rsidR="000D3FE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22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العمالة الناقصة </w:t>
      </w:r>
      <w:r w:rsidR="002C3BFD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ال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متصلة بالوقت</w:t>
      </w:r>
      <w:r w:rsidRPr="001E1EDA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AD571B" w:rsidRPr="001E1EDA" w:rsidRDefault="00AD571B" w:rsidP="000B19C8">
      <w:pPr>
        <w:pStyle w:val="BodyText"/>
        <w:rPr>
          <w:rFonts w:ascii="Simplified Arabic" w:hAnsi="Simplified Arabic" w:cs="Simplified Arabic"/>
          <w:b/>
          <w:bCs/>
          <w:noProof w:val="0"/>
          <w:color w:val="000000"/>
          <w:sz w:val="16"/>
          <w:szCs w:val="16"/>
          <w:rtl/>
        </w:rPr>
      </w:pPr>
    </w:p>
    <w:p w:rsidR="00D508C4" w:rsidRPr="001E1EDA" w:rsidRDefault="00697D10" w:rsidP="000B19C8">
      <w:pPr>
        <w:pStyle w:val="BodyText"/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</w:pPr>
      <w:r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سجلت </w:t>
      </w:r>
      <w:r w:rsidR="00D508C4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محافظة </w:t>
      </w:r>
      <w:r w:rsidR="000B19C8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>الخليل</w:t>
      </w:r>
      <w:r w:rsidR="00482087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 في الضفة الغربية ودير </w:t>
      </w:r>
      <w:r w:rsidR="00D508C4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البلح </w:t>
      </w:r>
      <w:r w:rsidR="00482087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في قطاع </w:t>
      </w:r>
      <w:r w:rsidR="007E5C94"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 xml:space="preserve">غزة </w:t>
      </w:r>
      <w:r w:rsidRPr="001E1EDA">
        <w:rPr>
          <w:rFonts w:ascii="Simplified Arabic" w:hAnsi="Simplified Arabic" w:cs="Simplified Arabic"/>
          <w:b/>
          <w:bCs/>
          <w:noProof w:val="0"/>
          <w:color w:val="000000"/>
          <w:sz w:val="28"/>
          <w:szCs w:val="28"/>
          <w:rtl/>
        </w:rPr>
        <w:t>اعلى معدلات بطالة بين المحافظات</w:t>
      </w:r>
    </w:p>
    <w:p w:rsidR="00D508C4" w:rsidRPr="001E1EDA" w:rsidRDefault="008A5D46" w:rsidP="000B19C8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سجلت محافظة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الخليل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أعلى معدل بطالة في الضفة الغربية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ح</w:t>
      </w:r>
      <w:r w:rsidR="008226B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يث بلغ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16.9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0F088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تلا</w:t>
      </w:r>
      <w:r w:rsidR="008226B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ها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محافظة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جنين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16.8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تليها محافظة بيت لحم 15%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حين سجلت محافظة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القدس ادنى معدل بطالة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3.2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بالمقابل </w:t>
      </w:r>
      <w:r w:rsidR="00D508C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سجلت محافظة دير البلح أعلى معدل بطالة في قطاع غزة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ح</w:t>
      </w:r>
      <w:r w:rsidR="008226B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يث بلغ</w:t>
      </w:r>
      <w:r w:rsidR="00D508C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54.8</w:t>
      </w:r>
      <w:r w:rsidR="00D508C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F088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تلاها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محافظة خانيونس 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49.4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في حين سجلت محافظة </w:t>
      </w:r>
      <w:r w:rsidR="004E396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شمال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غزة ادنى معدل بطالة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38</w:t>
      </w:r>
      <w:r w:rsidR="000B19C8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.4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%.</w:t>
      </w:r>
      <w:r w:rsidR="00D508C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</w:p>
    <w:p w:rsidR="001E1EDA" w:rsidRPr="001E1EDA" w:rsidRDefault="001E1EDA" w:rsidP="00D508C4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D360C3" w:rsidRPr="001E1EDA" w:rsidRDefault="00D360C3" w:rsidP="007666AE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فئة الشباب </w:t>
      </w:r>
      <w:r w:rsidR="00FA1EAB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الخريجين </w:t>
      </w:r>
      <w:r w:rsidR="00697D10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الذين يحملون مؤهل علمي دبلوم متوسط </w:t>
      </w:r>
      <w:r w:rsidR="007666AE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فأعلى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الأكثر </w:t>
      </w:r>
      <w:r w:rsidR="007666AE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معاناة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من البطالة</w:t>
      </w:r>
    </w:p>
    <w:p w:rsidR="00D360C3" w:rsidRPr="001E1EDA" w:rsidRDefault="002F40EB" w:rsidP="006E2323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</w:t>
      </w:r>
      <w:r w:rsidR="00D360C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معدل البطالة بين الشباب (19-29) سنة الخريجين من حم</w:t>
      </w:r>
      <w:r w:rsidR="008A5D4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</w:t>
      </w:r>
      <w:r w:rsidR="00D360C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ة شهادة الدبلوم المتوسط فأعلى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45B88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48.3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0F51F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 و</w:t>
      </w:r>
      <w:r w:rsidR="00332B09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يشكلون </w:t>
      </w:r>
      <w:r w:rsidR="000F51F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ما نسبته</w:t>
      </w:r>
      <w:r w:rsidR="00B25AF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5123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25.6</w:t>
      </w:r>
      <w:r w:rsidR="00B25AF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اجمالي المتعطلين عن العمل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)</w:t>
      </w:r>
      <w:r w:rsidR="00D360C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FA1EA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أما على مستوى الجنس فقد بلغ</w:t>
      </w:r>
      <w:r w:rsidR="00D360C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45B8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61.3</w:t>
      </w:r>
      <w:r w:rsidR="00D360C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للإناث مقابل </w:t>
      </w:r>
      <w:r w:rsidR="00145B8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34.3</w:t>
      </w:r>
      <w:r w:rsidR="00B36F02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بين ا</w:t>
      </w:r>
      <w:r w:rsidR="0022203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لذكور، أما على مستوى المنطقة فقد بلغ معدل البطالة للشباب </w:t>
      </w:r>
      <w:r w:rsidR="00A21CF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الخريحين </w:t>
      </w:r>
      <w:r w:rsidR="0022203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الضفة الغربية </w:t>
      </w:r>
      <w:r w:rsidR="00145B8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28.6</w:t>
      </w:r>
      <w:r w:rsidR="0022203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مقابل </w:t>
      </w:r>
      <w:r w:rsidR="00145B88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73.9</w:t>
      </w:r>
      <w:r w:rsidR="0022203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قطاع غزة.</w:t>
      </w:r>
    </w:p>
    <w:p w:rsidR="002F40EB" w:rsidRPr="001E1EDA" w:rsidRDefault="002F40EB" w:rsidP="00816C50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533117" w:rsidRDefault="00533117" w:rsidP="00690B2B">
      <w:pPr>
        <w:pStyle w:val="BodyText"/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</w:pPr>
    </w:p>
    <w:p w:rsidR="000D43F8" w:rsidRPr="001E1EDA" w:rsidRDefault="00BB1EBA" w:rsidP="00690B2B">
      <w:pPr>
        <w:pStyle w:val="BodyText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1E1EDA">
        <w:rPr>
          <w:rFonts w:ascii="Simplified Arabic" w:hAnsi="Simplified Arabic" w:cs="Simplified Arabic"/>
          <w:b/>
          <w:bCs/>
          <w:noProof w:val="0"/>
          <w:sz w:val="28"/>
          <w:szCs w:val="28"/>
          <w:rtl/>
        </w:rPr>
        <w:t>فجوة كبيرة في المشاركة في القوى العاملة بين الذكور والإناث</w:t>
      </w:r>
    </w:p>
    <w:p w:rsidR="00D91193" w:rsidRPr="001E1EDA" w:rsidRDefault="00C7597A" w:rsidP="006167D4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 7</w:t>
      </w:r>
      <w:r w:rsidR="00BB1EB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من كل 10 ذكور مشاركون في القوى العاملة مقابل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حوالي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 من كل 10 إناث، وبلغت نسبة 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مشاركة الإناث في</w:t>
      </w:r>
      <w:r w:rsidR="00013D80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القوى العاملة </w:t>
      </w:r>
      <w:r w:rsidR="006167D4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18.6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61748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مقابل </w:t>
      </w:r>
      <w:r w:rsidR="006167D4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70.7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للذكور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2F40EB" w:rsidRPr="001E1EDA" w:rsidRDefault="002F40EB" w:rsidP="00816C50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816C50" w:rsidRPr="001E1EDA" w:rsidRDefault="00816C50" w:rsidP="00C04664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كما لا</w:t>
      </w:r>
      <w:r w:rsidR="00A21CF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يزال التفاوت كبيراً في 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شاركة في القوى العاملة بين الضفة الغربية وقطاع غزة، حيث بلغ هذا المعدل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47.5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٪ في الضفة الغربية مقارنة بـ </w:t>
      </w:r>
      <w:r w:rsidR="00A304BC"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41.</w:t>
      </w:r>
      <w:r w:rsidR="00F554D6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0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٪ في قطاع غزة </w:t>
      </w:r>
    </w:p>
    <w:p w:rsidR="00816C50" w:rsidRPr="001E1EDA" w:rsidRDefault="00816C50" w:rsidP="00816C50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C31050" w:rsidRPr="001E1EDA" w:rsidRDefault="00C31050" w:rsidP="00952B7A">
      <w:pPr>
        <w:jc w:val="lowKashida"/>
        <w:rPr>
          <w:rFonts w:ascii="Simplified Arabic" w:hAnsi="Simplified Arabic" w:cs="Simplified Arabic"/>
          <w:color w:val="000000"/>
          <w:sz w:val="26"/>
          <w:szCs w:val="26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إجمالي الداخلين لسوق العمل </w:t>
      </w:r>
      <w:r w:rsidR="008A5D46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في ال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عام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202</w:t>
      </w:r>
      <w:r w:rsidR="00952B7A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حوالي </w:t>
      </w:r>
      <w:r w:rsidR="00952B7A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95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 شخص</w:t>
      </w:r>
      <w:r w:rsidR="00697D10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؛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منهم </w:t>
      </w:r>
      <w:r w:rsidR="00952B7A" w:rsidRPr="001E1EDA">
        <w:rPr>
          <w:rFonts w:ascii="Simplified Arabic" w:hAnsi="Simplified Arabic" w:cs="Simplified Arabic"/>
          <w:color w:val="000000"/>
          <w:sz w:val="26"/>
          <w:szCs w:val="26"/>
        </w:rPr>
        <w:t>37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 شخص في الضفة الغربية و</w:t>
      </w:r>
      <w:r w:rsidR="00952B7A" w:rsidRPr="001E1EDA">
        <w:rPr>
          <w:rFonts w:ascii="Simplified Arabic" w:hAnsi="Simplified Arabic" w:cs="Simplified Arabic"/>
          <w:color w:val="000000"/>
          <w:sz w:val="26"/>
          <w:szCs w:val="26"/>
        </w:rPr>
        <w:t>58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 شخص في قطاع غزة.</w:t>
      </w:r>
    </w:p>
    <w:p w:rsidR="00C31050" w:rsidRPr="001E1EDA" w:rsidRDefault="00C31050" w:rsidP="00C7597A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D91193" w:rsidRPr="001E1EDA" w:rsidRDefault="00D91193" w:rsidP="00C135EF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ارتفاع في عدد العاملين في السوق المحلي بين </w:t>
      </w:r>
      <w:r w:rsidR="00621805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العام </w:t>
      </w:r>
      <w:r w:rsidR="00476B32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C135EF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1</w:t>
      </w:r>
      <w:r w:rsidR="00621805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والعام </w:t>
      </w:r>
      <w:r w:rsidR="00171D97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C135EF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</w:t>
      </w:r>
    </w:p>
    <w:p w:rsidR="00D91193" w:rsidRPr="001E1EDA" w:rsidRDefault="00D91193" w:rsidP="00710ACA">
      <w:pPr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ارتفع عدد العاملين في السوق المحلي من 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89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</w:t>
      </w:r>
      <w:r w:rsidR="0062180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</w:t>
      </w:r>
      <w:r w:rsidR="00D04300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ام </w:t>
      </w:r>
      <w:r w:rsidR="00476B32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 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940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</w:t>
      </w:r>
      <w:r w:rsidR="00D04300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اذ ارتفع العدد في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الضفة الغربية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بنسبة </w:t>
      </w:r>
      <w:r w:rsidR="0075629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710AC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0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%، </w:t>
      </w:r>
      <w:r w:rsidR="006927C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كما</w:t>
      </w:r>
      <w:r w:rsidR="00D04300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6927C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ارتفع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العدد في قطاع غزة بنسبة </w:t>
      </w:r>
      <w:r w:rsidR="00A53478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9.</w:t>
      </w:r>
      <w:r w:rsidR="00710AC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9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% لنفس الفترة.</w:t>
      </w:r>
    </w:p>
    <w:p w:rsidR="00D91193" w:rsidRPr="001E1EDA" w:rsidRDefault="00D91193" w:rsidP="00816C50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D91193" w:rsidRPr="001E1EDA" w:rsidRDefault="00D91193" w:rsidP="00C04664">
      <w:pPr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يعتبر </w:t>
      </w:r>
      <w:r w:rsidR="00C04664"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>نشاط</w:t>
      </w:r>
      <w:r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الخدمات والفروع الأخرى</w:t>
      </w:r>
      <w:r w:rsidR="002C3BFD"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A07C1"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516A46"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>يشمل</w:t>
      </w:r>
      <w:r w:rsidR="002A07C1"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التعليم والصحة) </w:t>
      </w:r>
      <w:r w:rsidRPr="001E1EDA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الأكثر استيعاباً للعاملين في السوق المحلي حيث بلغت نسبة العاملين فيه أكثر من ثلث العاملين في الضفة الغربية مقابل أكثر من النصف في قطاع غزة.  </w:t>
      </w:r>
    </w:p>
    <w:p w:rsidR="00944931" w:rsidRPr="001E1EDA" w:rsidRDefault="00944931" w:rsidP="00C04664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75629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43.5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مقابل</w:t>
      </w:r>
      <w:r w:rsidR="0061748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3</w:t>
      </w:r>
      <w:r w:rsidR="00303B9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61748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A2148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61748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في قطاع غزة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كما بلغ معدل ايام العمل الشهرية </w:t>
      </w:r>
      <w:r w:rsidR="00A2148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22.7</w:t>
      </w:r>
      <w:r w:rsidR="0075629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يوم عمل </w:t>
      </w:r>
      <w:r w:rsidR="0061748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الضفة الغربية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مقابل </w:t>
      </w:r>
      <w:r w:rsidR="00A2148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21.8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بوم عمل 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قطاع غزة، من جهة أخرى بلغ معدل الأجر اليومي بالشيكل قي الضفة الغربية 125.6 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شيقلاً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مقابل 57.1 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شيقلاً في قطاع غزة</w:t>
      </w:r>
      <w:r w:rsidR="00C0466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552674" w:rsidRPr="001E1EDA" w:rsidRDefault="00552674" w:rsidP="00552674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D91193" w:rsidRPr="001E1EDA" w:rsidRDefault="003375A5" w:rsidP="003375A5">
      <w:pPr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  <w:t>193</w:t>
      </w:r>
      <w:r w:rsidR="002F40EB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ألف عامل 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في</w:t>
      </w:r>
      <w:r w:rsidR="00D04300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اسرائيل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D04300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و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المستعمرات</w:t>
      </w:r>
      <w:r w:rsidR="00D6056E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الإسرائيلية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F4DDD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</w:t>
      </w:r>
      <w:r w:rsidR="00D04300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العام </w:t>
      </w:r>
      <w:r w:rsidR="00171D97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</w:t>
      </w:r>
    </w:p>
    <w:p w:rsidR="00D91193" w:rsidRPr="001E1EDA" w:rsidRDefault="00D91193" w:rsidP="007953DF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عدد العاملين في اسرائيل والمستعمرات </w:t>
      </w:r>
      <w:r w:rsidR="006F4DD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العام </w:t>
      </w:r>
      <w:r w:rsidR="007953DF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2022</w:t>
      </w:r>
      <w:r w:rsidR="006F4DD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3375A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193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عامل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منهم </w:t>
      </w:r>
      <w:r w:rsidR="003375A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29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ألف يعملون في المستعمرات الإسرائيلية</w:t>
      </w:r>
      <w:r w:rsidR="002F40EB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وبلغت نسبة </w:t>
      </w:r>
      <w:r w:rsidR="00A21CF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عاملين قي اسرائيل والمستعمرات</w:t>
      </w:r>
      <w:r w:rsidR="00D6056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الإسرائيلية</w:t>
      </w:r>
      <w:r w:rsidR="001E11A1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الحاصلين على تصاريح عمل</w:t>
      </w:r>
      <w:r w:rsidR="00D6056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6056E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58.6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في </w:t>
      </w:r>
      <w:r w:rsidR="000745C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حين بلغ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 نسبة العاملين بدون تصاريح عمل نحو </w:t>
      </w:r>
      <w:r w:rsidR="00D6056E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20.7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0745C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E40445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</w:t>
      </w:r>
      <w:r w:rsidR="000745C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حملة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C3BF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الهوية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الاسرائيلية أو جواز سفر أجنبي </w:t>
      </w:r>
      <w:r w:rsidR="000745C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فقد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بلغت نسبتهم </w:t>
      </w:r>
      <w:r w:rsidR="00D6056E" w:rsidRPr="001E1EDA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20.7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%.</w:t>
      </w:r>
    </w:p>
    <w:p w:rsidR="00D91193" w:rsidRPr="001E1EDA" w:rsidRDefault="00D91193" w:rsidP="00552674">
      <w:pPr>
        <w:jc w:val="lowKashida"/>
        <w:rPr>
          <w:rFonts w:ascii="Simplified Arabic" w:hAnsi="Simplified Arabic" w:cs="Simplified Arabic"/>
          <w:sz w:val="8"/>
          <w:szCs w:val="8"/>
          <w:rtl/>
        </w:rPr>
      </w:pPr>
    </w:p>
    <w:p w:rsidR="00121CFA" w:rsidRDefault="00D91193" w:rsidP="001E1EDA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سجل قطاع البناء والتشييد أعلى نسبة تشغيل في إسرائيل والمستعمرات والتي تشكل </w:t>
      </w:r>
      <w:r w:rsidR="007953DF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57.4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اجمالي العاملين الفلسطينيين في إسرائيل والمستعمرات</w:t>
      </w:r>
      <w:r w:rsidR="00121CF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1E1EDA" w:rsidRPr="001E1EDA" w:rsidRDefault="001E1EDA" w:rsidP="001E1EDA">
      <w:pPr>
        <w:jc w:val="lowKashida"/>
        <w:rPr>
          <w:rFonts w:ascii="Simplified Arabic" w:hAnsi="Simplified Arabic" w:cs="Simplified Arabic"/>
          <w:color w:val="000000"/>
          <w:sz w:val="8"/>
          <w:szCs w:val="8"/>
          <w:rtl/>
          <w:lang w:eastAsia="en-US"/>
        </w:rPr>
      </w:pPr>
    </w:p>
    <w:p w:rsidR="00D91193" w:rsidRPr="001E1EDA" w:rsidRDefault="00CD09C6" w:rsidP="00A67534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معدل الأجر اليومي</w:t>
      </w:r>
      <w:r w:rsidR="00121CF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للعاملين الفلسطينيين في إسرائيل والمستعمرات </w:t>
      </w:r>
      <w:r w:rsidR="00A67534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276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1E1EDA" w:rsidRPr="00533117" w:rsidRDefault="001E1EDA" w:rsidP="006E232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D91193" w:rsidRPr="001E1EDA" w:rsidRDefault="006E2323" w:rsidP="006E232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حوالي 8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من كل 10 عاملين هم مستخدمون بأجر </w:t>
      </w:r>
    </w:p>
    <w:p w:rsidR="00D91193" w:rsidRPr="001E1EDA" w:rsidRDefault="003C2904" w:rsidP="003C2904">
      <w:pPr>
        <w:ind w:left="-1"/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76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هم من المستخدمين بأجر، مقابل 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0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</w:t>
      </w:r>
      <w:r w:rsidR="002C3BFD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اب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هم الخاص وأرباب عمل، و4% كأعضاء أسرة غير مدفوعي الأجر.</w:t>
      </w:r>
    </w:p>
    <w:p w:rsidR="00D91193" w:rsidRDefault="00D91193" w:rsidP="00552674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533117" w:rsidRDefault="00533117" w:rsidP="00552674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533117" w:rsidRPr="001E1EDA" w:rsidRDefault="00533117" w:rsidP="00552674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533117" w:rsidRPr="00533117" w:rsidRDefault="00533117" w:rsidP="001E1ED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533117" w:rsidRDefault="00533117" w:rsidP="001E1ED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</w:p>
    <w:p w:rsidR="00D91193" w:rsidRPr="001E1EDA" w:rsidRDefault="00BA1DF3" w:rsidP="001E1ED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حوالي </w:t>
      </w:r>
      <w:r w:rsidR="009D4BA6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ثلثي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المستخدمين بأجر في القطاع الخاص يعملون</w:t>
      </w:r>
      <w:r w:rsidR="00F40810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D91193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دون عقد عمل</w:t>
      </w:r>
    </w:p>
    <w:p w:rsidR="00D91193" w:rsidRPr="001E1EDA" w:rsidRDefault="00D207A5" w:rsidP="00D207A5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65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 و</w:t>
      </w:r>
      <w:r w:rsidR="009D4BA6"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26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يحصلون على مساهمة في تمويل التقاعد/ مكافأة نهاية الخدمة، بالمقابل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44</w:t>
      </w:r>
      <w:r w:rsidR="0075629E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من المستخدمات بأجر في القطاع </w:t>
      </w:r>
      <w:proofErr w:type="gramStart"/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الخاص  يحصلن</w:t>
      </w:r>
      <w:proofErr w:type="gramEnd"/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على إجازة أمومة مدفوعة الأجر.</w:t>
      </w:r>
    </w:p>
    <w:p w:rsidR="00C04664" w:rsidRPr="001E1EDA" w:rsidRDefault="00D91193" w:rsidP="001E1EDA">
      <w:pPr>
        <w:pStyle w:val="BodyText"/>
        <w:ind w:left="-143"/>
        <w:jc w:val="lowKashida"/>
        <w:rPr>
          <w:rFonts w:ascii="Simplified Arabic" w:hAnsi="Simplified Arabic" w:cs="Simplified Arabic"/>
          <w:noProof w:val="0"/>
          <w:sz w:val="16"/>
          <w:szCs w:val="16"/>
          <w:lang w:val="en-US"/>
        </w:rPr>
      </w:pPr>
      <w:r w:rsidRPr="001E1EDA">
        <w:rPr>
          <w:rFonts w:ascii="Simplified Arabic" w:hAnsi="Simplified Arabic" w:cs="Simplified Arabic"/>
          <w:noProof w:val="0"/>
          <w:sz w:val="26"/>
          <w:szCs w:val="26"/>
        </w:rPr>
        <w:t xml:space="preserve">  </w:t>
      </w:r>
    </w:p>
    <w:p w:rsidR="00C04664" w:rsidRPr="001E1EDA" w:rsidRDefault="00C04664" w:rsidP="001E1EDA">
      <w:pPr>
        <w:pStyle w:val="NormalWeb"/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40</w:t>
      </w:r>
      <w:r w:rsidRPr="001E1ED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% من المستخدمين بأجر في القطاع الخاص يتقاضون أجراً شهرياً أقل من الحد الأدنى للأجر</w:t>
      </w:r>
      <w:r w:rsidR="001E1EDA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Pr="001E1EDA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(1,880 شيقلاً) في فلسطين عام 2022</w:t>
      </w:r>
    </w:p>
    <w:p w:rsidR="00C04664" w:rsidRPr="001E1EDA" w:rsidRDefault="00C04664" w:rsidP="00545BEA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بلغت </w:t>
      </w:r>
      <w:r w:rsidR="00545BE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19% في الضفة الغربية بمعدل أجر شهري حوالي </w:t>
      </w:r>
      <w:r w:rsidRPr="001E1EDA">
        <w:rPr>
          <w:rFonts w:ascii="Simplified Arabic" w:hAnsi="Simplified Arabic" w:cs="Simplified Arabic"/>
          <w:color w:val="000000"/>
          <w:sz w:val="26"/>
          <w:szCs w:val="26"/>
        </w:rPr>
        <w:t>1,419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شيقلاً،  بالمقابل بلغت النسبة حوالي 89% في قطاع غزة بمعدل أجر شهري حوالي 697 شيقلاً.</w:t>
      </w:r>
    </w:p>
    <w:p w:rsidR="001E1EDA" w:rsidRPr="001E1EDA" w:rsidRDefault="001E1EDA" w:rsidP="00545BEA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171D97" w:rsidRPr="001E1EDA" w:rsidRDefault="00517C7C" w:rsidP="00545BEA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تجدر الإشارة الى أن الحد الأدنى للأجر في العام 2021 بلغ 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</w:rPr>
        <w:t>(1,450 شيقلاً)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عند مقارنة هذا الأجر مع العام 2022 يظهر 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ارتفاع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 في نسبة المستخدمين بأجر في القطاع الخاص الذين يتقاضون أجراً شهرياً أقل من</w:t>
      </w:r>
      <w:r w:rsidR="00545BE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هذا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الحد 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سواء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الضفة 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الغربية أو قطاع غزة حيث 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ارتفعت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النسبة بين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العام 202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والعام 202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545BEA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من اجمالي المستخدمين بأجر في القطاع الخاص 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7%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إلى 8% 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 و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81% </w:t>
      </w:r>
      <w:r w:rsidR="00CA6C9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إلى 86% </w:t>
      </w:r>
      <w:r w:rsidR="00171D97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قطاع غزة</w:t>
      </w:r>
      <w:r w:rsidR="0063577C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533117" w:rsidRPr="001E1EDA" w:rsidRDefault="00533117" w:rsidP="001E1EDA">
      <w:pPr>
        <w:tabs>
          <w:tab w:val="num" w:pos="610"/>
        </w:tabs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D91193" w:rsidRPr="001E1EDA" w:rsidRDefault="00D91193" w:rsidP="00CD09C6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نسبة الأطفال</w:t>
      </w:r>
      <w:r w:rsidR="002C3BFD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العاملين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في الضفة الغربية </w:t>
      </w:r>
      <w:r w:rsidR="00CD09C6"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اعلى منها </w:t>
      </w:r>
      <w:r w:rsidRPr="001E1ED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في قطاع غزة </w:t>
      </w:r>
    </w:p>
    <w:p w:rsidR="00D91193" w:rsidRPr="001E1EDA" w:rsidRDefault="00914F50" w:rsidP="00AD571B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الأطفال (10-17) </w:t>
      </w:r>
      <w:r w:rsidR="00CD09C6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سنة عاملو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ن، بواقع </w:t>
      </w:r>
      <w:r w:rsidR="00227B19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الضفة الغربية و</w:t>
      </w:r>
      <w:r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D91193" w:rsidRPr="001E1EDA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قطاع غزة.</w:t>
      </w:r>
    </w:p>
    <w:p w:rsidR="007666AE" w:rsidRPr="001E1EDA" w:rsidRDefault="007666AE" w:rsidP="00D91193">
      <w:pPr>
        <w:pStyle w:val="BodyText"/>
        <w:rPr>
          <w:rFonts w:ascii="Simplified Arabic" w:hAnsi="Simplified Arabic" w:cs="Simplified Arabic"/>
          <w:sz w:val="26"/>
          <w:szCs w:val="26"/>
          <w:lang w:val="en-US"/>
        </w:rPr>
      </w:pPr>
    </w:p>
    <w:sectPr w:rsidR="007666AE" w:rsidRPr="001E1EDA" w:rsidSect="00533117">
      <w:footerReference w:type="even" r:id="rId9"/>
      <w:footerReference w:type="default" r:id="rId10"/>
      <w:footerReference w:type="first" r:id="rId11"/>
      <w:type w:val="continuous"/>
      <w:pgSz w:w="11906" w:h="16838" w:code="9"/>
      <w:pgMar w:top="851" w:right="1134" w:bottom="1134" w:left="1134" w:header="142" w:footer="0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D5" w:rsidRDefault="005921D5" w:rsidP="00CB198C">
      <w:r>
        <w:separator/>
      </w:r>
    </w:p>
  </w:endnote>
  <w:endnote w:type="continuationSeparator" w:id="0">
    <w:p w:rsidR="005921D5" w:rsidRDefault="005921D5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46" w:rsidRDefault="00516A46">
    <w:pPr>
      <w:pStyle w:val="Footer"/>
      <w:jc w:val="center"/>
      <w:rPr>
        <w:rtl/>
      </w:rPr>
    </w:pPr>
  </w:p>
  <w:p w:rsidR="00516A46" w:rsidRDefault="00516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46" w:rsidRDefault="00516A4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3117">
      <w:rPr>
        <w:noProof/>
        <w:rtl/>
      </w:rPr>
      <w:t>3</w:t>
    </w:r>
    <w:r>
      <w:fldChar w:fldCharType="end"/>
    </w:r>
  </w:p>
  <w:p w:rsidR="00516A46" w:rsidRDefault="00516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71B" w:rsidRDefault="00AD571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3117">
      <w:rPr>
        <w:noProof/>
        <w:rtl/>
      </w:rPr>
      <w:t>1</w:t>
    </w:r>
    <w:r>
      <w:rPr>
        <w:noProof/>
      </w:rPr>
      <w:fldChar w:fldCharType="end"/>
    </w:r>
  </w:p>
  <w:p w:rsidR="00AD571B" w:rsidRDefault="00AD5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D5" w:rsidRDefault="005921D5" w:rsidP="00CB198C">
      <w:r>
        <w:separator/>
      </w:r>
    </w:p>
  </w:footnote>
  <w:footnote w:type="continuationSeparator" w:id="0">
    <w:p w:rsidR="005921D5" w:rsidRDefault="005921D5" w:rsidP="00CB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1A93"/>
    <w:rsid w:val="000023D4"/>
    <w:rsid w:val="00002AC8"/>
    <w:rsid w:val="00003C1A"/>
    <w:rsid w:val="00006109"/>
    <w:rsid w:val="000067CB"/>
    <w:rsid w:val="00007F22"/>
    <w:rsid w:val="00011294"/>
    <w:rsid w:val="00011806"/>
    <w:rsid w:val="00011C4E"/>
    <w:rsid w:val="00012375"/>
    <w:rsid w:val="00013D80"/>
    <w:rsid w:val="00014A8C"/>
    <w:rsid w:val="00021611"/>
    <w:rsid w:val="00023BC2"/>
    <w:rsid w:val="00023DAA"/>
    <w:rsid w:val="0002531F"/>
    <w:rsid w:val="00026DD5"/>
    <w:rsid w:val="00027B2F"/>
    <w:rsid w:val="00027BFA"/>
    <w:rsid w:val="00027D83"/>
    <w:rsid w:val="000310C3"/>
    <w:rsid w:val="0003375A"/>
    <w:rsid w:val="00033A97"/>
    <w:rsid w:val="000355CC"/>
    <w:rsid w:val="000358B6"/>
    <w:rsid w:val="0003665B"/>
    <w:rsid w:val="00042692"/>
    <w:rsid w:val="00042D80"/>
    <w:rsid w:val="000435B6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C38"/>
    <w:rsid w:val="000622B1"/>
    <w:rsid w:val="0006277F"/>
    <w:rsid w:val="00065930"/>
    <w:rsid w:val="000663D7"/>
    <w:rsid w:val="000675D9"/>
    <w:rsid w:val="00067E58"/>
    <w:rsid w:val="000725C7"/>
    <w:rsid w:val="000725D0"/>
    <w:rsid w:val="00073F3E"/>
    <w:rsid w:val="0007440F"/>
    <w:rsid w:val="000745C7"/>
    <w:rsid w:val="000753AD"/>
    <w:rsid w:val="00080967"/>
    <w:rsid w:val="0008169E"/>
    <w:rsid w:val="0008625C"/>
    <w:rsid w:val="00086E7F"/>
    <w:rsid w:val="00090BAD"/>
    <w:rsid w:val="0009149D"/>
    <w:rsid w:val="00091F17"/>
    <w:rsid w:val="000923BF"/>
    <w:rsid w:val="0009324E"/>
    <w:rsid w:val="0009518B"/>
    <w:rsid w:val="00095B5A"/>
    <w:rsid w:val="00096781"/>
    <w:rsid w:val="00096893"/>
    <w:rsid w:val="000A0DC2"/>
    <w:rsid w:val="000A1A6B"/>
    <w:rsid w:val="000A2E3B"/>
    <w:rsid w:val="000A33AF"/>
    <w:rsid w:val="000A409E"/>
    <w:rsid w:val="000A4A05"/>
    <w:rsid w:val="000B00B2"/>
    <w:rsid w:val="000B19C8"/>
    <w:rsid w:val="000B1D96"/>
    <w:rsid w:val="000B3470"/>
    <w:rsid w:val="000B364A"/>
    <w:rsid w:val="000B4D8C"/>
    <w:rsid w:val="000C07FC"/>
    <w:rsid w:val="000C51E6"/>
    <w:rsid w:val="000C5808"/>
    <w:rsid w:val="000C5AEF"/>
    <w:rsid w:val="000C631E"/>
    <w:rsid w:val="000C723B"/>
    <w:rsid w:val="000D051F"/>
    <w:rsid w:val="000D3253"/>
    <w:rsid w:val="000D3FE4"/>
    <w:rsid w:val="000D43F8"/>
    <w:rsid w:val="000D5847"/>
    <w:rsid w:val="000D5AA8"/>
    <w:rsid w:val="000D68F4"/>
    <w:rsid w:val="000D7B0E"/>
    <w:rsid w:val="000E0280"/>
    <w:rsid w:val="000E0DF8"/>
    <w:rsid w:val="000E2FB5"/>
    <w:rsid w:val="000E413E"/>
    <w:rsid w:val="000E4551"/>
    <w:rsid w:val="000E5D9D"/>
    <w:rsid w:val="000E5FD4"/>
    <w:rsid w:val="000E74DB"/>
    <w:rsid w:val="000F03B8"/>
    <w:rsid w:val="000F0887"/>
    <w:rsid w:val="000F0B4F"/>
    <w:rsid w:val="000F2861"/>
    <w:rsid w:val="000F3F20"/>
    <w:rsid w:val="000F4073"/>
    <w:rsid w:val="000F51F8"/>
    <w:rsid w:val="000F5C19"/>
    <w:rsid w:val="000F631D"/>
    <w:rsid w:val="00103B52"/>
    <w:rsid w:val="001040F1"/>
    <w:rsid w:val="0010570F"/>
    <w:rsid w:val="00110783"/>
    <w:rsid w:val="00111292"/>
    <w:rsid w:val="00113B9F"/>
    <w:rsid w:val="00116C38"/>
    <w:rsid w:val="001172DD"/>
    <w:rsid w:val="00117C2A"/>
    <w:rsid w:val="00120A44"/>
    <w:rsid w:val="00121228"/>
    <w:rsid w:val="00121CFA"/>
    <w:rsid w:val="001222E3"/>
    <w:rsid w:val="0012516F"/>
    <w:rsid w:val="00126CCB"/>
    <w:rsid w:val="001303FA"/>
    <w:rsid w:val="001312CB"/>
    <w:rsid w:val="00133AB8"/>
    <w:rsid w:val="001345C9"/>
    <w:rsid w:val="001361D0"/>
    <w:rsid w:val="00137422"/>
    <w:rsid w:val="00137B8A"/>
    <w:rsid w:val="00137CA9"/>
    <w:rsid w:val="00140DE7"/>
    <w:rsid w:val="00141802"/>
    <w:rsid w:val="001421C8"/>
    <w:rsid w:val="0014325A"/>
    <w:rsid w:val="001437C6"/>
    <w:rsid w:val="00145039"/>
    <w:rsid w:val="00145771"/>
    <w:rsid w:val="00145B88"/>
    <w:rsid w:val="00146488"/>
    <w:rsid w:val="00147363"/>
    <w:rsid w:val="001478CF"/>
    <w:rsid w:val="0014792B"/>
    <w:rsid w:val="00147C38"/>
    <w:rsid w:val="001529F2"/>
    <w:rsid w:val="0015445F"/>
    <w:rsid w:val="001578E2"/>
    <w:rsid w:val="00161182"/>
    <w:rsid w:val="00162375"/>
    <w:rsid w:val="00162D9D"/>
    <w:rsid w:val="001670D7"/>
    <w:rsid w:val="00170368"/>
    <w:rsid w:val="00170D8E"/>
    <w:rsid w:val="00171D97"/>
    <w:rsid w:val="00172304"/>
    <w:rsid w:val="001747DC"/>
    <w:rsid w:val="00174FFE"/>
    <w:rsid w:val="001775CB"/>
    <w:rsid w:val="00180218"/>
    <w:rsid w:val="00180D11"/>
    <w:rsid w:val="001825A2"/>
    <w:rsid w:val="0018699C"/>
    <w:rsid w:val="001878C0"/>
    <w:rsid w:val="001913E7"/>
    <w:rsid w:val="001937FA"/>
    <w:rsid w:val="00195A67"/>
    <w:rsid w:val="00196F95"/>
    <w:rsid w:val="001A1CCE"/>
    <w:rsid w:val="001A3713"/>
    <w:rsid w:val="001A4752"/>
    <w:rsid w:val="001B1219"/>
    <w:rsid w:val="001B4051"/>
    <w:rsid w:val="001B4575"/>
    <w:rsid w:val="001B5A29"/>
    <w:rsid w:val="001B6A3C"/>
    <w:rsid w:val="001C0C7E"/>
    <w:rsid w:val="001C2E79"/>
    <w:rsid w:val="001C4CBD"/>
    <w:rsid w:val="001D6A45"/>
    <w:rsid w:val="001D7EFF"/>
    <w:rsid w:val="001D7F02"/>
    <w:rsid w:val="001E06AC"/>
    <w:rsid w:val="001E11A1"/>
    <w:rsid w:val="001E1EDA"/>
    <w:rsid w:val="001E20FF"/>
    <w:rsid w:val="001E3DED"/>
    <w:rsid w:val="001E5E10"/>
    <w:rsid w:val="001E6281"/>
    <w:rsid w:val="001E6C74"/>
    <w:rsid w:val="001F02B7"/>
    <w:rsid w:val="001F23D3"/>
    <w:rsid w:val="001F3632"/>
    <w:rsid w:val="001F3672"/>
    <w:rsid w:val="001F4A82"/>
    <w:rsid w:val="001F612F"/>
    <w:rsid w:val="001F737A"/>
    <w:rsid w:val="001F758D"/>
    <w:rsid w:val="002006D3"/>
    <w:rsid w:val="00202185"/>
    <w:rsid w:val="00202529"/>
    <w:rsid w:val="002046A7"/>
    <w:rsid w:val="002079C0"/>
    <w:rsid w:val="00210040"/>
    <w:rsid w:val="0021134F"/>
    <w:rsid w:val="002115C6"/>
    <w:rsid w:val="002123A0"/>
    <w:rsid w:val="00214BC5"/>
    <w:rsid w:val="00216D9C"/>
    <w:rsid w:val="00220429"/>
    <w:rsid w:val="00222031"/>
    <w:rsid w:val="002235B7"/>
    <w:rsid w:val="00223D77"/>
    <w:rsid w:val="00224A13"/>
    <w:rsid w:val="00226F65"/>
    <w:rsid w:val="002273A0"/>
    <w:rsid w:val="00227B19"/>
    <w:rsid w:val="00227C8E"/>
    <w:rsid w:val="00230936"/>
    <w:rsid w:val="0023177E"/>
    <w:rsid w:val="0023230D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703F"/>
    <w:rsid w:val="00250C44"/>
    <w:rsid w:val="0025326D"/>
    <w:rsid w:val="00254488"/>
    <w:rsid w:val="00255ABC"/>
    <w:rsid w:val="00256FF6"/>
    <w:rsid w:val="00257F3A"/>
    <w:rsid w:val="0026290F"/>
    <w:rsid w:val="002632F8"/>
    <w:rsid w:val="0026367F"/>
    <w:rsid w:val="0026405F"/>
    <w:rsid w:val="00270E09"/>
    <w:rsid w:val="00275C9A"/>
    <w:rsid w:val="002803D9"/>
    <w:rsid w:val="0028366A"/>
    <w:rsid w:val="00283EF7"/>
    <w:rsid w:val="00283FCF"/>
    <w:rsid w:val="00284002"/>
    <w:rsid w:val="00284592"/>
    <w:rsid w:val="00291002"/>
    <w:rsid w:val="00291832"/>
    <w:rsid w:val="00291BDB"/>
    <w:rsid w:val="002924F2"/>
    <w:rsid w:val="00293527"/>
    <w:rsid w:val="0029404A"/>
    <w:rsid w:val="0029472B"/>
    <w:rsid w:val="00294CF5"/>
    <w:rsid w:val="002A07C1"/>
    <w:rsid w:val="002A0C56"/>
    <w:rsid w:val="002A142C"/>
    <w:rsid w:val="002A1509"/>
    <w:rsid w:val="002A3452"/>
    <w:rsid w:val="002A5381"/>
    <w:rsid w:val="002A5B10"/>
    <w:rsid w:val="002A5D6F"/>
    <w:rsid w:val="002B0F2E"/>
    <w:rsid w:val="002B5803"/>
    <w:rsid w:val="002C1772"/>
    <w:rsid w:val="002C1EA9"/>
    <w:rsid w:val="002C20A0"/>
    <w:rsid w:val="002C3628"/>
    <w:rsid w:val="002C3BFD"/>
    <w:rsid w:val="002D1E16"/>
    <w:rsid w:val="002D6AEC"/>
    <w:rsid w:val="002E19D3"/>
    <w:rsid w:val="002E2A66"/>
    <w:rsid w:val="002E2ADE"/>
    <w:rsid w:val="002E3462"/>
    <w:rsid w:val="002E5ED8"/>
    <w:rsid w:val="002F1521"/>
    <w:rsid w:val="002F30BC"/>
    <w:rsid w:val="002F30CB"/>
    <w:rsid w:val="002F40EB"/>
    <w:rsid w:val="002F4678"/>
    <w:rsid w:val="002F5876"/>
    <w:rsid w:val="002F5AE1"/>
    <w:rsid w:val="003020BD"/>
    <w:rsid w:val="00303133"/>
    <w:rsid w:val="00303B9D"/>
    <w:rsid w:val="0030472C"/>
    <w:rsid w:val="00304F2A"/>
    <w:rsid w:val="00306C86"/>
    <w:rsid w:val="00306DFB"/>
    <w:rsid w:val="00314856"/>
    <w:rsid w:val="00315901"/>
    <w:rsid w:val="00315EDC"/>
    <w:rsid w:val="00316F58"/>
    <w:rsid w:val="00317E41"/>
    <w:rsid w:val="00317FBB"/>
    <w:rsid w:val="0032090A"/>
    <w:rsid w:val="003223BF"/>
    <w:rsid w:val="00322F4D"/>
    <w:rsid w:val="00325527"/>
    <w:rsid w:val="00330262"/>
    <w:rsid w:val="00330CBA"/>
    <w:rsid w:val="00332B09"/>
    <w:rsid w:val="00334AA1"/>
    <w:rsid w:val="00334F17"/>
    <w:rsid w:val="00335811"/>
    <w:rsid w:val="00336366"/>
    <w:rsid w:val="003375A5"/>
    <w:rsid w:val="00340E6F"/>
    <w:rsid w:val="0034264B"/>
    <w:rsid w:val="00342E1A"/>
    <w:rsid w:val="003443DA"/>
    <w:rsid w:val="003505EE"/>
    <w:rsid w:val="0035196B"/>
    <w:rsid w:val="00354BE5"/>
    <w:rsid w:val="003573B7"/>
    <w:rsid w:val="00360166"/>
    <w:rsid w:val="00360D26"/>
    <w:rsid w:val="0036148D"/>
    <w:rsid w:val="00363238"/>
    <w:rsid w:val="00364327"/>
    <w:rsid w:val="003664D2"/>
    <w:rsid w:val="00366FE1"/>
    <w:rsid w:val="00367BAF"/>
    <w:rsid w:val="00367EA4"/>
    <w:rsid w:val="00370A8A"/>
    <w:rsid w:val="00373435"/>
    <w:rsid w:val="003745C9"/>
    <w:rsid w:val="00374A68"/>
    <w:rsid w:val="00374C21"/>
    <w:rsid w:val="00380359"/>
    <w:rsid w:val="003818F5"/>
    <w:rsid w:val="00382957"/>
    <w:rsid w:val="003853A3"/>
    <w:rsid w:val="00386F28"/>
    <w:rsid w:val="00392064"/>
    <w:rsid w:val="00393B05"/>
    <w:rsid w:val="003962C0"/>
    <w:rsid w:val="00396486"/>
    <w:rsid w:val="00397818"/>
    <w:rsid w:val="003A0E3D"/>
    <w:rsid w:val="003A0EDB"/>
    <w:rsid w:val="003A2579"/>
    <w:rsid w:val="003A346B"/>
    <w:rsid w:val="003A5FAB"/>
    <w:rsid w:val="003A6FB0"/>
    <w:rsid w:val="003B2841"/>
    <w:rsid w:val="003B6EFE"/>
    <w:rsid w:val="003B7999"/>
    <w:rsid w:val="003B79C0"/>
    <w:rsid w:val="003C0B3F"/>
    <w:rsid w:val="003C1A0C"/>
    <w:rsid w:val="003C2201"/>
    <w:rsid w:val="003C2904"/>
    <w:rsid w:val="003C61C0"/>
    <w:rsid w:val="003C6C14"/>
    <w:rsid w:val="003C7976"/>
    <w:rsid w:val="003D16CF"/>
    <w:rsid w:val="003D48C6"/>
    <w:rsid w:val="003D5E79"/>
    <w:rsid w:val="003D6678"/>
    <w:rsid w:val="003E19F6"/>
    <w:rsid w:val="003E3558"/>
    <w:rsid w:val="003E4E93"/>
    <w:rsid w:val="003F064B"/>
    <w:rsid w:val="003F0D0B"/>
    <w:rsid w:val="003F3975"/>
    <w:rsid w:val="003F5195"/>
    <w:rsid w:val="003F6939"/>
    <w:rsid w:val="003F6C3A"/>
    <w:rsid w:val="003F741B"/>
    <w:rsid w:val="004025F0"/>
    <w:rsid w:val="00405665"/>
    <w:rsid w:val="004067A0"/>
    <w:rsid w:val="00406DC0"/>
    <w:rsid w:val="00412091"/>
    <w:rsid w:val="00413655"/>
    <w:rsid w:val="00421A7B"/>
    <w:rsid w:val="00421D58"/>
    <w:rsid w:val="00421D85"/>
    <w:rsid w:val="00421FED"/>
    <w:rsid w:val="00422223"/>
    <w:rsid w:val="004232E4"/>
    <w:rsid w:val="004235CC"/>
    <w:rsid w:val="0042429A"/>
    <w:rsid w:val="00427C8C"/>
    <w:rsid w:val="00427D28"/>
    <w:rsid w:val="00430D3B"/>
    <w:rsid w:val="004312BD"/>
    <w:rsid w:val="004341E3"/>
    <w:rsid w:val="00434F54"/>
    <w:rsid w:val="004359AA"/>
    <w:rsid w:val="00436724"/>
    <w:rsid w:val="00437061"/>
    <w:rsid w:val="00441701"/>
    <w:rsid w:val="004427AB"/>
    <w:rsid w:val="004441CA"/>
    <w:rsid w:val="00444724"/>
    <w:rsid w:val="0044585F"/>
    <w:rsid w:val="00446BF8"/>
    <w:rsid w:val="0045127A"/>
    <w:rsid w:val="004516F0"/>
    <w:rsid w:val="00452A97"/>
    <w:rsid w:val="00452C00"/>
    <w:rsid w:val="00452C13"/>
    <w:rsid w:val="0045330E"/>
    <w:rsid w:val="00454858"/>
    <w:rsid w:val="00455010"/>
    <w:rsid w:val="00455EA3"/>
    <w:rsid w:val="00462A36"/>
    <w:rsid w:val="0046623E"/>
    <w:rsid w:val="004708C4"/>
    <w:rsid w:val="0047186E"/>
    <w:rsid w:val="00471EAA"/>
    <w:rsid w:val="004742DA"/>
    <w:rsid w:val="00474C27"/>
    <w:rsid w:val="00474C76"/>
    <w:rsid w:val="00476B32"/>
    <w:rsid w:val="00476EB7"/>
    <w:rsid w:val="00477984"/>
    <w:rsid w:val="00481305"/>
    <w:rsid w:val="00482087"/>
    <w:rsid w:val="004824EA"/>
    <w:rsid w:val="0048500D"/>
    <w:rsid w:val="00491405"/>
    <w:rsid w:val="00491AB8"/>
    <w:rsid w:val="004934A4"/>
    <w:rsid w:val="00493A96"/>
    <w:rsid w:val="00493F4A"/>
    <w:rsid w:val="00494904"/>
    <w:rsid w:val="00497C8B"/>
    <w:rsid w:val="00497CDF"/>
    <w:rsid w:val="004A1C61"/>
    <w:rsid w:val="004A44CE"/>
    <w:rsid w:val="004A4DD3"/>
    <w:rsid w:val="004A6093"/>
    <w:rsid w:val="004A635B"/>
    <w:rsid w:val="004A7259"/>
    <w:rsid w:val="004B0703"/>
    <w:rsid w:val="004B2C9B"/>
    <w:rsid w:val="004B324A"/>
    <w:rsid w:val="004B487D"/>
    <w:rsid w:val="004B5250"/>
    <w:rsid w:val="004B5FC4"/>
    <w:rsid w:val="004B6B26"/>
    <w:rsid w:val="004B7F90"/>
    <w:rsid w:val="004C0124"/>
    <w:rsid w:val="004C0143"/>
    <w:rsid w:val="004C0FDA"/>
    <w:rsid w:val="004C4584"/>
    <w:rsid w:val="004C68DA"/>
    <w:rsid w:val="004C6B04"/>
    <w:rsid w:val="004C7917"/>
    <w:rsid w:val="004D1CD3"/>
    <w:rsid w:val="004D2B64"/>
    <w:rsid w:val="004D2D37"/>
    <w:rsid w:val="004D3578"/>
    <w:rsid w:val="004D3E99"/>
    <w:rsid w:val="004D5F7D"/>
    <w:rsid w:val="004D5FA4"/>
    <w:rsid w:val="004E13A6"/>
    <w:rsid w:val="004E34A6"/>
    <w:rsid w:val="004E3964"/>
    <w:rsid w:val="004E3D30"/>
    <w:rsid w:val="004E40E5"/>
    <w:rsid w:val="004F233B"/>
    <w:rsid w:val="004F2785"/>
    <w:rsid w:val="004F42F2"/>
    <w:rsid w:val="004F4710"/>
    <w:rsid w:val="004F67B7"/>
    <w:rsid w:val="004F7103"/>
    <w:rsid w:val="004F7F17"/>
    <w:rsid w:val="00500A2A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55F2"/>
    <w:rsid w:val="005160BD"/>
    <w:rsid w:val="0051629A"/>
    <w:rsid w:val="00516A46"/>
    <w:rsid w:val="00517C7C"/>
    <w:rsid w:val="005250B6"/>
    <w:rsid w:val="00525779"/>
    <w:rsid w:val="0052669E"/>
    <w:rsid w:val="0052706F"/>
    <w:rsid w:val="00533117"/>
    <w:rsid w:val="00534732"/>
    <w:rsid w:val="005352B8"/>
    <w:rsid w:val="00536FA0"/>
    <w:rsid w:val="005374EB"/>
    <w:rsid w:val="00543F17"/>
    <w:rsid w:val="00545BEA"/>
    <w:rsid w:val="005478DE"/>
    <w:rsid w:val="0055011E"/>
    <w:rsid w:val="00550824"/>
    <w:rsid w:val="00552674"/>
    <w:rsid w:val="005544BE"/>
    <w:rsid w:val="00554791"/>
    <w:rsid w:val="00554C06"/>
    <w:rsid w:val="00555ACE"/>
    <w:rsid w:val="0055706E"/>
    <w:rsid w:val="005655D5"/>
    <w:rsid w:val="0056561D"/>
    <w:rsid w:val="00566E4E"/>
    <w:rsid w:val="00572C46"/>
    <w:rsid w:val="005758EE"/>
    <w:rsid w:val="0058242C"/>
    <w:rsid w:val="00582AD3"/>
    <w:rsid w:val="00582EF5"/>
    <w:rsid w:val="00587829"/>
    <w:rsid w:val="00590BE6"/>
    <w:rsid w:val="00592134"/>
    <w:rsid w:val="005921D5"/>
    <w:rsid w:val="00594FFA"/>
    <w:rsid w:val="00595DDC"/>
    <w:rsid w:val="00597946"/>
    <w:rsid w:val="005A0082"/>
    <w:rsid w:val="005A0FDE"/>
    <w:rsid w:val="005A3AED"/>
    <w:rsid w:val="005A4D7E"/>
    <w:rsid w:val="005A4E89"/>
    <w:rsid w:val="005A51C8"/>
    <w:rsid w:val="005A723E"/>
    <w:rsid w:val="005B244E"/>
    <w:rsid w:val="005B29FC"/>
    <w:rsid w:val="005B31FE"/>
    <w:rsid w:val="005B3655"/>
    <w:rsid w:val="005B4FF0"/>
    <w:rsid w:val="005B61AC"/>
    <w:rsid w:val="005B6F41"/>
    <w:rsid w:val="005C13F9"/>
    <w:rsid w:val="005C2614"/>
    <w:rsid w:val="005C4097"/>
    <w:rsid w:val="005C7790"/>
    <w:rsid w:val="005D0BD6"/>
    <w:rsid w:val="005D1654"/>
    <w:rsid w:val="005D2A5E"/>
    <w:rsid w:val="005D2D14"/>
    <w:rsid w:val="005D3AFA"/>
    <w:rsid w:val="005D42BB"/>
    <w:rsid w:val="005D532F"/>
    <w:rsid w:val="005D7D9B"/>
    <w:rsid w:val="005E4EC5"/>
    <w:rsid w:val="005E5D08"/>
    <w:rsid w:val="005E71B9"/>
    <w:rsid w:val="005E76A4"/>
    <w:rsid w:val="005F0E8F"/>
    <w:rsid w:val="005F13D2"/>
    <w:rsid w:val="005F2C3A"/>
    <w:rsid w:val="005F50A9"/>
    <w:rsid w:val="005F595C"/>
    <w:rsid w:val="005F62EA"/>
    <w:rsid w:val="006008DE"/>
    <w:rsid w:val="00601262"/>
    <w:rsid w:val="0060160C"/>
    <w:rsid w:val="006025B0"/>
    <w:rsid w:val="006030B8"/>
    <w:rsid w:val="0060312E"/>
    <w:rsid w:val="00606940"/>
    <w:rsid w:val="00611DD0"/>
    <w:rsid w:val="0061316D"/>
    <w:rsid w:val="006167D4"/>
    <w:rsid w:val="00616C0D"/>
    <w:rsid w:val="00617481"/>
    <w:rsid w:val="00621143"/>
    <w:rsid w:val="00621805"/>
    <w:rsid w:val="00621E2C"/>
    <w:rsid w:val="00622D1C"/>
    <w:rsid w:val="00626904"/>
    <w:rsid w:val="006311A7"/>
    <w:rsid w:val="006312F1"/>
    <w:rsid w:val="0063577C"/>
    <w:rsid w:val="00636586"/>
    <w:rsid w:val="00636B12"/>
    <w:rsid w:val="00637F8A"/>
    <w:rsid w:val="00641486"/>
    <w:rsid w:val="00641AA0"/>
    <w:rsid w:val="00642D5A"/>
    <w:rsid w:val="00643090"/>
    <w:rsid w:val="00644C21"/>
    <w:rsid w:val="0064546F"/>
    <w:rsid w:val="00645D08"/>
    <w:rsid w:val="0065057A"/>
    <w:rsid w:val="00652518"/>
    <w:rsid w:val="00652719"/>
    <w:rsid w:val="00652C24"/>
    <w:rsid w:val="00653127"/>
    <w:rsid w:val="00653354"/>
    <w:rsid w:val="00653DE2"/>
    <w:rsid w:val="00654057"/>
    <w:rsid w:val="00654264"/>
    <w:rsid w:val="0065456C"/>
    <w:rsid w:val="00654948"/>
    <w:rsid w:val="00655767"/>
    <w:rsid w:val="00655FB9"/>
    <w:rsid w:val="00657403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C0E"/>
    <w:rsid w:val="006760E0"/>
    <w:rsid w:val="006820DF"/>
    <w:rsid w:val="0068220D"/>
    <w:rsid w:val="00682F9F"/>
    <w:rsid w:val="00690B2B"/>
    <w:rsid w:val="006927C4"/>
    <w:rsid w:val="006936D2"/>
    <w:rsid w:val="0069530B"/>
    <w:rsid w:val="00696370"/>
    <w:rsid w:val="0069651D"/>
    <w:rsid w:val="00696A1C"/>
    <w:rsid w:val="00696BDD"/>
    <w:rsid w:val="00696D03"/>
    <w:rsid w:val="00697D10"/>
    <w:rsid w:val="006A072C"/>
    <w:rsid w:val="006A230D"/>
    <w:rsid w:val="006A408C"/>
    <w:rsid w:val="006A43FE"/>
    <w:rsid w:val="006A57EA"/>
    <w:rsid w:val="006A6DD2"/>
    <w:rsid w:val="006B4881"/>
    <w:rsid w:val="006B56B9"/>
    <w:rsid w:val="006B5FC2"/>
    <w:rsid w:val="006C0AF8"/>
    <w:rsid w:val="006C1571"/>
    <w:rsid w:val="006C2786"/>
    <w:rsid w:val="006C40AC"/>
    <w:rsid w:val="006C5DA7"/>
    <w:rsid w:val="006C7CB2"/>
    <w:rsid w:val="006D1B20"/>
    <w:rsid w:val="006D1E91"/>
    <w:rsid w:val="006D29D6"/>
    <w:rsid w:val="006D3A74"/>
    <w:rsid w:val="006D43B9"/>
    <w:rsid w:val="006D4A72"/>
    <w:rsid w:val="006D6CE8"/>
    <w:rsid w:val="006E0A93"/>
    <w:rsid w:val="006E2323"/>
    <w:rsid w:val="006E403D"/>
    <w:rsid w:val="006E4AFA"/>
    <w:rsid w:val="006E5046"/>
    <w:rsid w:val="006F019B"/>
    <w:rsid w:val="006F05B5"/>
    <w:rsid w:val="006F16B1"/>
    <w:rsid w:val="006F2720"/>
    <w:rsid w:val="006F4DDD"/>
    <w:rsid w:val="006F61F6"/>
    <w:rsid w:val="007003AA"/>
    <w:rsid w:val="0070178A"/>
    <w:rsid w:val="00701A77"/>
    <w:rsid w:val="00704B7E"/>
    <w:rsid w:val="00704E8E"/>
    <w:rsid w:val="00704EED"/>
    <w:rsid w:val="007052D0"/>
    <w:rsid w:val="00710ACA"/>
    <w:rsid w:val="00710D50"/>
    <w:rsid w:val="00711171"/>
    <w:rsid w:val="00711BA1"/>
    <w:rsid w:val="0071211A"/>
    <w:rsid w:val="00714E94"/>
    <w:rsid w:val="00717319"/>
    <w:rsid w:val="0071768D"/>
    <w:rsid w:val="00717B18"/>
    <w:rsid w:val="00722075"/>
    <w:rsid w:val="0072275D"/>
    <w:rsid w:val="00723F72"/>
    <w:rsid w:val="007246AF"/>
    <w:rsid w:val="007307F8"/>
    <w:rsid w:val="00731434"/>
    <w:rsid w:val="00731E67"/>
    <w:rsid w:val="007323F8"/>
    <w:rsid w:val="00733468"/>
    <w:rsid w:val="00733894"/>
    <w:rsid w:val="00735595"/>
    <w:rsid w:val="00735741"/>
    <w:rsid w:val="007358AC"/>
    <w:rsid w:val="00737607"/>
    <w:rsid w:val="00740A0E"/>
    <w:rsid w:val="00741910"/>
    <w:rsid w:val="00742F23"/>
    <w:rsid w:val="0074379D"/>
    <w:rsid w:val="00744890"/>
    <w:rsid w:val="007460DA"/>
    <w:rsid w:val="007461FB"/>
    <w:rsid w:val="00750455"/>
    <w:rsid w:val="00751128"/>
    <w:rsid w:val="0075629E"/>
    <w:rsid w:val="00761947"/>
    <w:rsid w:val="007642B3"/>
    <w:rsid w:val="00765119"/>
    <w:rsid w:val="0076563E"/>
    <w:rsid w:val="00765A73"/>
    <w:rsid w:val="00765C47"/>
    <w:rsid w:val="00765CBF"/>
    <w:rsid w:val="007666AE"/>
    <w:rsid w:val="007668EE"/>
    <w:rsid w:val="007669E0"/>
    <w:rsid w:val="0076712D"/>
    <w:rsid w:val="00773591"/>
    <w:rsid w:val="00773E31"/>
    <w:rsid w:val="00777EB7"/>
    <w:rsid w:val="00781628"/>
    <w:rsid w:val="007818CC"/>
    <w:rsid w:val="00781DBD"/>
    <w:rsid w:val="0078527F"/>
    <w:rsid w:val="0078605F"/>
    <w:rsid w:val="00791C2B"/>
    <w:rsid w:val="00792AF3"/>
    <w:rsid w:val="00792C96"/>
    <w:rsid w:val="00794E5B"/>
    <w:rsid w:val="007953DF"/>
    <w:rsid w:val="007970E2"/>
    <w:rsid w:val="007A1B23"/>
    <w:rsid w:val="007A6986"/>
    <w:rsid w:val="007A7CD7"/>
    <w:rsid w:val="007B0452"/>
    <w:rsid w:val="007B0798"/>
    <w:rsid w:val="007B0DBE"/>
    <w:rsid w:val="007B173D"/>
    <w:rsid w:val="007B3E83"/>
    <w:rsid w:val="007B46D0"/>
    <w:rsid w:val="007B50E6"/>
    <w:rsid w:val="007B698A"/>
    <w:rsid w:val="007C04EF"/>
    <w:rsid w:val="007C059F"/>
    <w:rsid w:val="007C1246"/>
    <w:rsid w:val="007C2480"/>
    <w:rsid w:val="007C2642"/>
    <w:rsid w:val="007C3949"/>
    <w:rsid w:val="007C50E0"/>
    <w:rsid w:val="007C7986"/>
    <w:rsid w:val="007D024A"/>
    <w:rsid w:val="007D641E"/>
    <w:rsid w:val="007D71BF"/>
    <w:rsid w:val="007D7BEF"/>
    <w:rsid w:val="007E18BF"/>
    <w:rsid w:val="007E20D7"/>
    <w:rsid w:val="007E2371"/>
    <w:rsid w:val="007E3812"/>
    <w:rsid w:val="007E43B0"/>
    <w:rsid w:val="007E5C94"/>
    <w:rsid w:val="007E5D73"/>
    <w:rsid w:val="007F2222"/>
    <w:rsid w:val="007F239E"/>
    <w:rsid w:val="007F4373"/>
    <w:rsid w:val="007F5527"/>
    <w:rsid w:val="007F77D7"/>
    <w:rsid w:val="00802B36"/>
    <w:rsid w:val="008035B5"/>
    <w:rsid w:val="00805FF3"/>
    <w:rsid w:val="008104CA"/>
    <w:rsid w:val="00811F8A"/>
    <w:rsid w:val="00813EB2"/>
    <w:rsid w:val="008143F3"/>
    <w:rsid w:val="00815179"/>
    <w:rsid w:val="0081663B"/>
    <w:rsid w:val="00816C50"/>
    <w:rsid w:val="00817019"/>
    <w:rsid w:val="008176C9"/>
    <w:rsid w:val="00821714"/>
    <w:rsid w:val="00821843"/>
    <w:rsid w:val="008226BB"/>
    <w:rsid w:val="00822CC5"/>
    <w:rsid w:val="00827DBF"/>
    <w:rsid w:val="00830940"/>
    <w:rsid w:val="008332E3"/>
    <w:rsid w:val="00833337"/>
    <w:rsid w:val="00836966"/>
    <w:rsid w:val="00836DE9"/>
    <w:rsid w:val="00837647"/>
    <w:rsid w:val="008412DE"/>
    <w:rsid w:val="00841526"/>
    <w:rsid w:val="00841A7C"/>
    <w:rsid w:val="008431EF"/>
    <w:rsid w:val="008435A4"/>
    <w:rsid w:val="00845291"/>
    <w:rsid w:val="00846812"/>
    <w:rsid w:val="00847485"/>
    <w:rsid w:val="0085017A"/>
    <w:rsid w:val="008508FD"/>
    <w:rsid w:val="0085188F"/>
    <w:rsid w:val="008531EF"/>
    <w:rsid w:val="008543B7"/>
    <w:rsid w:val="0085479C"/>
    <w:rsid w:val="00856260"/>
    <w:rsid w:val="00861815"/>
    <w:rsid w:val="00862268"/>
    <w:rsid w:val="00862A7F"/>
    <w:rsid w:val="008635F0"/>
    <w:rsid w:val="0086476D"/>
    <w:rsid w:val="008655F0"/>
    <w:rsid w:val="00866A0E"/>
    <w:rsid w:val="00867030"/>
    <w:rsid w:val="008670B3"/>
    <w:rsid w:val="00867E50"/>
    <w:rsid w:val="00871335"/>
    <w:rsid w:val="00872EC2"/>
    <w:rsid w:val="008738C2"/>
    <w:rsid w:val="008803A8"/>
    <w:rsid w:val="00881306"/>
    <w:rsid w:val="00881640"/>
    <w:rsid w:val="008830C6"/>
    <w:rsid w:val="00886BDC"/>
    <w:rsid w:val="0089333C"/>
    <w:rsid w:val="0089455B"/>
    <w:rsid w:val="00894885"/>
    <w:rsid w:val="0089762E"/>
    <w:rsid w:val="008A03D5"/>
    <w:rsid w:val="008A2350"/>
    <w:rsid w:val="008A5B9E"/>
    <w:rsid w:val="008A5CF9"/>
    <w:rsid w:val="008A5D46"/>
    <w:rsid w:val="008B23F3"/>
    <w:rsid w:val="008B2CF0"/>
    <w:rsid w:val="008B6AEF"/>
    <w:rsid w:val="008C0773"/>
    <w:rsid w:val="008C0D30"/>
    <w:rsid w:val="008C1742"/>
    <w:rsid w:val="008C3BD8"/>
    <w:rsid w:val="008C3DF4"/>
    <w:rsid w:val="008C5ADD"/>
    <w:rsid w:val="008C728D"/>
    <w:rsid w:val="008D5293"/>
    <w:rsid w:val="008D5495"/>
    <w:rsid w:val="008D73D3"/>
    <w:rsid w:val="008D7D0C"/>
    <w:rsid w:val="008E107A"/>
    <w:rsid w:val="008E1082"/>
    <w:rsid w:val="008E18D8"/>
    <w:rsid w:val="008E19C4"/>
    <w:rsid w:val="008E27BC"/>
    <w:rsid w:val="008E3887"/>
    <w:rsid w:val="008E4375"/>
    <w:rsid w:val="008E4E78"/>
    <w:rsid w:val="008E69A7"/>
    <w:rsid w:val="008E6D3F"/>
    <w:rsid w:val="008F0768"/>
    <w:rsid w:val="008F07D9"/>
    <w:rsid w:val="008F0970"/>
    <w:rsid w:val="008F1707"/>
    <w:rsid w:val="008F2FFD"/>
    <w:rsid w:val="008F55F7"/>
    <w:rsid w:val="008F599A"/>
    <w:rsid w:val="008F5A61"/>
    <w:rsid w:val="008F6626"/>
    <w:rsid w:val="008F7C8F"/>
    <w:rsid w:val="00903474"/>
    <w:rsid w:val="009048D7"/>
    <w:rsid w:val="00904E03"/>
    <w:rsid w:val="0091050D"/>
    <w:rsid w:val="0091344E"/>
    <w:rsid w:val="009138B6"/>
    <w:rsid w:val="00914F50"/>
    <w:rsid w:val="0091548B"/>
    <w:rsid w:val="00916838"/>
    <w:rsid w:val="009204E1"/>
    <w:rsid w:val="00925634"/>
    <w:rsid w:val="00925998"/>
    <w:rsid w:val="00925D29"/>
    <w:rsid w:val="009272B9"/>
    <w:rsid w:val="00927E52"/>
    <w:rsid w:val="00930A4E"/>
    <w:rsid w:val="00930B43"/>
    <w:rsid w:val="00931068"/>
    <w:rsid w:val="009313A8"/>
    <w:rsid w:val="009313E7"/>
    <w:rsid w:val="0093341F"/>
    <w:rsid w:val="00933C83"/>
    <w:rsid w:val="00934836"/>
    <w:rsid w:val="00934C40"/>
    <w:rsid w:val="0093771A"/>
    <w:rsid w:val="0094120F"/>
    <w:rsid w:val="009421FA"/>
    <w:rsid w:val="00942660"/>
    <w:rsid w:val="00942C6C"/>
    <w:rsid w:val="00942DBF"/>
    <w:rsid w:val="0094412D"/>
    <w:rsid w:val="00944455"/>
    <w:rsid w:val="00944931"/>
    <w:rsid w:val="00944A59"/>
    <w:rsid w:val="0094621C"/>
    <w:rsid w:val="00946FEE"/>
    <w:rsid w:val="009479F2"/>
    <w:rsid w:val="0095028C"/>
    <w:rsid w:val="009510E8"/>
    <w:rsid w:val="00951F10"/>
    <w:rsid w:val="00952B7A"/>
    <w:rsid w:val="00952E7E"/>
    <w:rsid w:val="00952F5C"/>
    <w:rsid w:val="00953C8E"/>
    <w:rsid w:val="009559CD"/>
    <w:rsid w:val="0096161C"/>
    <w:rsid w:val="00961968"/>
    <w:rsid w:val="00962325"/>
    <w:rsid w:val="00963228"/>
    <w:rsid w:val="00963ADD"/>
    <w:rsid w:val="00964FD5"/>
    <w:rsid w:val="00965FE5"/>
    <w:rsid w:val="00967E73"/>
    <w:rsid w:val="0097093B"/>
    <w:rsid w:val="00970D5E"/>
    <w:rsid w:val="0097182C"/>
    <w:rsid w:val="00974666"/>
    <w:rsid w:val="00975138"/>
    <w:rsid w:val="009775A1"/>
    <w:rsid w:val="009775C6"/>
    <w:rsid w:val="00982662"/>
    <w:rsid w:val="00984485"/>
    <w:rsid w:val="0098711C"/>
    <w:rsid w:val="00987763"/>
    <w:rsid w:val="00987A8B"/>
    <w:rsid w:val="00987B31"/>
    <w:rsid w:val="00990AC4"/>
    <w:rsid w:val="00991E68"/>
    <w:rsid w:val="00992132"/>
    <w:rsid w:val="009973B4"/>
    <w:rsid w:val="0099740D"/>
    <w:rsid w:val="009A184D"/>
    <w:rsid w:val="009A2AC2"/>
    <w:rsid w:val="009A5481"/>
    <w:rsid w:val="009A651D"/>
    <w:rsid w:val="009B112B"/>
    <w:rsid w:val="009B13AF"/>
    <w:rsid w:val="009B2B68"/>
    <w:rsid w:val="009B3C13"/>
    <w:rsid w:val="009B3D1F"/>
    <w:rsid w:val="009B5E06"/>
    <w:rsid w:val="009B6DB1"/>
    <w:rsid w:val="009B7804"/>
    <w:rsid w:val="009C2E93"/>
    <w:rsid w:val="009C4DA0"/>
    <w:rsid w:val="009C668E"/>
    <w:rsid w:val="009D16FA"/>
    <w:rsid w:val="009D1994"/>
    <w:rsid w:val="009D1CBB"/>
    <w:rsid w:val="009D3FE3"/>
    <w:rsid w:val="009D40F7"/>
    <w:rsid w:val="009D4170"/>
    <w:rsid w:val="009D4BA6"/>
    <w:rsid w:val="009D6B40"/>
    <w:rsid w:val="009D7947"/>
    <w:rsid w:val="009E14BE"/>
    <w:rsid w:val="009E1944"/>
    <w:rsid w:val="009E31DB"/>
    <w:rsid w:val="009E45FD"/>
    <w:rsid w:val="009E4624"/>
    <w:rsid w:val="009E5296"/>
    <w:rsid w:val="009E6FB1"/>
    <w:rsid w:val="009E7860"/>
    <w:rsid w:val="009F0A7F"/>
    <w:rsid w:val="009F45F7"/>
    <w:rsid w:val="009F4E7F"/>
    <w:rsid w:val="009F6090"/>
    <w:rsid w:val="009F6DB6"/>
    <w:rsid w:val="00A012BA"/>
    <w:rsid w:val="00A027A7"/>
    <w:rsid w:val="00A040A3"/>
    <w:rsid w:val="00A051D0"/>
    <w:rsid w:val="00A06ED2"/>
    <w:rsid w:val="00A13017"/>
    <w:rsid w:val="00A137C0"/>
    <w:rsid w:val="00A141E7"/>
    <w:rsid w:val="00A143A2"/>
    <w:rsid w:val="00A150C8"/>
    <w:rsid w:val="00A152AB"/>
    <w:rsid w:val="00A15423"/>
    <w:rsid w:val="00A15875"/>
    <w:rsid w:val="00A20888"/>
    <w:rsid w:val="00A21402"/>
    <w:rsid w:val="00A2146D"/>
    <w:rsid w:val="00A2148D"/>
    <w:rsid w:val="00A21B1F"/>
    <w:rsid w:val="00A21CF3"/>
    <w:rsid w:val="00A21FB1"/>
    <w:rsid w:val="00A23662"/>
    <w:rsid w:val="00A244C6"/>
    <w:rsid w:val="00A304BC"/>
    <w:rsid w:val="00A31372"/>
    <w:rsid w:val="00A327B4"/>
    <w:rsid w:val="00A34856"/>
    <w:rsid w:val="00A35674"/>
    <w:rsid w:val="00A36753"/>
    <w:rsid w:val="00A3725B"/>
    <w:rsid w:val="00A4093E"/>
    <w:rsid w:val="00A4185F"/>
    <w:rsid w:val="00A429E2"/>
    <w:rsid w:val="00A4421A"/>
    <w:rsid w:val="00A44807"/>
    <w:rsid w:val="00A4583F"/>
    <w:rsid w:val="00A46D43"/>
    <w:rsid w:val="00A46E11"/>
    <w:rsid w:val="00A50165"/>
    <w:rsid w:val="00A50A1A"/>
    <w:rsid w:val="00A52B50"/>
    <w:rsid w:val="00A53478"/>
    <w:rsid w:val="00A559D9"/>
    <w:rsid w:val="00A5721B"/>
    <w:rsid w:val="00A576CC"/>
    <w:rsid w:val="00A57BD6"/>
    <w:rsid w:val="00A60921"/>
    <w:rsid w:val="00A610C1"/>
    <w:rsid w:val="00A629DA"/>
    <w:rsid w:val="00A629E7"/>
    <w:rsid w:val="00A630F3"/>
    <w:rsid w:val="00A63101"/>
    <w:rsid w:val="00A63BE0"/>
    <w:rsid w:val="00A63DD0"/>
    <w:rsid w:val="00A654EB"/>
    <w:rsid w:val="00A67534"/>
    <w:rsid w:val="00A70785"/>
    <w:rsid w:val="00A70CB4"/>
    <w:rsid w:val="00A71E4B"/>
    <w:rsid w:val="00A72587"/>
    <w:rsid w:val="00A7267D"/>
    <w:rsid w:val="00A72D5B"/>
    <w:rsid w:val="00A73957"/>
    <w:rsid w:val="00A739EF"/>
    <w:rsid w:val="00A766D0"/>
    <w:rsid w:val="00A80DB0"/>
    <w:rsid w:val="00A853D3"/>
    <w:rsid w:val="00A867D5"/>
    <w:rsid w:val="00A86D58"/>
    <w:rsid w:val="00A90D79"/>
    <w:rsid w:val="00A919FB"/>
    <w:rsid w:val="00A93AED"/>
    <w:rsid w:val="00A94346"/>
    <w:rsid w:val="00A943F4"/>
    <w:rsid w:val="00A94BB7"/>
    <w:rsid w:val="00AA0E55"/>
    <w:rsid w:val="00AA5D1A"/>
    <w:rsid w:val="00AA5D25"/>
    <w:rsid w:val="00AA5EB9"/>
    <w:rsid w:val="00AA7CBA"/>
    <w:rsid w:val="00AB00DB"/>
    <w:rsid w:val="00AB1208"/>
    <w:rsid w:val="00AB2965"/>
    <w:rsid w:val="00AB4C7B"/>
    <w:rsid w:val="00AB4FBA"/>
    <w:rsid w:val="00AC25BA"/>
    <w:rsid w:val="00AC3032"/>
    <w:rsid w:val="00AC335E"/>
    <w:rsid w:val="00AC33BA"/>
    <w:rsid w:val="00AC4D97"/>
    <w:rsid w:val="00AC61CF"/>
    <w:rsid w:val="00AD160B"/>
    <w:rsid w:val="00AD3F4E"/>
    <w:rsid w:val="00AD56FA"/>
    <w:rsid w:val="00AD571B"/>
    <w:rsid w:val="00AD57C7"/>
    <w:rsid w:val="00AD5B80"/>
    <w:rsid w:val="00AD63B7"/>
    <w:rsid w:val="00AE0DFC"/>
    <w:rsid w:val="00AE0FA7"/>
    <w:rsid w:val="00AE43F6"/>
    <w:rsid w:val="00AF1465"/>
    <w:rsid w:val="00AF3251"/>
    <w:rsid w:val="00AF4255"/>
    <w:rsid w:val="00AF4794"/>
    <w:rsid w:val="00AF6B3E"/>
    <w:rsid w:val="00AF6DC9"/>
    <w:rsid w:val="00AF742C"/>
    <w:rsid w:val="00AF7AB4"/>
    <w:rsid w:val="00B03A67"/>
    <w:rsid w:val="00B044F5"/>
    <w:rsid w:val="00B048EC"/>
    <w:rsid w:val="00B04EDE"/>
    <w:rsid w:val="00B057A8"/>
    <w:rsid w:val="00B05AE6"/>
    <w:rsid w:val="00B0665A"/>
    <w:rsid w:val="00B0699D"/>
    <w:rsid w:val="00B06E10"/>
    <w:rsid w:val="00B106BB"/>
    <w:rsid w:val="00B10D33"/>
    <w:rsid w:val="00B12176"/>
    <w:rsid w:val="00B13142"/>
    <w:rsid w:val="00B13644"/>
    <w:rsid w:val="00B1712B"/>
    <w:rsid w:val="00B17785"/>
    <w:rsid w:val="00B2273C"/>
    <w:rsid w:val="00B235D5"/>
    <w:rsid w:val="00B2394A"/>
    <w:rsid w:val="00B242DE"/>
    <w:rsid w:val="00B25AFB"/>
    <w:rsid w:val="00B26C13"/>
    <w:rsid w:val="00B30A3A"/>
    <w:rsid w:val="00B31110"/>
    <w:rsid w:val="00B31ABB"/>
    <w:rsid w:val="00B31C54"/>
    <w:rsid w:val="00B327A1"/>
    <w:rsid w:val="00B35669"/>
    <w:rsid w:val="00B35DD9"/>
    <w:rsid w:val="00B36F02"/>
    <w:rsid w:val="00B37479"/>
    <w:rsid w:val="00B37DED"/>
    <w:rsid w:val="00B46BEE"/>
    <w:rsid w:val="00B50630"/>
    <w:rsid w:val="00B53192"/>
    <w:rsid w:val="00B53205"/>
    <w:rsid w:val="00B5374C"/>
    <w:rsid w:val="00B53D6C"/>
    <w:rsid w:val="00B5412A"/>
    <w:rsid w:val="00B55DBE"/>
    <w:rsid w:val="00B56935"/>
    <w:rsid w:val="00B70415"/>
    <w:rsid w:val="00B70B90"/>
    <w:rsid w:val="00B72509"/>
    <w:rsid w:val="00B7271E"/>
    <w:rsid w:val="00B73992"/>
    <w:rsid w:val="00B74E08"/>
    <w:rsid w:val="00B75A92"/>
    <w:rsid w:val="00B7736B"/>
    <w:rsid w:val="00B805DD"/>
    <w:rsid w:val="00B83FBA"/>
    <w:rsid w:val="00B8488C"/>
    <w:rsid w:val="00B84F9E"/>
    <w:rsid w:val="00B8614C"/>
    <w:rsid w:val="00B86E09"/>
    <w:rsid w:val="00B87208"/>
    <w:rsid w:val="00B87292"/>
    <w:rsid w:val="00B87E66"/>
    <w:rsid w:val="00B910B2"/>
    <w:rsid w:val="00B92CFE"/>
    <w:rsid w:val="00B93F8E"/>
    <w:rsid w:val="00B94507"/>
    <w:rsid w:val="00BA061E"/>
    <w:rsid w:val="00BA1DF3"/>
    <w:rsid w:val="00BA210C"/>
    <w:rsid w:val="00BA6536"/>
    <w:rsid w:val="00BB0902"/>
    <w:rsid w:val="00BB1EBA"/>
    <w:rsid w:val="00BB1FC2"/>
    <w:rsid w:val="00BB302D"/>
    <w:rsid w:val="00BB3BE7"/>
    <w:rsid w:val="00BB4A9A"/>
    <w:rsid w:val="00BB6F6A"/>
    <w:rsid w:val="00BC0C41"/>
    <w:rsid w:val="00BC119A"/>
    <w:rsid w:val="00BC3C94"/>
    <w:rsid w:val="00BC71B0"/>
    <w:rsid w:val="00BC7593"/>
    <w:rsid w:val="00BD124E"/>
    <w:rsid w:val="00BD2B51"/>
    <w:rsid w:val="00BD3535"/>
    <w:rsid w:val="00BD3685"/>
    <w:rsid w:val="00BD486C"/>
    <w:rsid w:val="00BD7994"/>
    <w:rsid w:val="00BE089F"/>
    <w:rsid w:val="00BE0946"/>
    <w:rsid w:val="00BE2BD6"/>
    <w:rsid w:val="00BE395B"/>
    <w:rsid w:val="00BE3C29"/>
    <w:rsid w:val="00BE4377"/>
    <w:rsid w:val="00BE4C32"/>
    <w:rsid w:val="00BE7159"/>
    <w:rsid w:val="00BE7692"/>
    <w:rsid w:val="00BE7B15"/>
    <w:rsid w:val="00BF035B"/>
    <w:rsid w:val="00BF18D7"/>
    <w:rsid w:val="00BF37AA"/>
    <w:rsid w:val="00BF41E2"/>
    <w:rsid w:val="00BF5999"/>
    <w:rsid w:val="00BF5DD2"/>
    <w:rsid w:val="00BF6050"/>
    <w:rsid w:val="00C002CD"/>
    <w:rsid w:val="00C00CAD"/>
    <w:rsid w:val="00C01A5A"/>
    <w:rsid w:val="00C04184"/>
    <w:rsid w:val="00C04609"/>
    <w:rsid w:val="00C04664"/>
    <w:rsid w:val="00C07E12"/>
    <w:rsid w:val="00C111B4"/>
    <w:rsid w:val="00C125EA"/>
    <w:rsid w:val="00C1291A"/>
    <w:rsid w:val="00C135EF"/>
    <w:rsid w:val="00C138A8"/>
    <w:rsid w:val="00C13A71"/>
    <w:rsid w:val="00C149E5"/>
    <w:rsid w:val="00C15D83"/>
    <w:rsid w:val="00C16207"/>
    <w:rsid w:val="00C17507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31050"/>
    <w:rsid w:val="00C320A1"/>
    <w:rsid w:val="00C32413"/>
    <w:rsid w:val="00C324D7"/>
    <w:rsid w:val="00C34488"/>
    <w:rsid w:val="00C3598E"/>
    <w:rsid w:val="00C40D57"/>
    <w:rsid w:val="00C422B4"/>
    <w:rsid w:val="00C42677"/>
    <w:rsid w:val="00C42D57"/>
    <w:rsid w:val="00C43445"/>
    <w:rsid w:val="00C4429A"/>
    <w:rsid w:val="00C44691"/>
    <w:rsid w:val="00C4492B"/>
    <w:rsid w:val="00C455D1"/>
    <w:rsid w:val="00C46A3F"/>
    <w:rsid w:val="00C50BE2"/>
    <w:rsid w:val="00C51226"/>
    <w:rsid w:val="00C513E6"/>
    <w:rsid w:val="00C51611"/>
    <w:rsid w:val="00C5230E"/>
    <w:rsid w:val="00C52DF5"/>
    <w:rsid w:val="00C54D1A"/>
    <w:rsid w:val="00C57143"/>
    <w:rsid w:val="00C57C8B"/>
    <w:rsid w:val="00C57DE4"/>
    <w:rsid w:val="00C60C7C"/>
    <w:rsid w:val="00C61803"/>
    <w:rsid w:val="00C637C8"/>
    <w:rsid w:val="00C64C4C"/>
    <w:rsid w:val="00C7004C"/>
    <w:rsid w:val="00C70F16"/>
    <w:rsid w:val="00C72721"/>
    <w:rsid w:val="00C737E9"/>
    <w:rsid w:val="00C753D4"/>
    <w:rsid w:val="00C7597A"/>
    <w:rsid w:val="00C8000E"/>
    <w:rsid w:val="00C827A5"/>
    <w:rsid w:val="00C82EF3"/>
    <w:rsid w:val="00C82F8F"/>
    <w:rsid w:val="00C83BF3"/>
    <w:rsid w:val="00C91C03"/>
    <w:rsid w:val="00C92DAE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7EA"/>
    <w:rsid w:val="00CA49BC"/>
    <w:rsid w:val="00CA4F8C"/>
    <w:rsid w:val="00CA4FC5"/>
    <w:rsid w:val="00CA6C96"/>
    <w:rsid w:val="00CA7A50"/>
    <w:rsid w:val="00CA7C2B"/>
    <w:rsid w:val="00CB0AE9"/>
    <w:rsid w:val="00CB1169"/>
    <w:rsid w:val="00CB198C"/>
    <w:rsid w:val="00CB20CD"/>
    <w:rsid w:val="00CB3A0D"/>
    <w:rsid w:val="00CB4546"/>
    <w:rsid w:val="00CB4CEB"/>
    <w:rsid w:val="00CB644B"/>
    <w:rsid w:val="00CB7142"/>
    <w:rsid w:val="00CC0426"/>
    <w:rsid w:val="00CC1614"/>
    <w:rsid w:val="00CC3CEB"/>
    <w:rsid w:val="00CC57A4"/>
    <w:rsid w:val="00CC5827"/>
    <w:rsid w:val="00CD02EB"/>
    <w:rsid w:val="00CD03DD"/>
    <w:rsid w:val="00CD0422"/>
    <w:rsid w:val="00CD09C6"/>
    <w:rsid w:val="00CD42E8"/>
    <w:rsid w:val="00CD71FF"/>
    <w:rsid w:val="00CE00CE"/>
    <w:rsid w:val="00CE030A"/>
    <w:rsid w:val="00CE0E27"/>
    <w:rsid w:val="00CE0FD4"/>
    <w:rsid w:val="00CE2405"/>
    <w:rsid w:val="00CE33BF"/>
    <w:rsid w:val="00CE430D"/>
    <w:rsid w:val="00CE49EE"/>
    <w:rsid w:val="00CE5482"/>
    <w:rsid w:val="00CF043F"/>
    <w:rsid w:val="00CF1902"/>
    <w:rsid w:val="00CF32AB"/>
    <w:rsid w:val="00CF39D3"/>
    <w:rsid w:val="00CF5663"/>
    <w:rsid w:val="00CF7611"/>
    <w:rsid w:val="00CF7E75"/>
    <w:rsid w:val="00D015BF"/>
    <w:rsid w:val="00D0200A"/>
    <w:rsid w:val="00D04300"/>
    <w:rsid w:val="00D05288"/>
    <w:rsid w:val="00D06FC0"/>
    <w:rsid w:val="00D1066F"/>
    <w:rsid w:val="00D1240C"/>
    <w:rsid w:val="00D12D66"/>
    <w:rsid w:val="00D1635A"/>
    <w:rsid w:val="00D168A7"/>
    <w:rsid w:val="00D207A5"/>
    <w:rsid w:val="00D21C60"/>
    <w:rsid w:val="00D21E12"/>
    <w:rsid w:val="00D22723"/>
    <w:rsid w:val="00D24D1F"/>
    <w:rsid w:val="00D24E89"/>
    <w:rsid w:val="00D25A9A"/>
    <w:rsid w:val="00D271AA"/>
    <w:rsid w:val="00D2785A"/>
    <w:rsid w:val="00D27E76"/>
    <w:rsid w:val="00D3422C"/>
    <w:rsid w:val="00D360C3"/>
    <w:rsid w:val="00D374F9"/>
    <w:rsid w:val="00D4047E"/>
    <w:rsid w:val="00D41C22"/>
    <w:rsid w:val="00D41C31"/>
    <w:rsid w:val="00D41DB9"/>
    <w:rsid w:val="00D422C2"/>
    <w:rsid w:val="00D44025"/>
    <w:rsid w:val="00D449D9"/>
    <w:rsid w:val="00D45492"/>
    <w:rsid w:val="00D45C00"/>
    <w:rsid w:val="00D46466"/>
    <w:rsid w:val="00D46B07"/>
    <w:rsid w:val="00D50075"/>
    <w:rsid w:val="00D508C4"/>
    <w:rsid w:val="00D516FA"/>
    <w:rsid w:val="00D51E8A"/>
    <w:rsid w:val="00D5548A"/>
    <w:rsid w:val="00D560DF"/>
    <w:rsid w:val="00D6056E"/>
    <w:rsid w:val="00D61F75"/>
    <w:rsid w:val="00D62753"/>
    <w:rsid w:val="00D6276D"/>
    <w:rsid w:val="00D65707"/>
    <w:rsid w:val="00D66290"/>
    <w:rsid w:val="00D66738"/>
    <w:rsid w:val="00D66DA1"/>
    <w:rsid w:val="00D67448"/>
    <w:rsid w:val="00D6760B"/>
    <w:rsid w:val="00D73743"/>
    <w:rsid w:val="00D77A1A"/>
    <w:rsid w:val="00D83236"/>
    <w:rsid w:val="00D83AB8"/>
    <w:rsid w:val="00D85127"/>
    <w:rsid w:val="00D8603D"/>
    <w:rsid w:val="00D86CAF"/>
    <w:rsid w:val="00D86FA7"/>
    <w:rsid w:val="00D9079C"/>
    <w:rsid w:val="00D91193"/>
    <w:rsid w:val="00D91FE1"/>
    <w:rsid w:val="00D92541"/>
    <w:rsid w:val="00D92C81"/>
    <w:rsid w:val="00D9392A"/>
    <w:rsid w:val="00D94962"/>
    <w:rsid w:val="00D9515A"/>
    <w:rsid w:val="00DA14D3"/>
    <w:rsid w:val="00DA283D"/>
    <w:rsid w:val="00DA2B06"/>
    <w:rsid w:val="00DA2EC4"/>
    <w:rsid w:val="00DA4380"/>
    <w:rsid w:val="00DA44EC"/>
    <w:rsid w:val="00DA45D4"/>
    <w:rsid w:val="00DA5FB6"/>
    <w:rsid w:val="00DA7F96"/>
    <w:rsid w:val="00DB2C19"/>
    <w:rsid w:val="00DB39CA"/>
    <w:rsid w:val="00DB3D9F"/>
    <w:rsid w:val="00DB56B3"/>
    <w:rsid w:val="00DB6BDB"/>
    <w:rsid w:val="00DB6F77"/>
    <w:rsid w:val="00DB765C"/>
    <w:rsid w:val="00DB7815"/>
    <w:rsid w:val="00DC04C6"/>
    <w:rsid w:val="00DC04F5"/>
    <w:rsid w:val="00DC0894"/>
    <w:rsid w:val="00DC368B"/>
    <w:rsid w:val="00DC4535"/>
    <w:rsid w:val="00DC6526"/>
    <w:rsid w:val="00DD7F0A"/>
    <w:rsid w:val="00DE0D82"/>
    <w:rsid w:val="00DE1417"/>
    <w:rsid w:val="00DE4FFE"/>
    <w:rsid w:val="00DE639A"/>
    <w:rsid w:val="00DE6AF4"/>
    <w:rsid w:val="00DF0F95"/>
    <w:rsid w:val="00DF481F"/>
    <w:rsid w:val="00DF4A7C"/>
    <w:rsid w:val="00DF7799"/>
    <w:rsid w:val="00E011B5"/>
    <w:rsid w:val="00E0137C"/>
    <w:rsid w:val="00E01E93"/>
    <w:rsid w:val="00E038FE"/>
    <w:rsid w:val="00E04AE7"/>
    <w:rsid w:val="00E04D8C"/>
    <w:rsid w:val="00E058AB"/>
    <w:rsid w:val="00E0599A"/>
    <w:rsid w:val="00E05ED7"/>
    <w:rsid w:val="00E07CA5"/>
    <w:rsid w:val="00E13437"/>
    <w:rsid w:val="00E14BB4"/>
    <w:rsid w:val="00E14E67"/>
    <w:rsid w:val="00E16F85"/>
    <w:rsid w:val="00E22EFC"/>
    <w:rsid w:val="00E23815"/>
    <w:rsid w:val="00E24A9F"/>
    <w:rsid w:val="00E24CBD"/>
    <w:rsid w:val="00E273B3"/>
    <w:rsid w:val="00E27875"/>
    <w:rsid w:val="00E27E44"/>
    <w:rsid w:val="00E34A23"/>
    <w:rsid w:val="00E34D7A"/>
    <w:rsid w:val="00E34FC2"/>
    <w:rsid w:val="00E35A84"/>
    <w:rsid w:val="00E40445"/>
    <w:rsid w:val="00E407C8"/>
    <w:rsid w:val="00E42E9F"/>
    <w:rsid w:val="00E43199"/>
    <w:rsid w:val="00E44431"/>
    <w:rsid w:val="00E44766"/>
    <w:rsid w:val="00E46A33"/>
    <w:rsid w:val="00E46A61"/>
    <w:rsid w:val="00E50B46"/>
    <w:rsid w:val="00E51235"/>
    <w:rsid w:val="00E515C9"/>
    <w:rsid w:val="00E530F1"/>
    <w:rsid w:val="00E53B33"/>
    <w:rsid w:val="00E5455A"/>
    <w:rsid w:val="00E601AE"/>
    <w:rsid w:val="00E61E05"/>
    <w:rsid w:val="00E62D6B"/>
    <w:rsid w:val="00E647D0"/>
    <w:rsid w:val="00E65770"/>
    <w:rsid w:val="00E67D06"/>
    <w:rsid w:val="00E706F9"/>
    <w:rsid w:val="00E71A1B"/>
    <w:rsid w:val="00E74701"/>
    <w:rsid w:val="00E75320"/>
    <w:rsid w:val="00E7547A"/>
    <w:rsid w:val="00E80445"/>
    <w:rsid w:val="00E81012"/>
    <w:rsid w:val="00E81C63"/>
    <w:rsid w:val="00E82358"/>
    <w:rsid w:val="00E83303"/>
    <w:rsid w:val="00E8537A"/>
    <w:rsid w:val="00E8726A"/>
    <w:rsid w:val="00E90A67"/>
    <w:rsid w:val="00E914F5"/>
    <w:rsid w:val="00E91AB4"/>
    <w:rsid w:val="00E93FBF"/>
    <w:rsid w:val="00E96BF9"/>
    <w:rsid w:val="00E96E9D"/>
    <w:rsid w:val="00EA177B"/>
    <w:rsid w:val="00EA260E"/>
    <w:rsid w:val="00EA4F96"/>
    <w:rsid w:val="00EA5087"/>
    <w:rsid w:val="00EA7CEA"/>
    <w:rsid w:val="00EB05F5"/>
    <w:rsid w:val="00EB06A4"/>
    <w:rsid w:val="00EB2FF1"/>
    <w:rsid w:val="00EB7278"/>
    <w:rsid w:val="00EB7A18"/>
    <w:rsid w:val="00EC2A5E"/>
    <w:rsid w:val="00EC3ECF"/>
    <w:rsid w:val="00EC4914"/>
    <w:rsid w:val="00EC4F50"/>
    <w:rsid w:val="00EC6674"/>
    <w:rsid w:val="00ED0C88"/>
    <w:rsid w:val="00ED11E1"/>
    <w:rsid w:val="00ED14D4"/>
    <w:rsid w:val="00ED253B"/>
    <w:rsid w:val="00ED2E45"/>
    <w:rsid w:val="00ED4EAF"/>
    <w:rsid w:val="00ED5DD6"/>
    <w:rsid w:val="00ED6B52"/>
    <w:rsid w:val="00ED78BB"/>
    <w:rsid w:val="00ED7E20"/>
    <w:rsid w:val="00EE076C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1EB6"/>
    <w:rsid w:val="00EF26FE"/>
    <w:rsid w:val="00EF2C04"/>
    <w:rsid w:val="00EF38A2"/>
    <w:rsid w:val="00EF44A9"/>
    <w:rsid w:val="00EF7BD8"/>
    <w:rsid w:val="00F01C61"/>
    <w:rsid w:val="00F01F77"/>
    <w:rsid w:val="00F038D6"/>
    <w:rsid w:val="00F03AD8"/>
    <w:rsid w:val="00F0465B"/>
    <w:rsid w:val="00F04BBB"/>
    <w:rsid w:val="00F0500E"/>
    <w:rsid w:val="00F0719C"/>
    <w:rsid w:val="00F07664"/>
    <w:rsid w:val="00F07BC8"/>
    <w:rsid w:val="00F10448"/>
    <w:rsid w:val="00F10BCB"/>
    <w:rsid w:val="00F1133B"/>
    <w:rsid w:val="00F11D8F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4B5C"/>
    <w:rsid w:val="00F26A5C"/>
    <w:rsid w:val="00F303BA"/>
    <w:rsid w:val="00F329B0"/>
    <w:rsid w:val="00F33447"/>
    <w:rsid w:val="00F33A6F"/>
    <w:rsid w:val="00F40810"/>
    <w:rsid w:val="00F40FE3"/>
    <w:rsid w:val="00F42207"/>
    <w:rsid w:val="00F437C5"/>
    <w:rsid w:val="00F44613"/>
    <w:rsid w:val="00F44976"/>
    <w:rsid w:val="00F45785"/>
    <w:rsid w:val="00F47429"/>
    <w:rsid w:val="00F51D7E"/>
    <w:rsid w:val="00F52A9A"/>
    <w:rsid w:val="00F548E1"/>
    <w:rsid w:val="00F5493E"/>
    <w:rsid w:val="00F54A2A"/>
    <w:rsid w:val="00F554D6"/>
    <w:rsid w:val="00F5596D"/>
    <w:rsid w:val="00F606B9"/>
    <w:rsid w:val="00F60F00"/>
    <w:rsid w:val="00F623C8"/>
    <w:rsid w:val="00F62FD8"/>
    <w:rsid w:val="00F62FE0"/>
    <w:rsid w:val="00F64563"/>
    <w:rsid w:val="00F646F1"/>
    <w:rsid w:val="00F657FF"/>
    <w:rsid w:val="00F65C19"/>
    <w:rsid w:val="00F66E50"/>
    <w:rsid w:val="00F67890"/>
    <w:rsid w:val="00F70152"/>
    <w:rsid w:val="00F7145C"/>
    <w:rsid w:val="00F71CFC"/>
    <w:rsid w:val="00F72143"/>
    <w:rsid w:val="00F72610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14DA"/>
    <w:rsid w:val="00F93F35"/>
    <w:rsid w:val="00F95D50"/>
    <w:rsid w:val="00F95FFA"/>
    <w:rsid w:val="00FA0AFB"/>
    <w:rsid w:val="00FA1EAB"/>
    <w:rsid w:val="00FA3470"/>
    <w:rsid w:val="00FA37D3"/>
    <w:rsid w:val="00FA3980"/>
    <w:rsid w:val="00FA703D"/>
    <w:rsid w:val="00FB06C6"/>
    <w:rsid w:val="00FB0E75"/>
    <w:rsid w:val="00FB1A64"/>
    <w:rsid w:val="00FB4513"/>
    <w:rsid w:val="00FB7FF1"/>
    <w:rsid w:val="00FC0F10"/>
    <w:rsid w:val="00FC1076"/>
    <w:rsid w:val="00FC3929"/>
    <w:rsid w:val="00FC5537"/>
    <w:rsid w:val="00FC5944"/>
    <w:rsid w:val="00FD20F4"/>
    <w:rsid w:val="00FD5C00"/>
    <w:rsid w:val="00FD6F0D"/>
    <w:rsid w:val="00FD7050"/>
    <w:rsid w:val="00FD77EA"/>
    <w:rsid w:val="00FD7C21"/>
    <w:rsid w:val="00FD7E44"/>
    <w:rsid w:val="00FE47F3"/>
    <w:rsid w:val="00FE5DE4"/>
    <w:rsid w:val="00FF0FFF"/>
    <w:rsid w:val="00FF1B57"/>
    <w:rsid w:val="00FF2194"/>
    <w:rsid w:val="00FF23D4"/>
    <w:rsid w:val="00FF334C"/>
    <w:rsid w:val="00FF3E2A"/>
    <w:rsid w:val="00FF543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6CCC03"/>
  <w15:chartTrackingRefBased/>
  <w15:docId w15:val="{55E160C6-3B68-4FA0-8EE5-479F07CB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D6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244E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71D97"/>
    <w:pPr>
      <w:bidi w:val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1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789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986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78787878787878"/>
          <c:y val="0.22641509433962265"/>
          <c:w val="0.84090909090909094"/>
          <c:h val="0.4968553459119496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40720591744214E-2"/>
                  <c:y val="3.9210998480052051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76-4468-AFE4-8417BC973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76-4468-AFE4-8417BC973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76-4468-AFE4-8417BC973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76-4468-AFE4-8417BC973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76-4468-AFE4-8417BC9737D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76-4468-AFE4-8417BC9737D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76-4468-AFE4-8417BC9737DB}"/>
                </c:ext>
              </c:extLst>
            </c:dLbl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0.0</c:formatCode>
                <c:ptCount val="8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 formatCode="General">
                  <c:v>14.6</c:v>
                </c:pt>
                <c:pt idx="5" formatCode="General">
                  <c:v>15.7</c:v>
                </c:pt>
                <c:pt idx="6" formatCode="General">
                  <c:v>15.5</c:v>
                </c:pt>
                <c:pt idx="7" formatCode="General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076-4468-AFE4-8417BC9737D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8.0587210689572919E-2"/>
                  <c:y val="-6.2952754440360581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076-4468-AFE4-8417BC973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076-4468-AFE4-8417BC973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076-4468-AFE4-8417BC973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076-4468-AFE4-8417BC973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76-4468-AFE4-8417BC9737D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76-4468-AFE4-8417BC9737D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76-4468-AFE4-8417BC9737DB}"/>
                </c:ext>
              </c:extLst>
            </c:dLbl>
            <c:dLbl>
              <c:idx val="7"/>
              <c:layout>
                <c:manualLayout>
                  <c:x val="3.7272727272728012E-3"/>
                  <c:y val="-8.4399356857215446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76-4468-AFE4-8417BC9737DB}"/>
                </c:ext>
              </c:extLst>
            </c:dLbl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Sheet1!$B$3:$I$3</c:f>
              <c:numCache>
                <c:formatCode>0.0</c:formatCode>
                <c:ptCount val="8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 formatCode="General">
                  <c:v>45.1</c:v>
                </c:pt>
                <c:pt idx="5" formatCode="General">
                  <c:v>46.6</c:v>
                </c:pt>
                <c:pt idx="6" formatCode="General">
                  <c:v>46.9</c:v>
                </c:pt>
                <c:pt idx="7" formatCode="General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0076-4468-AFE4-8417BC9737D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7859937962300184E-2"/>
                  <c:y val="-6.0713815819355033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076-4468-AFE4-8417BC9737D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076-4468-AFE4-8417BC9737D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076-4468-AFE4-8417BC9737D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076-4468-AFE4-8417BC9737D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076-4468-AFE4-8417BC9737D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076-4468-AFE4-8417BC9737D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076-4468-AFE4-8417BC9737DB}"/>
                </c:ext>
              </c:extLst>
            </c:dLbl>
            <c:dLbl>
              <c:idx val="7"/>
              <c:layout>
                <c:manualLayout>
                  <c:x val="3.7272727272728012E-3"/>
                  <c:y val="-5.3091431004416823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076-4468-AFE4-8417BC9737DB}"/>
                </c:ext>
              </c:extLst>
            </c:dLbl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Sheet1!$B$4:$I$4</c:f>
              <c:numCache>
                <c:formatCode>0.0</c:formatCode>
                <c:ptCount val="8"/>
                <c:pt idx="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 formatCode="General">
                  <c:v>25.3</c:v>
                </c:pt>
                <c:pt idx="5" formatCode="General">
                  <c:v>25.9</c:v>
                </c:pt>
                <c:pt idx="6" formatCode="General">
                  <c:v>26.4</c:v>
                </c:pt>
                <c:pt idx="7" formatCode="General">
                  <c:v>24.4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0076-4468-AFE4-8417BC9737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708568"/>
        <c:axId val="1"/>
      </c:lineChart>
      <c:catAx>
        <c:axId val="166708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66708568"/>
        <c:crosses val="autoZero"/>
        <c:crossBetween val="between"/>
      </c:valAx>
      <c:spPr>
        <a:solidFill>
          <a:srgbClr val="FFFFFF"/>
        </a:solidFill>
        <a:ln w="12699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10984848484848485"/>
          <c:y val="0"/>
          <c:w val="0.85984848484848486"/>
          <c:h val="0.1383647798742138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ADAA-A51B-48D4-B58B-D69D9958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4879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Hadeel Badran</cp:lastModifiedBy>
  <cp:revision>4</cp:revision>
  <cp:lastPrinted>2023-02-13T12:46:00Z</cp:lastPrinted>
  <dcterms:created xsi:type="dcterms:W3CDTF">2023-02-13T12:53:00Z</dcterms:created>
  <dcterms:modified xsi:type="dcterms:W3CDTF">2023-02-14T06:40:00Z</dcterms:modified>
</cp:coreProperties>
</file>