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A0" w:rsidRDefault="004B29A0" w:rsidP="008167FB">
      <w:pPr>
        <w:pStyle w:val="Header"/>
        <w:bidi/>
        <w:jc w:val="center"/>
        <w:rPr>
          <w:rFonts w:cs="Simplified Arabic"/>
          <w:b/>
          <w:bCs/>
          <w:sz w:val="32"/>
          <w:szCs w:val="32"/>
          <w:rtl/>
        </w:rPr>
      </w:pPr>
    </w:p>
    <w:p w:rsidR="0008497B" w:rsidRPr="004B29A0" w:rsidRDefault="0008497B" w:rsidP="004B29A0">
      <w:pPr>
        <w:pStyle w:val="Header"/>
        <w:bidi/>
        <w:jc w:val="center"/>
        <w:rPr>
          <w:rFonts w:cs="Simplified Arabic"/>
          <w:sz w:val="32"/>
          <w:szCs w:val="32"/>
          <w:rtl/>
        </w:rPr>
      </w:pPr>
      <w:r w:rsidRPr="004B29A0">
        <w:rPr>
          <w:rFonts w:cs="Simplified Arabic" w:hint="cs"/>
          <w:b/>
          <w:bCs/>
          <w:sz w:val="32"/>
          <w:szCs w:val="32"/>
          <w:rtl/>
        </w:rPr>
        <w:t>الإحصاء الفلسطيني</w:t>
      </w:r>
      <w:r w:rsidR="005A0F99" w:rsidRPr="004B29A0">
        <w:rPr>
          <w:rFonts w:cs="Simplified Arabic" w:hint="cs"/>
          <w:b/>
          <w:bCs/>
          <w:sz w:val="32"/>
          <w:szCs w:val="32"/>
          <w:rtl/>
        </w:rPr>
        <w:t xml:space="preserve"> ووزارة الثقافة </w:t>
      </w:r>
      <w:r w:rsidR="00112D33" w:rsidRPr="004B29A0">
        <w:rPr>
          <w:rFonts w:cs="Simplified Arabic" w:hint="cs"/>
          <w:b/>
          <w:bCs/>
          <w:sz w:val="32"/>
          <w:szCs w:val="32"/>
          <w:rtl/>
        </w:rPr>
        <w:t>يصدر</w:t>
      </w:r>
      <w:r w:rsidR="005A0F99" w:rsidRPr="004B29A0">
        <w:rPr>
          <w:rFonts w:cs="Simplified Arabic" w:hint="cs"/>
          <w:b/>
          <w:bCs/>
          <w:sz w:val="32"/>
          <w:szCs w:val="32"/>
          <w:rtl/>
        </w:rPr>
        <w:t>ان</w:t>
      </w:r>
      <w:r w:rsidR="00112D33" w:rsidRPr="004B29A0">
        <w:rPr>
          <w:rFonts w:cs="Simplified Arabic" w:hint="cs"/>
          <w:b/>
          <w:bCs/>
          <w:sz w:val="32"/>
          <w:szCs w:val="32"/>
          <w:rtl/>
        </w:rPr>
        <w:t xml:space="preserve"> بياناً صحفياً</w:t>
      </w:r>
      <w:r w:rsidRPr="004B29A0">
        <w:rPr>
          <w:rFonts w:cs="Simplified Arabic" w:hint="cs"/>
          <w:b/>
          <w:bCs/>
          <w:sz w:val="32"/>
          <w:szCs w:val="32"/>
          <w:rtl/>
        </w:rPr>
        <w:t xml:space="preserve"> بمناسبة يوم الثقافة الفلسطيني</w:t>
      </w:r>
    </w:p>
    <w:p w:rsidR="0008497B" w:rsidRPr="008167FB" w:rsidRDefault="0008497B" w:rsidP="008167FB">
      <w:pPr>
        <w:bidi/>
        <w:jc w:val="center"/>
        <w:rPr>
          <w:rFonts w:cs="Simplified Arabic"/>
          <w:sz w:val="10"/>
          <w:szCs w:val="10"/>
          <w:rtl/>
        </w:rPr>
      </w:pPr>
    </w:p>
    <w:p w:rsidR="00B6146E" w:rsidRPr="008167FB" w:rsidRDefault="00B6146E" w:rsidP="00F22F3A">
      <w:pPr>
        <w:bidi/>
        <w:jc w:val="both"/>
        <w:rPr>
          <w:rFonts w:ascii="Simplified Arabic" w:hAnsi="Simplified Arabic" w:cs="Simplified Arabic"/>
          <w:sz w:val="26"/>
          <w:szCs w:val="26"/>
        </w:rPr>
      </w:pPr>
      <w:r w:rsidRPr="008167FB">
        <w:rPr>
          <w:rFonts w:ascii="Simplified Arabic" w:hAnsi="Simplified Arabic" w:cs="Simplified Arabic"/>
          <w:sz w:val="26"/>
          <w:szCs w:val="26"/>
          <w:rtl/>
        </w:rPr>
        <w:t>بمناسبة يوم الثقافة الفلسطيني الذي يصادف الثالث عشر من آذار من كل عام، استعرض الإحصاء الفلسطيني</w:t>
      </w:r>
      <w:r w:rsidR="005A0F99" w:rsidRPr="008167FB">
        <w:rPr>
          <w:rFonts w:ascii="Simplified Arabic" w:hAnsi="Simplified Arabic" w:cs="Simplified Arabic"/>
          <w:sz w:val="26"/>
          <w:szCs w:val="26"/>
          <w:rtl/>
        </w:rPr>
        <w:t xml:space="preserve"> ووزارة الثقافة</w:t>
      </w:r>
      <w:r w:rsidR="00715769" w:rsidRPr="008167FB">
        <w:rPr>
          <w:rFonts w:ascii="Simplified Arabic" w:hAnsi="Simplified Arabic" w:cs="Simplified Arabic"/>
          <w:sz w:val="26"/>
          <w:szCs w:val="26"/>
          <w:rtl/>
        </w:rPr>
        <w:t xml:space="preserve"> </w:t>
      </w:r>
      <w:r w:rsidRPr="008167FB">
        <w:rPr>
          <w:rFonts w:ascii="Simplified Arabic" w:hAnsi="Simplified Arabic" w:cs="Simplified Arabic"/>
          <w:sz w:val="26"/>
          <w:szCs w:val="26"/>
          <w:rtl/>
        </w:rPr>
        <w:t>واقع المؤسسات الثقافية في فلسطين</w:t>
      </w:r>
      <w:r w:rsidR="00DF4615" w:rsidRPr="008167FB">
        <w:rPr>
          <w:rFonts w:ascii="Simplified Arabic" w:hAnsi="Simplified Arabic" w:cs="Simplified Arabic"/>
          <w:sz w:val="26"/>
          <w:szCs w:val="26"/>
          <w:rtl/>
        </w:rPr>
        <w:t>.</w:t>
      </w:r>
    </w:p>
    <w:p w:rsidR="00335489" w:rsidRPr="008167FB" w:rsidRDefault="00335489" w:rsidP="00335489">
      <w:pPr>
        <w:bidi/>
        <w:jc w:val="both"/>
        <w:rPr>
          <w:rFonts w:ascii="Simplified Arabic" w:hAnsi="Simplified Arabic" w:cs="Simplified Arabic"/>
          <w:sz w:val="26"/>
          <w:szCs w:val="26"/>
          <w:rtl/>
        </w:rPr>
      </w:pPr>
      <w:r w:rsidRPr="008167FB">
        <w:rPr>
          <w:rFonts w:ascii="Simplified Arabic" w:hAnsi="Simplified Arabic" w:cs="Simplified Arabic"/>
          <w:sz w:val="26"/>
          <w:szCs w:val="26"/>
          <w:rtl/>
        </w:rPr>
        <w:t>يقصد بالمؤسسة الثقافية هي المؤسسة التي تتضمن السلع (الأدوات والمعدات) المستخدمة في أنشطة الفنون والحرف وفي أنشطة اللعب والرياضة والتي تسهل القيام بأنشطة الثقافة بالمعنى الواسع.</w:t>
      </w:r>
    </w:p>
    <w:p w:rsidR="00847A8A" w:rsidRPr="008167FB" w:rsidRDefault="00847A8A" w:rsidP="00847A8A">
      <w:pPr>
        <w:pStyle w:val="xmsonormal"/>
        <w:bidi/>
        <w:spacing w:before="0" w:beforeAutospacing="0" w:after="0" w:afterAutospacing="0"/>
        <w:jc w:val="both"/>
        <w:rPr>
          <w:rFonts w:ascii="Simplified Arabic" w:hAnsi="Simplified Arabic" w:cs="Simplified Arabic"/>
          <w:color w:val="FF0000"/>
          <w:sz w:val="16"/>
          <w:szCs w:val="16"/>
          <w:rtl/>
        </w:rPr>
      </w:pPr>
    </w:p>
    <w:p w:rsidR="0008497B" w:rsidRPr="004B29A0" w:rsidRDefault="001C2E60" w:rsidP="0053694F">
      <w:pPr>
        <w:bidi/>
        <w:ind w:left="-2"/>
        <w:jc w:val="both"/>
        <w:rPr>
          <w:rFonts w:ascii="Simplified Arabic" w:hAnsi="Simplified Arabic" w:cs="Simplified Arabic"/>
          <w:b/>
          <w:bCs/>
          <w:sz w:val="28"/>
          <w:szCs w:val="28"/>
          <w:rtl/>
        </w:rPr>
      </w:pPr>
      <w:r w:rsidRPr="004B29A0">
        <w:rPr>
          <w:rFonts w:ascii="Simplified Arabic" w:hAnsi="Simplified Arabic" w:cs="Simplified Arabic"/>
          <w:b/>
          <w:bCs/>
          <w:sz w:val="28"/>
          <w:szCs w:val="28"/>
          <w:rtl/>
        </w:rPr>
        <w:t>ارتفاع</w:t>
      </w:r>
      <w:r w:rsidR="000C61B4" w:rsidRPr="004B29A0">
        <w:rPr>
          <w:rFonts w:ascii="Simplified Arabic" w:hAnsi="Simplified Arabic" w:cs="Simplified Arabic"/>
          <w:b/>
          <w:bCs/>
          <w:sz w:val="28"/>
          <w:szCs w:val="28"/>
          <w:rtl/>
        </w:rPr>
        <w:t xml:space="preserve"> عدد المراكز الثقافية العاملة في فلسطين </w:t>
      </w:r>
      <w:r w:rsidR="000E61C9" w:rsidRPr="004B29A0">
        <w:rPr>
          <w:rFonts w:ascii="Simplified Arabic" w:hAnsi="Simplified Arabic" w:cs="Simplified Arabic"/>
          <w:b/>
          <w:bCs/>
          <w:sz w:val="28"/>
          <w:szCs w:val="28"/>
          <w:rtl/>
        </w:rPr>
        <w:t xml:space="preserve">لعام </w:t>
      </w:r>
      <w:r w:rsidR="0053694F" w:rsidRPr="004B29A0">
        <w:rPr>
          <w:rFonts w:ascii="Simplified Arabic" w:hAnsi="Simplified Arabic" w:cs="Simplified Arabic"/>
          <w:b/>
          <w:bCs/>
          <w:sz w:val="28"/>
          <w:szCs w:val="28"/>
          <w:rtl/>
        </w:rPr>
        <w:t>2022</w:t>
      </w:r>
    </w:p>
    <w:p w:rsidR="004628C9" w:rsidRPr="008167FB" w:rsidRDefault="001C2E60" w:rsidP="0053694F">
      <w:pPr>
        <w:pStyle w:val="BodyText"/>
        <w:jc w:val="both"/>
        <w:rPr>
          <w:rFonts w:ascii="Simplified Arabic" w:hAnsi="Simplified Arabic"/>
          <w:b w:val="0"/>
          <w:bCs w:val="0"/>
          <w:sz w:val="26"/>
          <w:szCs w:val="26"/>
          <w:rtl/>
        </w:rPr>
      </w:pPr>
      <w:r w:rsidRPr="008167FB">
        <w:rPr>
          <w:rFonts w:ascii="Simplified Arabic" w:hAnsi="Simplified Arabic"/>
          <w:b w:val="0"/>
          <w:bCs w:val="0"/>
          <w:sz w:val="26"/>
          <w:szCs w:val="26"/>
          <w:rtl/>
        </w:rPr>
        <w:t>ارتفع</w:t>
      </w:r>
      <w:r w:rsidR="004628C9" w:rsidRPr="008167FB">
        <w:rPr>
          <w:rFonts w:ascii="Simplified Arabic" w:hAnsi="Simplified Arabic"/>
          <w:b w:val="0"/>
          <w:bCs w:val="0"/>
          <w:sz w:val="26"/>
          <w:szCs w:val="26"/>
          <w:rtl/>
        </w:rPr>
        <w:t xml:space="preserve"> عدد المراكز الثقافية العاملة في فلسطين من </w:t>
      </w:r>
      <w:r w:rsidR="0053694F" w:rsidRPr="008167FB">
        <w:rPr>
          <w:rFonts w:ascii="Simplified Arabic" w:hAnsi="Simplified Arabic"/>
          <w:b w:val="0"/>
          <w:bCs w:val="0"/>
          <w:sz w:val="26"/>
          <w:szCs w:val="26"/>
          <w:rtl/>
        </w:rPr>
        <w:t>577</w:t>
      </w:r>
      <w:r w:rsidR="004628C9" w:rsidRPr="008167FB">
        <w:rPr>
          <w:rFonts w:ascii="Simplified Arabic" w:hAnsi="Simplified Arabic"/>
          <w:b w:val="0"/>
          <w:bCs w:val="0"/>
          <w:sz w:val="26"/>
          <w:szCs w:val="26"/>
          <w:rtl/>
        </w:rPr>
        <w:t xml:space="preserve"> مركزاً ثقافياً في العام </w:t>
      </w:r>
      <w:r w:rsidR="0053694F" w:rsidRPr="008167FB">
        <w:rPr>
          <w:rFonts w:ascii="Simplified Arabic" w:hAnsi="Simplified Arabic"/>
          <w:b w:val="0"/>
          <w:bCs w:val="0"/>
          <w:sz w:val="26"/>
          <w:szCs w:val="26"/>
          <w:rtl/>
        </w:rPr>
        <w:t>2021</w:t>
      </w:r>
      <w:r w:rsidR="004628C9" w:rsidRPr="008167FB">
        <w:rPr>
          <w:rFonts w:ascii="Simplified Arabic" w:hAnsi="Simplified Arabic"/>
          <w:b w:val="0"/>
          <w:bCs w:val="0"/>
          <w:sz w:val="26"/>
          <w:szCs w:val="26"/>
          <w:rtl/>
        </w:rPr>
        <w:t xml:space="preserve"> </w:t>
      </w:r>
      <w:r w:rsidRPr="008167FB">
        <w:rPr>
          <w:rFonts w:ascii="Simplified Arabic" w:hAnsi="Simplified Arabic"/>
          <w:b w:val="0"/>
          <w:bCs w:val="0"/>
          <w:sz w:val="26"/>
          <w:szCs w:val="26"/>
          <w:rtl/>
        </w:rPr>
        <w:t>إلى</w:t>
      </w:r>
      <w:r w:rsidR="004628C9" w:rsidRPr="008167FB">
        <w:rPr>
          <w:rFonts w:ascii="Simplified Arabic" w:hAnsi="Simplified Arabic"/>
          <w:b w:val="0"/>
          <w:bCs w:val="0"/>
          <w:sz w:val="26"/>
          <w:szCs w:val="26"/>
          <w:rtl/>
        </w:rPr>
        <w:t xml:space="preserve"> </w:t>
      </w:r>
      <w:r w:rsidRPr="008167FB">
        <w:rPr>
          <w:rFonts w:ascii="Simplified Arabic" w:hAnsi="Simplified Arabic"/>
          <w:b w:val="0"/>
          <w:bCs w:val="0"/>
          <w:sz w:val="26"/>
          <w:szCs w:val="26"/>
          <w:rtl/>
        </w:rPr>
        <w:t>5</w:t>
      </w:r>
      <w:r w:rsidR="0053694F" w:rsidRPr="008167FB">
        <w:rPr>
          <w:rFonts w:ascii="Simplified Arabic" w:hAnsi="Simplified Arabic"/>
          <w:b w:val="0"/>
          <w:bCs w:val="0"/>
          <w:sz w:val="26"/>
          <w:szCs w:val="26"/>
          <w:rtl/>
        </w:rPr>
        <w:t>84</w:t>
      </w:r>
      <w:r w:rsidR="004628C9" w:rsidRPr="008167FB">
        <w:rPr>
          <w:rFonts w:ascii="Simplified Arabic" w:hAnsi="Simplified Arabic"/>
          <w:b w:val="0"/>
          <w:bCs w:val="0"/>
          <w:sz w:val="26"/>
          <w:szCs w:val="26"/>
          <w:rtl/>
        </w:rPr>
        <w:t xml:space="preserve"> مركزاً ثقافياً في العام </w:t>
      </w:r>
      <w:r w:rsidR="0053694F" w:rsidRPr="008167FB">
        <w:rPr>
          <w:rFonts w:ascii="Simplified Arabic" w:hAnsi="Simplified Arabic"/>
          <w:b w:val="0"/>
          <w:bCs w:val="0"/>
          <w:sz w:val="26"/>
          <w:szCs w:val="26"/>
          <w:rtl/>
        </w:rPr>
        <w:t>2022</w:t>
      </w:r>
      <w:r w:rsidR="004628C9" w:rsidRPr="008167FB">
        <w:rPr>
          <w:rFonts w:ascii="Simplified Arabic" w:hAnsi="Simplified Arabic"/>
          <w:b w:val="0"/>
          <w:bCs w:val="0"/>
          <w:sz w:val="26"/>
          <w:szCs w:val="26"/>
          <w:rtl/>
        </w:rPr>
        <w:t>، مع فجوة واضحة في عدد المراكز الثقافية بين الضفة الغربية وقطاع غزة.</w:t>
      </w:r>
    </w:p>
    <w:p w:rsidR="00B05673" w:rsidRPr="008167FB" w:rsidRDefault="00B05673" w:rsidP="00B36424">
      <w:pPr>
        <w:pStyle w:val="BodyText"/>
        <w:jc w:val="both"/>
        <w:rPr>
          <w:rFonts w:ascii="Simplified Arabic" w:hAnsi="Simplified Arabic"/>
          <w:b w:val="0"/>
          <w:bCs w:val="0"/>
          <w:color w:val="FF0000"/>
          <w:sz w:val="16"/>
          <w:szCs w:val="16"/>
          <w:rtl/>
        </w:rPr>
      </w:pPr>
    </w:p>
    <w:p w:rsidR="001F7D75" w:rsidRPr="004B29A0" w:rsidRDefault="001F7D75" w:rsidP="002E7F22">
      <w:pPr>
        <w:pStyle w:val="BodyText"/>
        <w:rPr>
          <w:rFonts w:ascii="Simplified Arabic" w:hAnsi="Simplified Arabic"/>
          <w:sz w:val="28"/>
          <w:szCs w:val="28"/>
          <w:rtl/>
        </w:rPr>
      </w:pPr>
      <w:r w:rsidRPr="004B29A0">
        <w:rPr>
          <w:rFonts w:ascii="Simplified Arabic" w:hAnsi="Simplified Arabic"/>
          <w:sz w:val="28"/>
          <w:szCs w:val="28"/>
          <w:rtl/>
        </w:rPr>
        <w:t>توزيع المراكز الثقافية العاملة في فلسطين حسب المنطقة</w:t>
      </w:r>
      <w:r w:rsidR="00C01D0A" w:rsidRPr="004B29A0">
        <w:rPr>
          <w:rFonts w:ascii="Simplified Arabic" w:hAnsi="Simplified Arabic"/>
          <w:sz w:val="28"/>
          <w:szCs w:val="28"/>
          <w:rtl/>
        </w:rPr>
        <w:t xml:space="preserve"> لأعوام مختارة</w:t>
      </w:r>
    </w:p>
    <w:tbl>
      <w:tblPr>
        <w:bidiVisual/>
        <w:tblW w:w="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758"/>
        <w:gridCol w:w="758"/>
        <w:gridCol w:w="758"/>
        <w:gridCol w:w="726"/>
        <w:gridCol w:w="726"/>
      </w:tblGrid>
      <w:tr w:rsidR="00640ADB" w:rsidRPr="008167FB" w:rsidTr="00365E76">
        <w:trPr>
          <w:trHeight w:hRule="exact" w:val="511"/>
          <w:jc w:val="center"/>
        </w:trPr>
        <w:tc>
          <w:tcPr>
            <w:tcW w:w="1390" w:type="dxa"/>
            <w:vAlign w:val="center"/>
          </w:tcPr>
          <w:p w:rsidR="00640ADB" w:rsidRPr="008167FB" w:rsidRDefault="00640ADB" w:rsidP="00FB298D">
            <w:pPr>
              <w:jc w:val="center"/>
              <w:rPr>
                <w:rFonts w:asciiTheme="majorBidi" w:hAnsiTheme="majorBidi" w:cstheme="majorBidi"/>
                <w:b/>
                <w:bCs/>
                <w:sz w:val="24"/>
                <w:szCs w:val="24"/>
                <w:rtl/>
              </w:rPr>
            </w:pPr>
            <w:r w:rsidRPr="008167FB">
              <w:rPr>
                <w:rFonts w:asciiTheme="majorBidi" w:hAnsiTheme="majorBidi" w:cstheme="majorBidi"/>
                <w:b/>
                <w:bCs/>
                <w:sz w:val="24"/>
                <w:szCs w:val="24"/>
                <w:rtl/>
              </w:rPr>
              <w:t>المنطقة</w:t>
            </w:r>
          </w:p>
        </w:tc>
        <w:tc>
          <w:tcPr>
            <w:tcW w:w="758" w:type="dxa"/>
            <w:vAlign w:val="center"/>
          </w:tcPr>
          <w:p w:rsidR="00640ADB" w:rsidRPr="008167FB" w:rsidRDefault="00640ADB" w:rsidP="005A1F59">
            <w:pPr>
              <w:jc w:val="center"/>
              <w:rPr>
                <w:rFonts w:asciiTheme="majorBidi" w:hAnsiTheme="majorBidi" w:cstheme="majorBidi"/>
                <w:b/>
                <w:bCs/>
                <w:sz w:val="24"/>
                <w:szCs w:val="24"/>
                <w:rtl/>
              </w:rPr>
            </w:pPr>
            <w:r w:rsidRPr="008167FB">
              <w:rPr>
                <w:rFonts w:asciiTheme="majorBidi" w:hAnsiTheme="majorBidi" w:cstheme="majorBidi"/>
                <w:b/>
                <w:bCs/>
                <w:sz w:val="24"/>
                <w:szCs w:val="24"/>
              </w:rPr>
              <w:t>2018</w:t>
            </w:r>
          </w:p>
        </w:tc>
        <w:tc>
          <w:tcPr>
            <w:tcW w:w="758" w:type="dxa"/>
            <w:vAlign w:val="center"/>
          </w:tcPr>
          <w:p w:rsidR="00640ADB" w:rsidRPr="008167FB" w:rsidRDefault="00640ADB" w:rsidP="005A1F59">
            <w:pPr>
              <w:jc w:val="center"/>
              <w:rPr>
                <w:rFonts w:asciiTheme="majorBidi" w:hAnsiTheme="majorBidi" w:cstheme="majorBidi"/>
                <w:b/>
                <w:bCs/>
                <w:sz w:val="24"/>
                <w:szCs w:val="24"/>
              </w:rPr>
            </w:pPr>
            <w:r w:rsidRPr="008167FB">
              <w:rPr>
                <w:rFonts w:asciiTheme="majorBidi" w:hAnsiTheme="majorBidi" w:cstheme="majorBidi"/>
                <w:b/>
                <w:bCs/>
                <w:sz w:val="24"/>
                <w:szCs w:val="24"/>
              </w:rPr>
              <w:t>2019</w:t>
            </w:r>
          </w:p>
        </w:tc>
        <w:tc>
          <w:tcPr>
            <w:tcW w:w="758" w:type="dxa"/>
            <w:vAlign w:val="center"/>
          </w:tcPr>
          <w:p w:rsidR="00640ADB" w:rsidRPr="008167FB" w:rsidRDefault="00640ADB" w:rsidP="00A833AC">
            <w:pPr>
              <w:jc w:val="center"/>
              <w:rPr>
                <w:rFonts w:asciiTheme="majorBidi" w:hAnsiTheme="majorBidi" w:cstheme="majorBidi"/>
                <w:b/>
                <w:bCs/>
                <w:sz w:val="24"/>
                <w:szCs w:val="24"/>
              </w:rPr>
            </w:pPr>
            <w:r w:rsidRPr="008167FB">
              <w:rPr>
                <w:rFonts w:asciiTheme="majorBidi" w:hAnsiTheme="majorBidi" w:cstheme="majorBidi"/>
                <w:b/>
                <w:bCs/>
                <w:sz w:val="24"/>
                <w:szCs w:val="24"/>
              </w:rPr>
              <w:t>2020</w:t>
            </w:r>
          </w:p>
        </w:tc>
        <w:tc>
          <w:tcPr>
            <w:tcW w:w="726" w:type="dxa"/>
            <w:vAlign w:val="center"/>
          </w:tcPr>
          <w:p w:rsidR="00640ADB" w:rsidRPr="008167FB" w:rsidRDefault="00640ADB" w:rsidP="009F340C">
            <w:pPr>
              <w:jc w:val="center"/>
              <w:rPr>
                <w:rFonts w:asciiTheme="majorBidi" w:hAnsiTheme="majorBidi" w:cstheme="majorBidi"/>
                <w:b/>
                <w:bCs/>
                <w:sz w:val="24"/>
                <w:szCs w:val="24"/>
              </w:rPr>
            </w:pPr>
            <w:r w:rsidRPr="008167FB">
              <w:rPr>
                <w:rFonts w:asciiTheme="majorBidi" w:hAnsiTheme="majorBidi" w:cstheme="majorBidi"/>
                <w:b/>
                <w:bCs/>
                <w:sz w:val="24"/>
                <w:szCs w:val="24"/>
              </w:rPr>
              <w:t>2021</w:t>
            </w:r>
          </w:p>
        </w:tc>
        <w:tc>
          <w:tcPr>
            <w:tcW w:w="726" w:type="dxa"/>
            <w:vAlign w:val="center"/>
          </w:tcPr>
          <w:p w:rsidR="00640ADB" w:rsidRPr="008167FB" w:rsidRDefault="00640ADB" w:rsidP="009F340C">
            <w:pPr>
              <w:jc w:val="center"/>
              <w:rPr>
                <w:rFonts w:asciiTheme="majorBidi" w:hAnsiTheme="majorBidi" w:cstheme="majorBidi"/>
                <w:b/>
                <w:bCs/>
                <w:sz w:val="24"/>
                <w:szCs w:val="24"/>
              </w:rPr>
            </w:pPr>
            <w:r w:rsidRPr="008167FB">
              <w:rPr>
                <w:rFonts w:asciiTheme="majorBidi" w:hAnsiTheme="majorBidi" w:cstheme="majorBidi"/>
                <w:b/>
                <w:bCs/>
                <w:sz w:val="24"/>
                <w:szCs w:val="24"/>
              </w:rPr>
              <w:t>2022</w:t>
            </w:r>
          </w:p>
        </w:tc>
      </w:tr>
      <w:tr w:rsidR="00640ADB" w:rsidRPr="008167FB" w:rsidTr="00365E76">
        <w:trPr>
          <w:trHeight w:hRule="exact" w:val="511"/>
          <w:jc w:val="center"/>
        </w:trPr>
        <w:tc>
          <w:tcPr>
            <w:tcW w:w="1390" w:type="dxa"/>
          </w:tcPr>
          <w:p w:rsidR="00640ADB" w:rsidRPr="008167FB" w:rsidRDefault="00640ADB" w:rsidP="00FB298D">
            <w:pPr>
              <w:jc w:val="right"/>
              <w:rPr>
                <w:rFonts w:asciiTheme="majorBidi" w:hAnsiTheme="majorBidi" w:cstheme="majorBidi"/>
                <w:b/>
                <w:bCs/>
                <w:sz w:val="24"/>
                <w:szCs w:val="24"/>
                <w:rtl/>
              </w:rPr>
            </w:pPr>
            <w:r w:rsidRPr="008167FB">
              <w:rPr>
                <w:rFonts w:asciiTheme="majorBidi" w:hAnsiTheme="majorBidi" w:cstheme="majorBidi"/>
                <w:b/>
                <w:bCs/>
                <w:sz w:val="24"/>
                <w:szCs w:val="24"/>
                <w:rtl/>
              </w:rPr>
              <w:t>فلسطين</w:t>
            </w:r>
          </w:p>
        </w:tc>
        <w:tc>
          <w:tcPr>
            <w:tcW w:w="758" w:type="dxa"/>
            <w:vAlign w:val="center"/>
          </w:tcPr>
          <w:p w:rsidR="00640ADB" w:rsidRPr="008167FB" w:rsidRDefault="00640ADB" w:rsidP="00255672">
            <w:pPr>
              <w:jc w:val="right"/>
              <w:rPr>
                <w:rFonts w:asciiTheme="majorBidi" w:hAnsiTheme="majorBidi" w:cstheme="majorBidi"/>
                <w:b/>
                <w:bCs/>
                <w:sz w:val="24"/>
                <w:szCs w:val="24"/>
              </w:rPr>
            </w:pPr>
            <w:r w:rsidRPr="008167FB">
              <w:rPr>
                <w:rFonts w:asciiTheme="majorBidi" w:hAnsiTheme="majorBidi" w:cstheme="majorBidi"/>
                <w:b/>
                <w:bCs/>
                <w:sz w:val="24"/>
                <w:szCs w:val="24"/>
              </w:rPr>
              <w:t>597</w:t>
            </w:r>
          </w:p>
        </w:tc>
        <w:tc>
          <w:tcPr>
            <w:tcW w:w="758" w:type="dxa"/>
            <w:vAlign w:val="center"/>
          </w:tcPr>
          <w:p w:rsidR="00640ADB" w:rsidRPr="008167FB" w:rsidRDefault="00640ADB" w:rsidP="00255672">
            <w:pPr>
              <w:jc w:val="right"/>
              <w:rPr>
                <w:rFonts w:asciiTheme="majorBidi" w:hAnsiTheme="majorBidi" w:cstheme="majorBidi"/>
                <w:b/>
                <w:bCs/>
                <w:sz w:val="24"/>
                <w:szCs w:val="24"/>
              </w:rPr>
            </w:pPr>
            <w:r w:rsidRPr="008167FB">
              <w:rPr>
                <w:rFonts w:asciiTheme="majorBidi" w:hAnsiTheme="majorBidi" w:cstheme="majorBidi"/>
                <w:b/>
                <w:bCs/>
                <w:sz w:val="24"/>
                <w:szCs w:val="24"/>
              </w:rPr>
              <w:t>566</w:t>
            </w:r>
          </w:p>
        </w:tc>
        <w:tc>
          <w:tcPr>
            <w:tcW w:w="758" w:type="dxa"/>
            <w:vAlign w:val="center"/>
          </w:tcPr>
          <w:p w:rsidR="00640ADB" w:rsidRPr="008167FB" w:rsidRDefault="00640ADB" w:rsidP="00255672">
            <w:pPr>
              <w:jc w:val="right"/>
              <w:rPr>
                <w:rFonts w:asciiTheme="majorBidi" w:hAnsiTheme="majorBidi" w:cstheme="majorBidi"/>
                <w:b/>
                <w:bCs/>
                <w:sz w:val="24"/>
                <w:szCs w:val="24"/>
              </w:rPr>
            </w:pPr>
            <w:r w:rsidRPr="008167FB">
              <w:rPr>
                <w:rFonts w:asciiTheme="majorBidi" w:hAnsiTheme="majorBidi" w:cstheme="majorBidi"/>
                <w:b/>
                <w:bCs/>
                <w:sz w:val="24"/>
                <w:szCs w:val="24"/>
                <w:rtl/>
              </w:rPr>
              <w:t>528</w:t>
            </w:r>
          </w:p>
        </w:tc>
        <w:tc>
          <w:tcPr>
            <w:tcW w:w="726" w:type="dxa"/>
            <w:vAlign w:val="center"/>
          </w:tcPr>
          <w:p w:rsidR="00640ADB" w:rsidRPr="008167FB" w:rsidRDefault="00640ADB" w:rsidP="00F809D8">
            <w:pPr>
              <w:jc w:val="right"/>
              <w:rPr>
                <w:rFonts w:asciiTheme="majorBidi" w:hAnsiTheme="majorBidi" w:cstheme="majorBidi"/>
                <w:b/>
                <w:bCs/>
                <w:sz w:val="24"/>
                <w:szCs w:val="24"/>
                <w:rtl/>
              </w:rPr>
            </w:pPr>
            <w:r w:rsidRPr="008167FB">
              <w:rPr>
                <w:rFonts w:asciiTheme="majorBidi" w:hAnsiTheme="majorBidi" w:cstheme="majorBidi"/>
                <w:b/>
                <w:bCs/>
                <w:sz w:val="24"/>
                <w:szCs w:val="24"/>
              </w:rPr>
              <w:t>577</w:t>
            </w:r>
          </w:p>
        </w:tc>
        <w:tc>
          <w:tcPr>
            <w:tcW w:w="726" w:type="dxa"/>
            <w:vAlign w:val="center"/>
          </w:tcPr>
          <w:p w:rsidR="00640ADB" w:rsidRPr="008167FB" w:rsidRDefault="00825235" w:rsidP="009F340C">
            <w:pPr>
              <w:jc w:val="center"/>
              <w:rPr>
                <w:rFonts w:asciiTheme="majorBidi" w:hAnsiTheme="majorBidi" w:cstheme="majorBidi"/>
                <w:b/>
                <w:bCs/>
                <w:sz w:val="24"/>
                <w:szCs w:val="24"/>
              </w:rPr>
            </w:pPr>
            <w:r w:rsidRPr="008167FB">
              <w:rPr>
                <w:rFonts w:asciiTheme="majorBidi" w:hAnsiTheme="majorBidi" w:cstheme="majorBidi"/>
                <w:b/>
                <w:bCs/>
                <w:sz w:val="24"/>
                <w:szCs w:val="24"/>
              </w:rPr>
              <w:t>584</w:t>
            </w:r>
          </w:p>
        </w:tc>
      </w:tr>
      <w:tr w:rsidR="00640ADB" w:rsidRPr="008167FB" w:rsidTr="00365E76">
        <w:trPr>
          <w:trHeight w:hRule="exact" w:val="511"/>
          <w:jc w:val="center"/>
        </w:trPr>
        <w:tc>
          <w:tcPr>
            <w:tcW w:w="1390" w:type="dxa"/>
          </w:tcPr>
          <w:p w:rsidR="00640ADB" w:rsidRPr="008167FB" w:rsidRDefault="00640ADB" w:rsidP="00FB298D">
            <w:pPr>
              <w:jc w:val="right"/>
              <w:rPr>
                <w:rFonts w:asciiTheme="majorBidi" w:hAnsiTheme="majorBidi" w:cstheme="majorBidi"/>
                <w:b/>
                <w:bCs/>
                <w:sz w:val="24"/>
                <w:szCs w:val="24"/>
                <w:rtl/>
              </w:rPr>
            </w:pPr>
            <w:r w:rsidRPr="008167FB">
              <w:rPr>
                <w:rFonts w:asciiTheme="majorBidi" w:hAnsiTheme="majorBidi" w:cstheme="majorBidi"/>
                <w:sz w:val="24"/>
                <w:szCs w:val="24"/>
                <w:rtl/>
              </w:rPr>
              <w:t>الضفة الغربية</w:t>
            </w:r>
          </w:p>
        </w:tc>
        <w:tc>
          <w:tcPr>
            <w:tcW w:w="758" w:type="dxa"/>
            <w:vAlign w:val="center"/>
          </w:tcPr>
          <w:p w:rsidR="00640ADB" w:rsidRPr="008167FB" w:rsidRDefault="00640ADB" w:rsidP="00255672">
            <w:pPr>
              <w:jc w:val="right"/>
              <w:rPr>
                <w:rFonts w:asciiTheme="majorBidi" w:hAnsiTheme="majorBidi" w:cstheme="majorBidi"/>
                <w:sz w:val="24"/>
                <w:szCs w:val="24"/>
              </w:rPr>
            </w:pPr>
            <w:r w:rsidRPr="008167FB">
              <w:rPr>
                <w:rFonts w:asciiTheme="majorBidi" w:hAnsiTheme="majorBidi" w:cstheme="majorBidi"/>
                <w:sz w:val="24"/>
                <w:szCs w:val="24"/>
              </w:rPr>
              <w:t>528</w:t>
            </w:r>
          </w:p>
        </w:tc>
        <w:tc>
          <w:tcPr>
            <w:tcW w:w="758" w:type="dxa"/>
            <w:vAlign w:val="center"/>
          </w:tcPr>
          <w:p w:rsidR="00640ADB" w:rsidRPr="008167FB" w:rsidRDefault="00640ADB" w:rsidP="00255672">
            <w:pPr>
              <w:jc w:val="right"/>
              <w:rPr>
                <w:rFonts w:asciiTheme="majorBidi" w:hAnsiTheme="majorBidi" w:cstheme="majorBidi"/>
                <w:sz w:val="24"/>
                <w:szCs w:val="24"/>
              </w:rPr>
            </w:pPr>
            <w:r w:rsidRPr="008167FB">
              <w:rPr>
                <w:rFonts w:asciiTheme="majorBidi" w:hAnsiTheme="majorBidi" w:cstheme="majorBidi"/>
                <w:sz w:val="24"/>
                <w:szCs w:val="24"/>
              </w:rPr>
              <w:t>510</w:t>
            </w:r>
          </w:p>
        </w:tc>
        <w:tc>
          <w:tcPr>
            <w:tcW w:w="758" w:type="dxa"/>
            <w:vAlign w:val="center"/>
          </w:tcPr>
          <w:p w:rsidR="00640ADB" w:rsidRPr="008167FB" w:rsidRDefault="00640ADB" w:rsidP="00255672">
            <w:pPr>
              <w:jc w:val="right"/>
              <w:rPr>
                <w:rFonts w:asciiTheme="majorBidi" w:hAnsiTheme="majorBidi" w:cstheme="majorBidi"/>
                <w:sz w:val="24"/>
                <w:szCs w:val="24"/>
                <w:rtl/>
                <w:lang w:bidi="ar-JO"/>
              </w:rPr>
            </w:pPr>
            <w:r w:rsidRPr="008167FB">
              <w:rPr>
                <w:rFonts w:asciiTheme="majorBidi" w:hAnsiTheme="majorBidi" w:cstheme="majorBidi"/>
                <w:sz w:val="24"/>
                <w:szCs w:val="24"/>
                <w:rtl/>
                <w:lang w:bidi="ar-JO"/>
              </w:rPr>
              <w:t>473</w:t>
            </w:r>
          </w:p>
        </w:tc>
        <w:tc>
          <w:tcPr>
            <w:tcW w:w="726" w:type="dxa"/>
            <w:vAlign w:val="center"/>
          </w:tcPr>
          <w:p w:rsidR="00640ADB" w:rsidRPr="008167FB" w:rsidRDefault="00640ADB" w:rsidP="00F809D8">
            <w:pPr>
              <w:jc w:val="right"/>
              <w:rPr>
                <w:rFonts w:asciiTheme="majorBidi" w:hAnsiTheme="majorBidi" w:cstheme="majorBidi"/>
                <w:sz w:val="24"/>
                <w:szCs w:val="24"/>
                <w:rtl/>
                <w:lang w:bidi="ar-JO"/>
              </w:rPr>
            </w:pPr>
            <w:r w:rsidRPr="008167FB">
              <w:rPr>
                <w:rFonts w:asciiTheme="majorBidi" w:hAnsiTheme="majorBidi" w:cstheme="majorBidi"/>
                <w:sz w:val="24"/>
                <w:szCs w:val="24"/>
                <w:lang w:bidi="ar-JO"/>
              </w:rPr>
              <w:t>505</w:t>
            </w:r>
          </w:p>
        </w:tc>
        <w:tc>
          <w:tcPr>
            <w:tcW w:w="726" w:type="dxa"/>
            <w:vAlign w:val="center"/>
          </w:tcPr>
          <w:p w:rsidR="00640ADB" w:rsidRPr="008167FB" w:rsidRDefault="00825235" w:rsidP="009F340C">
            <w:pPr>
              <w:jc w:val="center"/>
              <w:rPr>
                <w:rFonts w:asciiTheme="majorBidi" w:hAnsiTheme="majorBidi" w:cstheme="majorBidi"/>
                <w:sz w:val="24"/>
                <w:szCs w:val="24"/>
                <w:lang w:bidi="ar-JO"/>
              </w:rPr>
            </w:pPr>
            <w:r w:rsidRPr="008167FB">
              <w:rPr>
                <w:rFonts w:asciiTheme="majorBidi" w:hAnsiTheme="majorBidi" w:cstheme="majorBidi"/>
                <w:sz w:val="24"/>
                <w:szCs w:val="24"/>
                <w:lang w:bidi="ar-JO"/>
              </w:rPr>
              <w:t>508</w:t>
            </w:r>
          </w:p>
        </w:tc>
      </w:tr>
      <w:tr w:rsidR="00640ADB" w:rsidRPr="008167FB" w:rsidTr="00365E76">
        <w:trPr>
          <w:trHeight w:hRule="exact" w:val="511"/>
          <w:jc w:val="center"/>
        </w:trPr>
        <w:tc>
          <w:tcPr>
            <w:tcW w:w="1390" w:type="dxa"/>
          </w:tcPr>
          <w:p w:rsidR="00640ADB" w:rsidRPr="008167FB" w:rsidRDefault="00640ADB" w:rsidP="00FB298D">
            <w:pPr>
              <w:jc w:val="right"/>
              <w:rPr>
                <w:rFonts w:asciiTheme="majorBidi" w:hAnsiTheme="majorBidi" w:cstheme="majorBidi"/>
                <w:b/>
                <w:bCs/>
                <w:sz w:val="24"/>
                <w:szCs w:val="24"/>
                <w:rtl/>
              </w:rPr>
            </w:pPr>
            <w:r w:rsidRPr="008167FB">
              <w:rPr>
                <w:rFonts w:asciiTheme="majorBidi" w:hAnsiTheme="majorBidi" w:cstheme="majorBidi"/>
                <w:sz w:val="24"/>
                <w:szCs w:val="24"/>
                <w:rtl/>
              </w:rPr>
              <w:t>قطاع غزة</w:t>
            </w:r>
          </w:p>
        </w:tc>
        <w:tc>
          <w:tcPr>
            <w:tcW w:w="758" w:type="dxa"/>
            <w:vAlign w:val="center"/>
          </w:tcPr>
          <w:p w:rsidR="00640ADB" w:rsidRPr="008167FB" w:rsidRDefault="00640ADB" w:rsidP="00255672">
            <w:pPr>
              <w:jc w:val="right"/>
              <w:rPr>
                <w:rFonts w:asciiTheme="majorBidi" w:hAnsiTheme="majorBidi" w:cstheme="majorBidi"/>
                <w:sz w:val="24"/>
                <w:szCs w:val="24"/>
              </w:rPr>
            </w:pPr>
            <w:r w:rsidRPr="008167FB">
              <w:rPr>
                <w:rFonts w:asciiTheme="majorBidi" w:hAnsiTheme="majorBidi" w:cstheme="majorBidi"/>
                <w:sz w:val="24"/>
                <w:szCs w:val="24"/>
              </w:rPr>
              <w:t>69</w:t>
            </w:r>
          </w:p>
        </w:tc>
        <w:tc>
          <w:tcPr>
            <w:tcW w:w="758" w:type="dxa"/>
            <w:vAlign w:val="center"/>
          </w:tcPr>
          <w:p w:rsidR="00640ADB" w:rsidRPr="008167FB" w:rsidRDefault="00640ADB" w:rsidP="00255672">
            <w:pPr>
              <w:jc w:val="right"/>
              <w:rPr>
                <w:rFonts w:asciiTheme="majorBidi" w:hAnsiTheme="majorBidi" w:cstheme="majorBidi"/>
                <w:sz w:val="24"/>
                <w:szCs w:val="24"/>
              </w:rPr>
            </w:pPr>
            <w:r w:rsidRPr="008167FB">
              <w:rPr>
                <w:rFonts w:asciiTheme="majorBidi" w:hAnsiTheme="majorBidi" w:cstheme="majorBidi"/>
                <w:sz w:val="24"/>
                <w:szCs w:val="24"/>
              </w:rPr>
              <w:t>56</w:t>
            </w:r>
          </w:p>
        </w:tc>
        <w:tc>
          <w:tcPr>
            <w:tcW w:w="758" w:type="dxa"/>
            <w:vAlign w:val="center"/>
          </w:tcPr>
          <w:p w:rsidR="00640ADB" w:rsidRPr="008167FB" w:rsidRDefault="00640ADB" w:rsidP="00255672">
            <w:pPr>
              <w:jc w:val="right"/>
              <w:rPr>
                <w:rFonts w:asciiTheme="majorBidi" w:hAnsiTheme="majorBidi" w:cstheme="majorBidi"/>
                <w:sz w:val="24"/>
                <w:szCs w:val="24"/>
              </w:rPr>
            </w:pPr>
            <w:r w:rsidRPr="008167FB">
              <w:rPr>
                <w:rFonts w:asciiTheme="majorBidi" w:hAnsiTheme="majorBidi" w:cstheme="majorBidi"/>
                <w:sz w:val="24"/>
                <w:szCs w:val="24"/>
                <w:rtl/>
              </w:rPr>
              <w:t>55</w:t>
            </w:r>
          </w:p>
        </w:tc>
        <w:tc>
          <w:tcPr>
            <w:tcW w:w="726" w:type="dxa"/>
            <w:vAlign w:val="center"/>
          </w:tcPr>
          <w:p w:rsidR="00640ADB" w:rsidRPr="008167FB" w:rsidRDefault="00640ADB" w:rsidP="00F809D8">
            <w:pPr>
              <w:jc w:val="right"/>
              <w:rPr>
                <w:rFonts w:asciiTheme="majorBidi" w:hAnsiTheme="majorBidi" w:cstheme="majorBidi"/>
                <w:sz w:val="24"/>
                <w:szCs w:val="24"/>
                <w:rtl/>
              </w:rPr>
            </w:pPr>
            <w:r w:rsidRPr="008167FB">
              <w:rPr>
                <w:rFonts w:asciiTheme="majorBidi" w:hAnsiTheme="majorBidi" w:cstheme="majorBidi"/>
                <w:sz w:val="24"/>
                <w:szCs w:val="24"/>
              </w:rPr>
              <w:t>72</w:t>
            </w:r>
          </w:p>
        </w:tc>
        <w:tc>
          <w:tcPr>
            <w:tcW w:w="726" w:type="dxa"/>
            <w:vAlign w:val="center"/>
          </w:tcPr>
          <w:p w:rsidR="00640ADB" w:rsidRPr="008167FB" w:rsidRDefault="00825235" w:rsidP="009F340C">
            <w:pPr>
              <w:jc w:val="center"/>
              <w:rPr>
                <w:rFonts w:asciiTheme="majorBidi" w:hAnsiTheme="majorBidi" w:cstheme="majorBidi"/>
                <w:sz w:val="24"/>
                <w:szCs w:val="24"/>
              </w:rPr>
            </w:pPr>
            <w:r w:rsidRPr="008167FB">
              <w:rPr>
                <w:rFonts w:asciiTheme="majorBidi" w:hAnsiTheme="majorBidi" w:cstheme="majorBidi"/>
                <w:sz w:val="24"/>
                <w:szCs w:val="24"/>
              </w:rPr>
              <w:t>76</w:t>
            </w:r>
          </w:p>
        </w:tc>
      </w:tr>
    </w:tbl>
    <w:p w:rsidR="00FB298D" w:rsidRPr="008167FB" w:rsidRDefault="00FB298D" w:rsidP="003F1CF5">
      <w:pPr>
        <w:pStyle w:val="BodyText"/>
        <w:jc w:val="both"/>
        <w:rPr>
          <w:rFonts w:ascii="Simplified Arabic" w:hAnsi="Simplified Arabic"/>
          <w:b w:val="0"/>
          <w:bCs w:val="0"/>
          <w:color w:val="FF0000"/>
          <w:sz w:val="16"/>
          <w:szCs w:val="16"/>
          <w:rtl/>
        </w:rPr>
      </w:pPr>
    </w:p>
    <w:p w:rsidR="0008497B" w:rsidRPr="008167FB" w:rsidRDefault="00441559" w:rsidP="00856AB5">
      <w:pPr>
        <w:pStyle w:val="BodyText"/>
        <w:jc w:val="both"/>
        <w:rPr>
          <w:rFonts w:ascii="Simplified Arabic" w:hAnsi="Simplified Arabic"/>
          <w:b w:val="0"/>
          <w:bCs w:val="0"/>
          <w:sz w:val="26"/>
          <w:szCs w:val="26"/>
          <w:rtl/>
        </w:rPr>
      </w:pPr>
      <w:r w:rsidRPr="008167FB">
        <w:rPr>
          <w:rFonts w:ascii="Simplified Arabic" w:hAnsi="Simplified Arabic"/>
          <w:b w:val="0"/>
          <w:bCs w:val="0"/>
          <w:sz w:val="26"/>
          <w:szCs w:val="26"/>
          <w:rtl/>
        </w:rPr>
        <w:t>ارتفع</w:t>
      </w:r>
      <w:r w:rsidR="004628C9" w:rsidRPr="008167FB">
        <w:rPr>
          <w:rFonts w:ascii="Simplified Arabic" w:hAnsi="Simplified Arabic"/>
          <w:b w:val="0"/>
          <w:bCs w:val="0"/>
          <w:sz w:val="26"/>
          <w:szCs w:val="26"/>
          <w:rtl/>
        </w:rPr>
        <w:t xml:space="preserve"> عدد الأنشطة</w:t>
      </w:r>
      <w:r w:rsidR="00962E02" w:rsidRPr="008167FB">
        <w:rPr>
          <w:rFonts w:ascii="Simplified Arabic" w:hAnsi="Simplified Arabic"/>
          <w:b w:val="0"/>
          <w:bCs w:val="0"/>
          <w:sz w:val="26"/>
          <w:szCs w:val="26"/>
          <w:rtl/>
        </w:rPr>
        <w:t xml:space="preserve"> الثقافية</w:t>
      </w:r>
      <w:r w:rsidRPr="008167FB">
        <w:rPr>
          <w:rFonts w:ascii="Simplified Arabic" w:hAnsi="Simplified Arabic"/>
          <w:b w:val="0"/>
          <w:bCs w:val="0"/>
          <w:sz w:val="26"/>
          <w:szCs w:val="26"/>
          <w:rtl/>
        </w:rPr>
        <w:t xml:space="preserve"> المنعقدة في المراكز الثقافية خلال عام </w:t>
      </w:r>
      <w:r w:rsidR="00847D89" w:rsidRPr="008167FB">
        <w:rPr>
          <w:rFonts w:ascii="Simplified Arabic" w:hAnsi="Simplified Arabic"/>
          <w:b w:val="0"/>
          <w:bCs w:val="0"/>
          <w:sz w:val="26"/>
          <w:szCs w:val="26"/>
          <w:rtl/>
        </w:rPr>
        <w:t>2022</w:t>
      </w:r>
      <w:r w:rsidR="004628C9" w:rsidRPr="008167FB">
        <w:rPr>
          <w:rFonts w:ascii="Simplified Arabic" w:hAnsi="Simplified Arabic"/>
          <w:b w:val="0"/>
          <w:bCs w:val="0"/>
          <w:sz w:val="26"/>
          <w:szCs w:val="26"/>
          <w:rtl/>
        </w:rPr>
        <w:t xml:space="preserve"> </w:t>
      </w:r>
      <w:r w:rsidRPr="008167FB">
        <w:rPr>
          <w:rFonts w:ascii="Simplified Arabic" w:hAnsi="Simplified Arabic"/>
          <w:b w:val="0"/>
          <w:bCs w:val="0"/>
          <w:sz w:val="26"/>
          <w:szCs w:val="26"/>
          <w:rtl/>
        </w:rPr>
        <w:t xml:space="preserve">بنسبة </w:t>
      </w:r>
      <w:r w:rsidR="007A2405" w:rsidRPr="008167FB">
        <w:rPr>
          <w:rFonts w:ascii="Simplified Arabic" w:hAnsi="Simplified Arabic"/>
          <w:b w:val="0"/>
          <w:bCs w:val="0"/>
          <w:sz w:val="26"/>
          <w:szCs w:val="26"/>
          <w:rtl/>
        </w:rPr>
        <w:t>حوالي 4</w:t>
      </w:r>
      <w:r w:rsidR="00856AB5" w:rsidRPr="008167FB">
        <w:rPr>
          <w:rFonts w:ascii="Simplified Arabic" w:hAnsi="Simplified Arabic"/>
          <w:b w:val="0"/>
          <w:bCs w:val="0"/>
          <w:sz w:val="26"/>
          <w:szCs w:val="26"/>
          <w:rtl/>
        </w:rPr>
        <w:t>% بالمقارنة مع العام السابق.</w:t>
      </w:r>
    </w:p>
    <w:p w:rsidR="00255672" w:rsidRPr="008167FB" w:rsidRDefault="00255672" w:rsidP="00255672">
      <w:pPr>
        <w:pStyle w:val="BodyText"/>
        <w:jc w:val="both"/>
        <w:rPr>
          <w:rFonts w:ascii="Simplified Arabic" w:hAnsi="Simplified Arabic"/>
          <w:b w:val="0"/>
          <w:bCs w:val="0"/>
          <w:color w:val="FF0000"/>
          <w:sz w:val="16"/>
          <w:szCs w:val="16"/>
          <w:rtl/>
        </w:rPr>
      </w:pPr>
    </w:p>
    <w:p w:rsidR="00804874" w:rsidRPr="008167FB" w:rsidRDefault="007A2405" w:rsidP="00856AB5">
      <w:pPr>
        <w:pStyle w:val="BodyText"/>
        <w:jc w:val="both"/>
        <w:rPr>
          <w:rFonts w:ascii="Simplified Arabic" w:hAnsi="Simplified Arabic"/>
          <w:b w:val="0"/>
          <w:bCs w:val="0"/>
          <w:sz w:val="26"/>
          <w:szCs w:val="26"/>
          <w:rtl/>
        </w:rPr>
      </w:pPr>
      <w:r w:rsidRPr="008167FB">
        <w:rPr>
          <w:rFonts w:ascii="Simplified Arabic" w:hAnsi="Simplified Arabic"/>
          <w:b w:val="0"/>
          <w:bCs w:val="0"/>
          <w:sz w:val="26"/>
          <w:szCs w:val="26"/>
          <w:rtl/>
        </w:rPr>
        <w:t>و</w:t>
      </w:r>
      <w:r w:rsidR="00847D89" w:rsidRPr="008167FB">
        <w:rPr>
          <w:rFonts w:ascii="Simplified Arabic" w:hAnsi="Simplified Arabic"/>
          <w:b w:val="0"/>
          <w:bCs w:val="0"/>
          <w:sz w:val="26"/>
          <w:szCs w:val="26"/>
          <w:rtl/>
        </w:rPr>
        <w:t>لا تزال</w:t>
      </w:r>
      <w:r w:rsidR="00EB3D9D" w:rsidRPr="008167FB">
        <w:rPr>
          <w:rFonts w:ascii="Simplified Arabic" w:hAnsi="Simplified Arabic"/>
          <w:b w:val="0"/>
          <w:bCs w:val="0"/>
          <w:sz w:val="26"/>
          <w:szCs w:val="26"/>
          <w:rtl/>
        </w:rPr>
        <w:t xml:space="preserve"> الدورات</w:t>
      </w:r>
      <w:r w:rsidR="00B42812" w:rsidRPr="008167FB">
        <w:rPr>
          <w:rFonts w:ascii="Simplified Arabic" w:hAnsi="Simplified Arabic"/>
          <w:b w:val="0"/>
          <w:bCs w:val="0"/>
          <w:sz w:val="26"/>
          <w:szCs w:val="26"/>
          <w:rtl/>
        </w:rPr>
        <w:t xml:space="preserve"> تحتل المرتبة الأولى من بين الأنشطة الثقافية المنعقدة في المراكز </w:t>
      </w:r>
      <w:r w:rsidR="00856AB5" w:rsidRPr="008167FB">
        <w:rPr>
          <w:rFonts w:ascii="Simplified Arabic" w:hAnsi="Simplified Arabic"/>
          <w:b w:val="0"/>
          <w:bCs w:val="0"/>
          <w:sz w:val="26"/>
          <w:szCs w:val="26"/>
          <w:rtl/>
        </w:rPr>
        <w:t>الثقافية، بواقع</w:t>
      </w:r>
      <w:r w:rsidR="00856AB5" w:rsidRPr="008167FB">
        <w:rPr>
          <w:rFonts w:ascii="Simplified Arabic" w:hAnsi="Simplified Arabic"/>
          <w:b w:val="0"/>
          <w:bCs w:val="0"/>
          <w:sz w:val="26"/>
          <w:szCs w:val="26"/>
        </w:rPr>
        <w:t xml:space="preserve"> </w:t>
      </w:r>
      <w:r w:rsidR="00856AB5" w:rsidRPr="008167FB">
        <w:rPr>
          <w:rFonts w:ascii="Simplified Arabic" w:hAnsi="Simplified Arabic"/>
          <w:b w:val="0"/>
          <w:bCs w:val="0"/>
          <w:sz w:val="26"/>
          <w:szCs w:val="26"/>
          <w:rtl/>
        </w:rPr>
        <w:t>حوالي 66% من الانشطة.</w:t>
      </w:r>
    </w:p>
    <w:p w:rsidR="008167FB" w:rsidRPr="008167FB" w:rsidRDefault="008167FB" w:rsidP="00856AB5">
      <w:pPr>
        <w:pStyle w:val="BodyText"/>
        <w:jc w:val="both"/>
        <w:rPr>
          <w:rFonts w:ascii="Simplified Arabic" w:hAnsi="Simplified Arabic"/>
          <w:b w:val="0"/>
          <w:bCs w:val="0"/>
          <w:sz w:val="16"/>
          <w:szCs w:val="16"/>
          <w:rtl/>
        </w:rPr>
      </w:pPr>
    </w:p>
    <w:p w:rsidR="00B42812" w:rsidRPr="004B29A0" w:rsidRDefault="00B42812" w:rsidP="00B42812">
      <w:pPr>
        <w:pStyle w:val="BodyText"/>
        <w:rPr>
          <w:rFonts w:ascii="Simplified Arabic" w:hAnsi="Simplified Arabic"/>
          <w:sz w:val="28"/>
          <w:szCs w:val="28"/>
          <w:rtl/>
        </w:rPr>
      </w:pPr>
      <w:r w:rsidRPr="004B29A0">
        <w:rPr>
          <w:rFonts w:ascii="Simplified Arabic" w:hAnsi="Simplified Arabic"/>
          <w:sz w:val="28"/>
          <w:szCs w:val="28"/>
          <w:rtl/>
        </w:rPr>
        <w:t>التوزيع النسبي للأنشطة الثقافية المنعقدة في المراكز الثقافية العاملة في فلسطين حسب نوع النشاط لأعوام مختارة</w:t>
      </w:r>
    </w:p>
    <w:tbl>
      <w:tblPr>
        <w:bidiVisual/>
        <w:tblW w:w="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893"/>
        <w:gridCol w:w="894"/>
        <w:gridCol w:w="893"/>
        <w:gridCol w:w="894"/>
        <w:gridCol w:w="894"/>
      </w:tblGrid>
      <w:tr w:rsidR="008167FB" w:rsidRPr="008167FB" w:rsidTr="004B29A0">
        <w:trPr>
          <w:trHeight w:hRule="exact" w:val="494"/>
          <w:jc w:val="center"/>
        </w:trPr>
        <w:tc>
          <w:tcPr>
            <w:tcW w:w="1338" w:type="dxa"/>
            <w:vAlign w:val="center"/>
          </w:tcPr>
          <w:p w:rsidR="00226E31" w:rsidRPr="008167FB" w:rsidRDefault="00226E31" w:rsidP="00B42812">
            <w:pPr>
              <w:jc w:val="center"/>
              <w:rPr>
                <w:rFonts w:asciiTheme="majorBidi" w:hAnsiTheme="majorBidi" w:cstheme="majorBidi"/>
                <w:b/>
                <w:bCs/>
                <w:sz w:val="22"/>
                <w:szCs w:val="22"/>
                <w:rtl/>
              </w:rPr>
            </w:pPr>
            <w:r w:rsidRPr="008167FB">
              <w:rPr>
                <w:rFonts w:asciiTheme="majorBidi" w:hAnsiTheme="majorBidi" w:cstheme="majorBidi"/>
                <w:b/>
                <w:bCs/>
                <w:sz w:val="22"/>
                <w:szCs w:val="22"/>
                <w:rtl/>
              </w:rPr>
              <w:t>نوع النشاط</w:t>
            </w:r>
          </w:p>
        </w:tc>
        <w:tc>
          <w:tcPr>
            <w:tcW w:w="893" w:type="dxa"/>
            <w:vAlign w:val="center"/>
          </w:tcPr>
          <w:p w:rsidR="00226E31" w:rsidRPr="008167FB" w:rsidRDefault="00226E31" w:rsidP="009A2020">
            <w:pPr>
              <w:jc w:val="center"/>
              <w:rPr>
                <w:rFonts w:asciiTheme="majorBidi" w:hAnsiTheme="majorBidi" w:cstheme="majorBidi"/>
                <w:b/>
                <w:bCs/>
                <w:sz w:val="22"/>
                <w:szCs w:val="22"/>
                <w:rtl/>
              </w:rPr>
            </w:pPr>
            <w:r w:rsidRPr="008167FB">
              <w:rPr>
                <w:rFonts w:asciiTheme="majorBidi" w:hAnsiTheme="majorBidi" w:cstheme="majorBidi"/>
                <w:b/>
                <w:bCs/>
                <w:sz w:val="22"/>
                <w:szCs w:val="22"/>
              </w:rPr>
              <w:t>2018</w:t>
            </w:r>
          </w:p>
        </w:tc>
        <w:tc>
          <w:tcPr>
            <w:tcW w:w="894" w:type="dxa"/>
            <w:vAlign w:val="center"/>
          </w:tcPr>
          <w:p w:rsidR="00226E31" w:rsidRPr="008167FB" w:rsidRDefault="00226E31" w:rsidP="009A2020">
            <w:pPr>
              <w:bidi/>
              <w:jc w:val="center"/>
              <w:rPr>
                <w:rFonts w:asciiTheme="majorBidi" w:hAnsiTheme="majorBidi" w:cstheme="majorBidi"/>
                <w:b/>
                <w:bCs/>
                <w:sz w:val="22"/>
                <w:szCs w:val="22"/>
                <w:rtl/>
              </w:rPr>
            </w:pPr>
            <w:r w:rsidRPr="008167FB">
              <w:rPr>
                <w:rFonts w:asciiTheme="majorBidi" w:hAnsiTheme="majorBidi" w:cstheme="majorBidi"/>
                <w:b/>
                <w:bCs/>
                <w:sz w:val="22"/>
                <w:szCs w:val="22"/>
                <w:rtl/>
              </w:rPr>
              <w:t>2019</w:t>
            </w:r>
          </w:p>
        </w:tc>
        <w:tc>
          <w:tcPr>
            <w:tcW w:w="893" w:type="dxa"/>
            <w:vAlign w:val="center"/>
          </w:tcPr>
          <w:p w:rsidR="00226E31" w:rsidRPr="008167FB" w:rsidRDefault="00226E31" w:rsidP="00A1196B">
            <w:pPr>
              <w:bidi/>
              <w:jc w:val="right"/>
              <w:rPr>
                <w:rFonts w:asciiTheme="majorBidi" w:hAnsiTheme="majorBidi" w:cstheme="majorBidi"/>
                <w:b/>
                <w:bCs/>
                <w:sz w:val="22"/>
                <w:szCs w:val="22"/>
                <w:rtl/>
              </w:rPr>
            </w:pPr>
            <w:r w:rsidRPr="008167FB">
              <w:rPr>
                <w:rFonts w:asciiTheme="majorBidi" w:hAnsiTheme="majorBidi" w:cstheme="majorBidi"/>
                <w:b/>
                <w:bCs/>
                <w:sz w:val="22"/>
                <w:szCs w:val="22"/>
                <w:rtl/>
              </w:rPr>
              <w:t>2020</w:t>
            </w:r>
          </w:p>
        </w:tc>
        <w:tc>
          <w:tcPr>
            <w:tcW w:w="894" w:type="dxa"/>
            <w:vAlign w:val="center"/>
          </w:tcPr>
          <w:p w:rsidR="00226E31" w:rsidRPr="008167FB" w:rsidRDefault="00226E31" w:rsidP="00226E31">
            <w:pPr>
              <w:bidi/>
              <w:jc w:val="center"/>
              <w:rPr>
                <w:rFonts w:asciiTheme="majorBidi" w:hAnsiTheme="majorBidi" w:cstheme="majorBidi"/>
                <w:b/>
                <w:bCs/>
                <w:sz w:val="22"/>
                <w:szCs w:val="22"/>
                <w:rtl/>
              </w:rPr>
            </w:pPr>
            <w:r w:rsidRPr="008167FB">
              <w:rPr>
                <w:rFonts w:asciiTheme="majorBidi" w:hAnsiTheme="majorBidi" w:cstheme="majorBidi"/>
                <w:b/>
                <w:bCs/>
                <w:sz w:val="22"/>
                <w:szCs w:val="22"/>
                <w:rtl/>
              </w:rPr>
              <w:t>2021</w:t>
            </w:r>
          </w:p>
        </w:tc>
        <w:tc>
          <w:tcPr>
            <w:tcW w:w="894" w:type="dxa"/>
            <w:vAlign w:val="center"/>
          </w:tcPr>
          <w:p w:rsidR="00226E31" w:rsidRPr="008167FB" w:rsidRDefault="00226E31" w:rsidP="00226E31">
            <w:pPr>
              <w:bidi/>
              <w:jc w:val="center"/>
              <w:rPr>
                <w:rFonts w:asciiTheme="majorBidi" w:hAnsiTheme="majorBidi" w:cstheme="majorBidi"/>
                <w:b/>
                <w:bCs/>
                <w:sz w:val="22"/>
                <w:szCs w:val="22"/>
                <w:rtl/>
              </w:rPr>
            </w:pPr>
            <w:r w:rsidRPr="008167FB">
              <w:rPr>
                <w:rFonts w:asciiTheme="majorBidi" w:hAnsiTheme="majorBidi" w:cstheme="majorBidi"/>
                <w:b/>
                <w:bCs/>
                <w:sz w:val="22"/>
                <w:szCs w:val="22"/>
                <w:rtl/>
              </w:rPr>
              <w:t>2022</w:t>
            </w:r>
          </w:p>
        </w:tc>
      </w:tr>
      <w:tr w:rsidR="008167FB" w:rsidRPr="008167FB" w:rsidTr="004B29A0">
        <w:trPr>
          <w:trHeight w:hRule="exact" w:val="378"/>
          <w:jc w:val="center"/>
        </w:trPr>
        <w:tc>
          <w:tcPr>
            <w:tcW w:w="1338" w:type="dxa"/>
            <w:vAlign w:val="center"/>
          </w:tcPr>
          <w:p w:rsidR="00226E31" w:rsidRPr="008167FB" w:rsidRDefault="00226E31" w:rsidP="003D5012">
            <w:pPr>
              <w:bidi/>
              <w:jc w:val="center"/>
              <w:rPr>
                <w:rFonts w:asciiTheme="majorBidi" w:hAnsiTheme="majorBidi" w:cstheme="majorBidi"/>
                <w:sz w:val="22"/>
                <w:szCs w:val="22"/>
                <w:rtl/>
              </w:rPr>
            </w:pPr>
            <w:r w:rsidRPr="008167FB">
              <w:rPr>
                <w:rFonts w:asciiTheme="majorBidi" w:hAnsiTheme="majorBidi" w:cstheme="majorBidi"/>
                <w:sz w:val="22"/>
                <w:szCs w:val="22"/>
                <w:rtl/>
              </w:rPr>
              <w:t>دورات</w:t>
            </w:r>
          </w:p>
        </w:tc>
        <w:tc>
          <w:tcPr>
            <w:tcW w:w="893" w:type="dxa"/>
            <w:vAlign w:val="center"/>
          </w:tcPr>
          <w:p w:rsidR="00226E31" w:rsidRPr="008167FB" w:rsidRDefault="00226E31" w:rsidP="003D5012">
            <w:pPr>
              <w:bidi/>
              <w:jc w:val="center"/>
              <w:rPr>
                <w:rFonts w:asciiTheme="majorBidi" w:hAnsiTheme="majorBidi" w:cstheme="majorBidi"/>
                <w:sz w:val="22"/>
                <w:szCs w:val="22"/>
              </w:rPr>
            </w:pPr>
            <w:r w:rsidRPr="008167FB">
              <w:rPr>
                <w:rFonts w:asciiTheme="majorBidi" w:hAnsiTheme="majorBidi" w:cstheme="majorBidi"/>
                <w:sz w:val="22"/>
                <w:szCs w:val="22"/>
              </w:rPr>
              <w:t>65.0</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tl/>
              </w:rPr>
              <w:t>66.5</w:t>
            </w:r>
          </w:p>
        </w:tc>
        <w:tc>
          <w:tcPr>
            <w:tcW w:w="893"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62.8</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62.7</w:t>
            </w:r>
          </w:p>
        </w:tc>
        <w:tc>
          <w:tcPr>
            <w:tcW w:w="894" w:type="dxa"/>
            <w:vAlign w:val="center"/>
          </w:tcPr>
          <w:p w:rsidR="00226E31" w:rsidRPr="008167FB" w:rsidRDefault="00915243" w:rsidP="003D5012">
            <w:pPr>
              <w:bidi/>
              <w:ind w:left="148" w:hanging="114"/>
              <w:jc w:val="center"/>
              <w:rPr>
                <w:rFonts w:asciiTheme="majorBidi" w:hAnsiTheme="majorBidi" w:cstheme="majorBidi"/>
                <w:sz w:val="22"/>
                <w:szCs w:val="22"/>
                <w:rtl/>
              </w:rPr>
            </w:pPr>
            <w:r w:rsidRPr="008167FB">
              <w:rPr>
                <w:rFonts w:asciiTheme="majorBidi" w:hAnsiTheme="majorBidi" w:cstheme="majorBidi"/>
                <w:sz w:val="22"/>
                <w:szCs w:val="22"/>
              </w:rPr>
              <w:t>65.5</w:t>
            </w:r>
          </w:p>
        </w:tc>
      </w:tr>
      <w:tr w:rsidR="008167FB" w:rsidRPr="008167FB" w:rsidTr="004B29A0">
        <w:trPr>
          <w:trHeight w:hRule="exact" w:val="494"/>
          <w:jc w:val="center"/>
        </w:trPr>
        <w:tc>
          <w:tcPr>
            <w:tcW w:w="1338" w:type="dxa"/>
            <w:vAlign w:val="center"/>
          </w:tcPr>
          <w:p w:rsidR="00226E31" w:rsidRPr="008167FB" w:rsidRDefault="00226E31" w:rsidP="003D5012">
            <w:pPr>
              <w:bidi/>
              <w:jc w:val="center"/>
              <w:rPr>
                <w:rFonts w:asciiTheme="majorBidi" w:hAnsiTheme="majorBidi" w:cstheme="majorBidi"/>
                <w:sz w:val="22"/>
                <w:szCs w:val="22"/>
              </w:rPr>
            </w:pPr>
            <w:r w:rsidRPr="008167FB">
              <w:rPr>
                <w:rFonts w:asciiTheme="majorBidi" w:hAnsiTheme="majorBidi" w:cstheme="majorBidi"/>
                <w:sz w:val="22"/>
                <w:szCs w:val="22"/>
                <w:rtl/>
              </w:rPr>
              <w:t>عروض فنية</w:t>
            </w:r>
          </w:p>
        </w:tc>
        <w:tc>
          <w:tcPr>
            <w:tcW w:w="893" w:type="dxa"/>
            <w:vAlign w:val="center"/>
          </w:tcPr>
          <w:p w:rsidR="00226E31" w:rsidRPr="008167FB" w:rsidRDefault="00226E31" w:rsidP="003D5012">
            <w:pPr>
              <w:bidi/>
              <w:jc w:val="center"/>
              <w:rPr>
                <w:rFonts w:asciiTheme="majorBidi" w:hAnsiTheme="majorBidi" w:cstheme="majorBidi"/>
                <w:sz w:val="22"/>
                <w:szCs w:val="22"/>
                <w:rtl/>
              </w:rPr>
            </w:pPr>
            <w:r w:rsidRPr="008167FB">
              <w:rPr>
                <w:rFonts w:asciiTheme="majorBidi" w:hAnsiTheme="majorBidi" w:cstheme="majorBidi"/>
                <w:sz w:val="22"/>
                <w:szCs w:val="22"/>
              </w:rPr>
              <w:t>16.5</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tl/>
              </w:rPr>
              <w:t>14.8</w:t>
            </w:r>
          </w:p>
        </w:tc>
        <w:tc>
          <w:tcPr>
            <w:tcW w:w="893" w:type="dxa"/>
            <w:vAlign w:val="center"/>
          </w:tcPr>
          <w:p w:rsidR="00226E31" w:rsidRPr="008167FB" w:rsidRDefault="00226E31" w:rsidP="003D5012">
            <w:pPr>
              <w:bidi/>
              <w:ind w:left="148" w:hanging="114"/>
              <w:jc w:val="center"/>
              <w:rPr>
                <w:rFonts w:asciiTheme="majorBidi" w:hAnsiTheme="majorBidi" w:cstheme="majorBidi"/>
                <w:sz w:val="22"/>
                <w:szCs w:val="22"/>
                <w:rtl/>
              </w:rPr>
            </w:pPr>
            <w:r w:rsidRPr="008167FB">
              <w:rPr>
                <w:rFonts w:asciiTheme="majorBidi" w:hAnsiTheme="majorBidi" w:cstheme="majorBidi"/>
                <w:sz w:val="22"/>
                <w:szCs w:val="22"/>
              </w:rPr>
              <w:t>11.1</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7.9</w:t>
            </w:r>
          </w:p>
        </w:tc>
        <w:tc>
          <w:tcPr>
            <w:tcW w:w="894" w:type="dxa"/>
            <w:vAlign w:val="center"/>
          </w:tcPr>
          <w:p w:rsidR="00226E31" w:rsidRPr="008167FB" w:rsidRDefault="00733F16"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9.2</w:t>
            </w:r>
          </w:p>
        </w:tc>
      </w:tr>
      <w:tr w:rsidR="008167FB" w:rsidRPr="008167FB" w:rsidTr="004B29A0">
        <w:trPr>
          <w:trHeight w:hRule="exact" w:val="444"/>
          <w:jc w:val="center"/>
        </w:trPr>
        <w:tc>
          <w:tcPr>
            <w:tcW w:w="1338" w:type="dxa"/>
            <w:vAlign w:val="center"/>
          </w:tcPr>
          <w:p w:rsidR="00226E31" w:rsidRPr="008167FB" w:rsidRDefault="00226E31" w:rsidP="003D5012">
            <w:pPr>
              <w:bidi/>
              <w:jc w:val="center"/>
              <w:rPr>
                <w:rFonts w:asciiTheme="majorBidi" w:hAnsiTheme="majorBidi" w:cstheme="majorBidi"/>
                <w:sz w:val="22"/>
                <w:szCs w:val="22"/>
              </w:rPr>
            </w:pPr>
            <w:r w:rsidRPr="008167FB">
              <w:rPr>
                <w:rFonts w:asciiTheme="majorBidi" w:hAnsiTheme="majorBidi" w:cstheme="majorBidi"/>
                <w:sz w:val="22"/>
                <w:szCs w:val="22"/>
                <w:rtl/>
              </w:rPr>
              <w:t>محاضرات</w:t>
            </w:r>
          </w:p>
        </w:tc>
        <w:tc>
          <w:tcPr>
            <w:tcW w:w="893" w:type="dxa"/>
            <w:vAlign w:val="center"/>
          </w:tcPr>
          <w:p w:rsidR="00226E31" w:rsidRPr="008167FB" w:rsidRDefault="00226E31" w:rsidP="003D5012">
            <w:pPr>
              <w:bidi/>
              <w:jc w:val="center"/>
              <w:rPr>
                <w:rFonts w:asciiTheme="majorBidi" w:hAnsiTheme="majorBidi" w:cstheme="majorBidi"/>
                <w:sz w:val="22"/>
                <w:szCs w:val="22"/>
              </w:rPr>
            </w:pPr>
            <w:r w:rsidRPr="008167FB">
              <w:rPr>
                <w:rFonts w:asciiTheme="majorBidi" w:hAnsiTheme="majorBidi" w:cstheme="majorBidi"/>
                <w:sz w:val="22"/>
                <w:szCs w:val="22"/>
              </w:rPr>
              <w:t>9.2</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tl/>
              </w:rPr>
              <w:t>10.4</w:t>
            </w:r>
          </w:p>
        </w:tc>
        <w:tc>
          <w:tcPr>
            <w:tcW w:w="893" w:type="dxa"/>
            <w:vAlign w:val="center"/>
          </w:tcPr>
          <w:p w:rsidR="00226E31" w:rsidRPr="008167FB" w:rsidRDefault="00226E31" w:rsidP="003D5012">
            <w:pPr>
              <w:bidi/>
              <w:ind w:left="148" w:hanging="114"/>
              <w:jc w:val="center"/>
              <w:rPr>
                <w:rFonts w:asciiTheme="majorBidi" w:hAnsiTheme="majorBidi" w:cstheme="majorBidi"/>
                <w:sz w:val="22"/>
                <w:szCs w:val="22"/>
                <w:rtl/>
              </w:rPr>
            </w:pPr>
            <w:r w:rsidRPr="008167FB">
              <w:rPr>
                <w:rFonts w:asciiTheme="majorBidi" w:hAnsiTheme="majorBidi" w:cstheme="majorBidi"/>
                <w:sz w:val="22"/>
                <w:szCs w:val="22"/>
              </w:rPr>
              <w:t>14.5</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17.5</w:t>
            </w:r>
          </w:p>
        </w:tc>
        <w:tc>
          <w:tcPr>
            <w:tcW w:w="894" w:type="dxa"/>
            <w:vAlign w:val="center"/>
          </w:tcPr>
          <w:p w:rsidR="00226E31" w:rsidRPr="008167FB" w:rsidRDefault="00733F16"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13.8</w:t>
            </w:r>
          </w:p>
        </w:tc>
      </w:tr>
      <w:tr w:rsidR="008167FB" w:rsidRPr="008167FB" w:rsidTr="004B29A0">
        <w:trPr>
          <w:trHeight w:hRule="exact" w:val="397"/>
          <w:jc w:val="center"/>
        </w:trPr>
        <w:tc>
          <w:tcPr>
            <w:tcW w:w="1338" w:type="dxa"/>
            <w:vAlign w:val="center"/>
          </w:tcPr>
          <w:p w:rsidR="00226E31" w:rsidRPr="008167FB" w:rsidRDefault="00226E31" w:rsidP="003D5012">
            <w:pPr>
              <w:bidi/>
              <w:jc w:val="center"/>
              <w:rPr>
                <w:rFonts w:asciiTheme="majorBidi" w:hAnsiTheme="majorBidi" w:cstheme="majorBidi"/>
                <w:sz w:val="22"/>
                <w:szCs w:val="22"/>
                <w:rtl/>
              </w:rPr>
            </w:pPr>
            <w:r w:rsidRPr="008167FB">
              <w:rPr>
                <w:rFonts w:asciiTheme="majorBidi" w:hAnsiTheme="majorBidi" w:cstheme="majorBidi"/>
                <w:sz w:val="22"/>
                <w:szCs w:val="22"/>
                <w:rtl/>
              </w:rPr>
              <w:t>ندوات</w:t>
            </w:r>
          </w:p>
        </w:tc>
        <w:tc>
          <w:tcPr>
            <w:tcW w:w="893" w:type="dxa"/>
            <w:vAlign w:val="center"/>
          </w:tcPr>
          <w:p w:rsidR="00226E31" w:rsidRPr="008167FB" w:rsidRDefault="00226E31" w:rsidP="003D5012">
            <w:pPr>
              <w:bidi/>
              <w:jc w:val="center"/>
              <w:rPr>
                <w:rFonts w:asciiTheme="majorBidi" w:hAnsiTheme="majorBidi" w:cstheme="majorBidi"/>
                <w:sz w:val="22"/>
                <w:szCs w:val="22"/>
              </w:rPr>
            </w:pPr>
            <w:r w:rsidRPr="008167FB">
              <w:rPr>
                <w:rFonts w:asciiTheme="majorBidi" w:hAnsiTheme="majorBidi" w:cstheme="majorBidi"/>
                <w:sz w:val="22"/>
                <w:szCs w:val="22"/>
              </w:rPr>
              <w:t>7.3</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tl/>
              </w:rPr>
              <w:t>5.9</w:t>
            </w:r>
          </w:p>
        </w:tc>
        <w:tc>
          <w:tcPr>
            <w:tcW w:w="893" w:type="dxa"/>
            <w:vAlign w:val="center"/>
          </w:tcPr>
          <w:p w:rsidR="00226E31" w:rsidRPr="008167FB" w:rsidRDefault="00226E31" w:rsidP="003D5012">
            <w:pPr>
              <w:bidi/>
              <w:ind w:left="148" w:hanging="114"/>
              <w:jc w:val="center"/>
              <w:rPr>
                <w:rFonts w:asciiTheme="majorBidi" w:hAnsiTheme="majorBidi" w:cstheme="majorBidi"/>
                <w:sz w:val="22"/>
                <w:szCs w:val="22"/>
                <w:rtl/>
              </w:rPr>
            </w:pPr>
            <w:r w:rsidRPr="008167FB">
              <w:rPr>
                <w:rFonts w:asciiTheme="majorBidi" w:hAnsiTheme="majorBidi" w:cstheme="majorBidi"/>
                <w:sz w:val="22"/>
                <w:szCs w:val="22"/>
              </w:rPr>
              <w:t>10.2</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10.2</w:t>
            </w:r>
          </w:p>
        </w:tc>
        <w:tc>
          <w:tcPr>
            <w:tcW w:w="894" w:type="dxa"/>
            <w:vAlign w:val="center"/>
          </w:tcPr>
          <w:p w:rsidR="00226E31" w:rsidRPr="008167FB" w:rsidRDefault="00733F16"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9.3</w:t>
            </w:r>
          </w:p>
        </w:tc>
      </w:tr>
      <w:tr w:rsidR="008167FB" w:rsidRPr="008167FB" w:rsidTr="004B29A0">
        <w:trPr>
          <w:trHeight w:hRule="exact" w:val="402"/>
          <w:jc w:val="center"/>
        </w:trPr>
        <w:tc>
          <w:tcPr>
            <w:tcW w:w="1338" w:type="dxa"/>
            <w:vAlign w:val="center"/>
          </w:tcPr>
          <w:p w:rsidR="00226E31" w:rsidRPr="008167FB" w:rsidRDefault="00226E31" w:rsidP="003D5012">
            <w:pPr>
              <w:bidi/>
              <w:jc w:val="center"/>
              <w:rPr>
                <w:rFonts w:asciiTheme="majorBidi" w:hAnsiTheme="majorBidi" w:cstheme="majorBidi"/>
                <w:sz w:val="22"/>
                <w:szCs w:val="22"/>
              </w:rPr>
            </w:pPr>
            <w:r w:rsidRPr="008167FB">
              <w:rPr>
                <w:rFonts w:asciiTheme="majorBidi" w:hAnsiTheme="majorBidi" w:cstheme="majorBidi"/>
                <w:sz w:val="22"/>
                <w:szCs w:val="22"/>
                <w:rtl/>
              </w:rPr>
              <w:t>معارض</w:t>
            </w:r>
          </w:p>
        </w:tc>
        <w:tc>
          <w:tcPr>
            <w:tcW w:w="893" w:type="dxa"/>
            <w:vAlign w:val="center"/>
          </w:tcPr>
          <w:p w:rsidR="00226E31" w:rsidRPr="008167FB" w:rsidRDefault="00226E31" w:rsidP="003D5012">
            <w:pPr>
              <w:bidi/>
              <w:jc w:val="center"/>
              <w:rPr>
                <w:rFonts w:asciiTheme="majorBidi" w:hAnsiTheme="majorBidi" w:cstheme="majorBidi"/>
                <w:sz w:val="22"/>
                <w:szCs w:val="22"/>
              </w:rPr>
            </w:pPr>
            <w:r w:rsidRPr="008167FB">
              <w:rPr>
                <w:rFonts w:asciiTheme="majorBidi" w:hAnsiTheme="majorBidi" w:cstheme="majorBidi"/>
                <w:sz w:val="22"/>
                <w:szCs w:val="22"/>
              </w:rPr>
              <w:t>2.0</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tl/>
              </w:rPr>
              <w:t>2.4</w:t>
            </w:r>
          </w:p>
        </w:tc>
        <w:tc>
          <w:tcPr>
            <w:tcW w:w="893" w:type="dxa"/>
            <w:vAlign w:val="center"/>
          </w:tcPr>
          <w:p w:rsidR="00226E31" w:rsidRPr="008167FB" w:rsidRDefault="00226E31" w:rsidP="003D5012">
            <w:pPr>
              <w:bidi/>
              <w:ind w:left="148" w:hanging="114"/>
              <w:jc w:val="center"/>
              <w:rPr>
                <w:rFonts w:asciiTheme="majorBidi" w:hAnsiTheme="majorBidi" w:cstheme="majorBidi"/>
                <w:sz w:val="22"/>
                <w:szCs w:val="22"/>
                <w:rtl/>
              </w:rPr>
            </w:pPr>
            <w:r w:rsidRPr="008167FB">
              <w:rPr>
                <w:rFonts w:asciiTheme="majorBidi" w:hAnsiTheme="majorBidi" w:cstheme="majorBidi"/>
                <w:sz w:val="22"/>
                <w:szCs w:val="22"/>
              </w:rPr>
              <w:t>1.4</w:t>
            </w:r>
          </w:p>
        </w:tc>
        <w:tc>
          <w:tcPr>
            <w:tcW w:w="894" w:type="dxa"/>
            <w:vAlign w:val="center"/>
          </w:tcPr>
          <w:p w:rsidR="00226E31" w:rsidRPr="008167FB" w:rsidRDefault="00226E31"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1.7</w:t>
            </w:r>
          </w:p>
        </w:tc>
        <w:tc>
          <w:tcPr>
            <w:tcW w:w="894" w:type="dxa"/>
            <w:vAlign w:val="center"/>
          </w:tcPr>
          <w:p w:rsidR="00226E31" w:rsidRPr="008167FB" w:rsidRDefault="00733F16" w:rsidP="003D5012">
            <w:pPr>
              <w:bidi/>
              <w:ind w:left="148" w:hanging="114"/>
              <w:jc w:val="center"/>
              <w:rPr>
                <w:rFonts w:asciiTheme="majorBidi" w:hAnsiTheme="majorBidi" w:cstheme="majorBidi"/>
                <w:sz w:val="22"/>
                <w:szCs w:val="22"/>
              </w:rPr>
            </w:pPr>
            <w:r w:rsidRPr="008167FB">
              <w:rPr>
                <w:rFonts w:asciiTheme="majorBidi" w:hAnsiTheme="majorBidi" w:cstheme="majorBidi"/>
                <w:sz w:val="22"/>
                <w:szCs w:val="22"/>
              </w:rPr>
              <w:t>2.2</w:t>
            </w:r>
          </w:p>
        </w:tc>
      </w:tr>
      <w:tr w:rsidR="008167FB" w:rsidRPr="008167FB" w:rsidTr="004B29A0">
        <w:trPr>
          <w:trHeight w:hRule="exact" w:val="662"/>
          <w:jc w:val="center"/>
        </w:trPr>
        <w:tc>
          <w:tcPr>
            <w:tcW w:w="1338" w:type="dxa"/>
            <w:vAlign w:val="center"/>
          </w:tcPr>
          <w:p w:rsidR="00226E31" w:rsidRPr="008167FB" w:rsidRDefault="00226E31" w:rsidP="003D5012">
            <w:pPr>
              <w:bidi/>
              <w:jc w:val="center"/>
              <w:rPr>
                <w:rFonts w:asciiTheme="majorBidi" w:hAnsiTheme="majorBidi" w:cstheme="majorBidi"/>
                <w:b/>
                <w:bCs/>
                <w:sz w:val="22"/>
                <w:szCs w:val="22"/>
                <w:rtl/>
              </w:rPr>
            </w:pPr>
            <w:r w:rsidRPr="008167FB">
              <w:rPr>
                <w:rFonts w:asciiTheme="majorBidi" w:hAnsiTheme="majorBidi" w:cstheme="majorBidi"/>
                <w:b/>
                <w:bCs/>
                <w:sz w:val="22"/>
                <w:szCs w:val="22"/>
                <w:rtl/>
              </w:rPr>
              <w:t>المجموع (نسبة)</w:t>
            </w:r>
          </w:p>
        </w:tc>
        <w:tc>
          <w:tcPr>
            <w:tcW w:w="893" w:type="dxa"/>
            <w:vAlign w:val="center"/>
          </w:tcPr>
          <w:p w:rsidR="00226E31" w:rsidRPr="008167FB" w:rsidRDefault="00226E31" w:rsidP="003D5012">
            <w:pPr>
              <w:bidi/>
              <w:jc w:val="center"/>
              <w:rPr>
                <w:rFonts w:asciiTheme="majorBidi" w:hAnsiTheme="majorBidi" w:cstheme="majorBidi"/>
                <w:b/>
                <w:bCs/>
                <w:sz w:val="22"/>
                <w:szCs w:val="22"/>
              </w:rPr>
            </w:pPr>
            <w:r w:rsidRPr="008167FB">
              <w:rPr>
                <w:rFonts w:asciiTheme="majorBidi" w:hAnsiTheme="majorBidi" w:cstheme="majorBidi"/>
                <w:b/>
                <w:bCs/>
                <w:sz w:val="22"/>
                <w:szCs w:val="22"/>
              </w:rPr>
              <w:t>100</w:t>
            </w:r>
          </w:p>
        </w:tc>
        <w:tc>
          <w:tcPr>
            <w:tcW w:w="894" w:type="dxa"/>
            <w:vAlign w:val="center"/>
          </w:tcPr>
          <w:p w:rsidR="00226E31" w:rsidRPr="008167FB" w:rsidRDefault="00226E31" w:rsidP="003D5012">
            <w:pPr>
              <w:bidi/>
              <w:ind w:left="148" w:hanging="114"/>
              <w:jc w:val="center"/>
              <w:rPr>
                <w:rFonts w:asciiTheme="majorBidi" w:hAnsiTheme="majorBidi" w:cstheme="majorBidi"/>
                <w:b/>
                <w:bCs/>
                <w:sz w:val="22"/>
                <w:szCs w:val="22"/>
              </w:rPr>
            </w:pPr>
            <w:r w:rsidRPr="008167FB">
              <w:rPr>
                <w:rFonts w:asciiTheme="majorBidi" w:hAnsiTheme="majorBidi" w:cstheme="majorBidi"/>
                <w:b/>
                <w:bCs/>
                <w:sz w:val="22"/>
                <w:szCs w:val="22"/>
                <w:rtl/>
              </w:rPr>
              <w:t>100</w:t>
            </w:r>
          </w:p>
        </w:tc>
        <w:tc>
          <w:tcPr>
            <w:tcW w:w="893" w:type="dxa"/>
            <w:vAlign w:val="center"/>
          </w:tcPr>
          <w:p w:rsidR="00226E31" w:rsidRPr="008167FB" w:rsidRDefault="00226E31" w:rsidP="003D5012">
            <w:pPr>
              <w:bidi/>
              <w:ind w:left="148" w:hanging="114"/>
              <w:jc w:val="center"/>
              <w:rPr>
                <w:rFonts w:asciiTheme="majorBidi" w:hAnsiTheme="majorBidi" w:cstheme="majorBidi"/>
                <w:b/>
                <w:bCs/>
                <w:sz w:val="22"/>
                <w:szCs w:val="22"/>
                <w:rtl/>
              </w:rPr>
            </w:pPr>
            <w:r w:rsidRPr="008167FB">
              <w:rPr>
                <w:rFonts w:asciiTheme="majorBidi" w:hAnsiTheme="majorBidi" w:cstheme="majorBidi"/>
                <w:b/>
                <w:bCs/>
                <w:sz w:val="22"/>
                <w:szCs w:val="22"/>
              </w:rPr>
              <w:t>100</w:t>
            </w:r>
          </w:p>
        </w:tc>
        <w:tc>
          <w:tcPr>
            <w:tcW w:w="894" w:type="dxa"/>
            <w:vAlign w:val="center"/>
          </w:tcPr>
          <w:p w:rsidR="00226E31" w:rsidRPr="008167FB" w:rsidRDefault="00226E31" w:rsidP="003D5012">
            <w:pPr>
              <w:bidi/>
              <w:ind w:left="148" w:hanging="114"/>
              <w:jc w:val="center"/>
              <w:rPr>
                <w:rFonts w:asciiTheme="majorBidi" w:hAnsiTheme="majorBidi" w:cstheme="majorBidi"/>
                <w:b/>
                <w:bCs/>
                <w:sz w:val="22"/>
                <w:szCs w:val="22"/>
              </w:rPr>
            </w:pPr>
            <w:r w:rsidRPr="008167FB">
              <w:rPr>
                <w:rFonts w:asciiTheme="majorBidi" w:hAnsiTheme="majorBidi" w:cstheme="majorBidi"/>
                <w:b/>
                <w:bCs/>
                <w:sz w:val="22"/>
                <w:szCs w:val="22"/>
              </w:rPr>
              <w:t>100</w:t>
            </w:r>
          </w:p>
        </w:tc>
        <w:tc>
          <w:tcPr>
            <w:tcW w:w="894" w:type="dxa"/>
            <w:vAlign w:val="center"/>
          </w:tcPr>
          <w:p w:rsidR="00226E31" w:rsidRPr="008167FB" w:rsidRDefault="00915243" w:rsidP="003D5012">
            <w:pPr>
              <w:bidi/>
              <w:ind w:left="148" w:hanging="114"/>
              <w:jc w:val="center"/>
              <w:rPr>
                <w:rFonts w:asciiTheme="majorBidi" w:hAnsiTheme="majorBidi" w:cstheme="majorBidi"/>
                <w:b/>
                <w:bCs/>
                <w:sz w:val="22"/>
                <w:szCs w:val="22"/>
              </w:rPr>
            </w:pPr>
            <w:r w:rsidRPr="008167FB">
              <w:rPr>
                <w:rFonts w:asciiTheme="majorBidi" w:hAnsiTheme="majorBidi" w:cstheme="majorBidi"/>
                <w:b/>
                <w:bCs/>
                <w:sz w:val="22"/>
                <w:szCs w:val="22"/>
                <w:rtl/>
              </w:rPr>
              <w:t>100</w:t>
            </w:r>
          </w:p>
        </w:tc>
      </w:tr>
      <w:tr w:rsidR="008167FB" w:rsidRPr="008167FB" w:rsidTr="004B29A0">
        <w:trPr>
          <w:trHeight w:hRule="exact" w:val="494"/>
          <w:jc w:val="center"/>
        </w:trPr>
        <w:tc>
          <w:tcPr>
            <w:tcW w:w="1338" w:type="dxa"/>
            <w:vAlign w:val="center"/>
          </w:tcPr>
          <w:p w:rsidR="00226E31" w:rsidRPr="008167FB" w:rsidRDefault="00226E31" w:rsidP="003D5012">
            <w:pPr>
              <w:bidi/>
              <w:jc w:val="center"/>
              <w:rPr>
                <w:rFonts w:asciiTheme="majorBidi" w:hAnsiTheme="majorBidi" w:cstheme="majorBidi"/>
                <w:b/>
                <w:bCs/>
                <w:sz w:val="22"/>
                <w:szCs w:val="22"/>
                <w:rtl/>
              </w:rPr>
            </w:pPr>
            <w:r w:rsidRPr="008167FB">
              <w:rPr>
                <w:rFonts w:asciiTheme="majorBidi" w:hAnsiTheme="majorBidi" w:cstheme="majorBidi"/>
                <w:b/>
                <w:bCs/>
                <w:sz w:val="22"/>
                <w:szCs w:val="22"/>
                <w:rtl/>
              </w:rPr>
              <w:t>المجموع (عدد)</w:t>
            </w:r>
          </w:p>
        </w:tc>
        <w:tc>
          <w:tcPr>
            <w:tcW w:w="893" w:type="dxa"/>
            <w:vAlign w:val="center"/>
          </w:tcPr>
          <w:p w:rsidR="00226E31" w:rsidRPr="008167FB" w:rsidRDefault="00226E31" w:rsidP="003D5012">
            <w:pPr>
              <w:bidi/>
              <w:jc w:val="center"/>
              <w:rPr>
                <w:rFonts w:asciiTheme="majorBidi" w:hAnsiTheme="majorBidi" w:cstheme="majorBidi"/>
                <w:b/>
                <w:bCs/>
                <w:sz w:val="22"/>
                <w:szCs w:val="22"/>
              </w:rPr>
            </w:pPr>
            <w:r w:rsidRPr="008167FB">
              <w:rPr>
                <w:rFonts w:asciiTheme="majorBidi" w:hAnsiTheme="majorBidi" w:cstheme="majorBidi"/>
                <w:b/>
                <w:bCs/>
                <w:sz w:val="22"/>
                <w:szCs w:val="22"/>
              </w:rPr>
              <w:t>9,534</w:t>
            </w:r>
          </w:p>
        </w:tc>
        <w:tc>
          <w:tcPr>
            <w:tcW w:w="894" w:type="dxa"/>
            <w:vAlign w:val="center"/>
          </w:tcPr>
          <w:p w:rsidR="00226E31" w:rsidRPr="008167FB" w:rsidRDefault="00226E31" w:rsidP="003D5012">
            <w:pPr>
              <w:bidi/>
              <w:ind w:left="148" w:hanging="114"/>
              <w:jc w:val="center"/>
              <w:rPr>
                <w:rFonts w:asciiTheme="majorBidi" w:hAnsiTheme="majorBidi" w:cstheme="majorBidi"/>
                <w:b/>
                <w:bCs/>
                <w:sz w:val="22"/>
                <w:szCs w:val="22"/>
              </w:rPr>
            </w:pPr>
            <w:r w:rsidRPr="008167FB">
              <w:rPr>
                <w:rFonts w:asciiTheme="majorBidi" w:hAnsiTheme="majorBidi" w:cstheme="majorBidi"/>
                <w:b/>
                <w:bCs/>
                <w:sz w:val="22"/>
                <w:szCs w:val="22"/>
                <w:rtl/>
              </w:rPr>
              <w:t>9,187</w:t>
            </w:r>
          </w:p>
        </w:tc>
        <w:tc>
          <w:tcPr>
            <w:tcW w:w="893" w:type="dxa"/>
            <w:vAlign w:val="center"/>
          </w:tcPr>
          <w:p w:rsidR="00226E31" w:rsidRPr="008167FB" w:rsidRDefault="00226E31" w:rsidP="003D5012">
            <w:pPr>
              <w:bidi/>
              <w:ind w:left="148" w:hanging="114"/>
              <w:jc w:val="center"/>
              <w:rPr>
                <w:rFonts w:asciiTheme="majorBidi" w:hAnsiTheme="majorBidi" w:cstheme="majorBidi"/>
                <w:b/>
                <w:bCs/>
                <w:sz w:val="22"/>
                <w:szCs w:val="22"/>
                <w:rtl/>
                <w:lang w:bidi="ar-JO"/>
              </w:rPr>
            </w:pPr>
            <w:r w:rsidRPr="008167FB">
              <w:rPr>
                <w:rFonts w:asciiTheme="majorBidi" w:hAnsiTheme="majorBidi" w:cstheme="majorBidi"/>
                <w:b/>
                <w:bCs/>
                <w:sz w:val="22"/>
                <w:szCs w:val="22"/>
              </w:rPr>
              <w:t>4,738</w:t>
            </w:r>
          </w:p>
        </w:tc>
        <w:tc>
          <w:tcPr>
            <w:tcW w:w="894" w:type="dxa"/>
            <w:vAlign w:val="center"/>
          </w:tcPr>
          <w:p w:rsidR="00226E31" w:rsidRPr="008167FB" w:rsidRDefault="00226E31" w:rsidP="003D5012">
            <w:pPr>
              <w:bidi/>
              <w:ind w:left="148" w:hanging="114"/>
              <w:jc w:val="center"/>
              <w:rPr>
                <w:rFonts w:asciiTheme="majorBidi" w:hAnsiTheme="majorBidi" w:cstheme="majorBidi"/>
                <w:b/>
                <w:bCs/>
                <w:sz w:val="22"/>
                <w:szCs w:val="22"/>
              </w:rPr>
            </w:pPr>
            <w:r w:rsidRPr="008167FB">
              <w:rPr>
                <w:rFonts w:asciiTheme="majorBidi" w:hAnsiTheme="majorBidi" w:cstheme="majorBidi"/>
                <w:b/>
                <w:bCs/>
                <w:sz w:val="22"/>
                <w:szCs w:val="22"/>
              </w:rPr>
              <w:t>7,291</w:t>
            </w:r>
          </w:p>
        </w:tc>
        <w:tc>
          <w:tcPr>
            <w:tcW w:w="894" w:type="dxa"/>
            <w:vAlign w:val="center"/>
          </w:tcPr>
          <w:p w:rsidR="00226E31" w:rsidRPr="008167FB" w:rsidRDefault="00915243" w:rsidP="003D5012">
            <w:pPr>
              <w:bidi/>
              <w:ind w:left="148" w:hanging="114"/>
              <w:jc w:val="center"/>
              <w:rPr>
                <w:rFonts w:asciiTheme="majorBidi" w:hAnsiTheme="majorBidi" w:cstheme="majorBidi"/>
                <w:b/>
                <w:bCs/>
                <w:sz w:val="22"/>
                <w:szCs w:val="22"/>
                <w:rtl/>
              </w:rPr>
            </w:pPr>
            <w:r w:rsidRPr="008167FB">
              <w:rPr>
                <w:rFonts w:asciiTheme="majorBidi" w:hAnsiTheme="majorBidi" w:cstheme="majorBidi"/>
                <w:b/>
                <w:bCs/>
                <w:sz w:val="22"/>
                <w:szCs w:val="22"/>
              </w:rPr>
              <w:t>7,601</w:t>
            </w:r>
          </w:p>
        </w:tc>
      </w:tr>
    </w:tbl>
    <w:p w:rsidR="008167FB" w:rsidRPr="008167FB" w:rsidRDefault="008167FB" w:rsidP="009F340C">
      <w:pPr>
        <w:pStyle w:val="BodyText"/>
        <w:jc w:val="both"/>
        <w:rPr>
          <w:rFonts w:ascii="Simplified Arabic" w:hAnsi="Simplified Arabic"/>
          <w:sz w:val="16"/>
          <w:szCs w:val="16"/>
          <w:rtl/>
        </w:rPr>
      </w:pPr>
    </w:p>
    <w:p w:rsidR="004B29A0" w:rsidRDefault="004B29A0" w:rsidP="009F340C">
      <w:pPr>
        <w:pStyle w:val="BodyText"/>
        <w:jc w:val="both"/>
        <w:rPr>
          <w:rFonts w:ascii="Simplified Arabic" w:hAnsi="Simplified Arabic"/>
          <w:sz w:val="28"/>
          <w:szCs w:val="28"/>
          <w:rtl/>
        </w:rPr>
      </w:pPr>
    </w:p>
    <w:p w:rsidR="004B29A0" w:rsidRDefault="004B29A0" w:rsidP="009F340C">
      <w:pPr>
        <w:pStyle w:val="BodyText"/>
        <w:jc w:val="both"/>
        <w:rPr>
          <w:rFonts w:ascii="Simplified Arabic" w:hAnsi="Simplified Arabic"/>
          <w:sz w:val="28"/>
          <w:szCs w:val="28"/>
          <w:rtl/>
        </w:rPr>
      </w:pPr>
    </w:p>
    <w:p w:rsidR="004B29A0" w:rsidRDefault="004B29A0" w:rsidP="009F340C">
      <w:pPr>
        <w:pStyle w:val="BodyText"/>
        <w:jc w:val="both"/>
        <w:rPr>
          <w:rFonts w:ascii="Simplified Arabic" w:hAnsi="Simplified Arabic"/>
          <w:sz w:val="28"/>
          <w:szCs w:val="28"/>
          <w:rtl/>
        </w:rPr>
      </w:pPr>
    </w:p>
    <w:p w:rsidR="004B29A0" w:rsidRDefault="004B29A0" w:rsidP="009F340C">
      <w:pPr>
        <w:pStyle w:val="BodyText"/>
        <w:jc w:val="both"/>
        <w:rPr>
          <w:rFonts w:ascii="Simplified Arabic" w:hAnsi="Simplified Arabic"/>
          <w:sz w:val="28"/>
          <w:szCs w:val="28"/>
          <w:rtl/>
        </w:rPr>
      </w:pPr>
    </w:p>
    <w:p w:rsidR="00365E76" w:rsidRDefault="00365E76" w:rsidP="009F340C">
      <w:pPr>
        <w:pStyle w:val="BodyText"/>
        <w:jc w:val="both"/>
        <w:rPr>
          <w:rFonts w:ascii="Simplified Arabic" w:hAnsi="Simplified Arabic"/>
          <w:sz w:val="28"/>
          <w:szCs w:val="28"/>
          <w:rtl/>
        </w:rPr>
      </w:pPr>
    </w:p>
    <w:p w:rsidR="00365E76" w:rsidRDefault="00365E76" w:rsidP="009F340C">
      <w:pPr>
        <w:pStyle w:val="BodyText"/>
        <w:jc w:val="both"/>
        <w:rPr>
          <w:rFonts w:ascii="Simplified Arabic" w:hAnsi="Simplified Arabic"/>
          <w:sz w:val="28"/>
          <w:szCs w:val="28"/>
          <w:rtl/>
        </w:rPr>
      </w:pPr>
    </w:p>
    <w:p w:rsidR="000E61C9" w:rsidRPr="004B29A0" w:rsidRDefault="008E5313" w:rsidP="009F340C">
      <w:pPr>
        <w:pStyle w:val="BodyText"/>
        <w:jc w:val="both"/>
        <w:rPr>
          <w:rFonts w:ascii="Simplified Arabic" w:hAnsi="Simplified Arabic"/>
          <w:sz w:val="28"/>
          <w:szCs w:val="28"/>
          <w:rtl/>
        </w:rPr>
      </w:pPr>
      <w:r w:rsidRPr="004B29A0">
        <w:rPr>
          <w:rFonts w:ascii="Simplified Arabic" w:hAnsi="Simplified Arabic"/>
          <w:sz w:val="28"/>
          <w:szCs w:val="28"/>
          <w:rtl/>
        </w:rPr>
        <w:t xml:space="preserve">أكثر من نصف المشاركين في الأنشطة الثقافية </w:t>
      </w:r>
      <w:r w:rsidR="000E61C9" w:rsidRPr="004B29A0">
        <w:rPr>
          <w:rFonts w:ascii="Simplified Arabic" w:hAnsi="Simplified Arabic"/>
          <w:sz w:val="28"/>
          <w:szCs w:val="28"/>
          <w:rtl/>
        </w:rPr>
        <w:t xml:space="preserve">التي نفذتها المراكز الثقافية في فلسطين </w:t>
      </w:r>
      <w:r w:rsidRPr="004B29A0">
        <w:rPr>
          <w:rFonts w:ascii="Simplified Arabic" w:hAnsi="Simplified Arabic"/>
          <w:sz w:val="28"/>
          <w:szCs w:val="28"/>
          <w:rtl/>
        </w:rPr>
        <w:t>شاركوا بشكل وجاهي</w:t>
      </w:r>
    </w:p>
    <w:p w:rsidR="00F525BF" w:rsidRPr="008167FB" w:rsidRDefault="00255672" w:rsidP="00F525BF">
      <w:pPr>
        <w:pStyle w:val="BodyText"/>
        <w:jc w:val="lowKashida"/>
        <w:rPr>
          <w:rFonts w:ascii="Simplified Arabic" w:hAnsi="Simplified Arabic"/>
          <w:b w:val="0"/>
          <w:bCs w:val="0"/>
          <w:sz w:val="26"/>
          <w:szCs w:val="26"/>
          <w:rtl/>
        </w:rPr>
      </w:pPr>
      <w:r w:rsidRPr="008167FB">
        <w:rPr>
          <w:rFonts w:ascii="Simplified Arabic" w:hAnsi="Simplified Arabic"/>
          <w:b w:val="0"/>
          <w:bCs w:val="0"/>
          <w:sz w:val="26"/>
          <w:szCs w:val="26"/>
          <w:rtl/>
        </w:rPr>
        <w:t>بلغ عدد</w:t>
      </w:r>
      <w:r w:rsidR="0008497B" w:rsidRPr="008167FB">
        <w:rPr>
          <w:rFonts w:ascii="Simplified Arabic" w:hAnsi="Simplified Arabic"/>
          <w:b w:val="0"/>
          <w:bCs w:val="0"/>
          <w:sz w:val="26"/>
          <w:szCs w:val="26"/>
          <w:rtl/>
        </w:rPr>
        <w:t xml:space="preserve"> المشاركين في الأنشطة الثقافية </w:t>
      </w:r>
      <w:r w:rsidR="00143516" w:rsidRPr="008167FB">
        <w:rPr>
          <w:rFonts w:ascii="Simplified Arabic" w:hAnsi="Simplified Arabic"/>
          <w:b w:val="0"/>
          <w:bCs w:val="0"/>
          <w:sz w:val="26"/>
          <w:szCs w:val="26"/>
          <w:rtl/>
        </w:rPr>
        <w:t xml:space="preserve">التي نفذتها المراكز الثقافية </w:t>
      </w:r>
      <w:r w:rsidR="0008497B" w:rsidRPr="008167FB">
        <w:rPr>
          <w:rFonts w:ascii="Simplified Arabic" w:hAnsi="Simplified Arabic"/>
          <w:b w:val="0"/>
          <w:bCs w:val="0"/>
          <w:sz w:val="26"/>
          <w:szCs w:val="26"/>
          <w:rtl/>
        </w:rPr>
        <w:t xml:space="preserve">التي أدلت </w:t>
      </w:r>
      <w:r w:rsidR="00143516" w:rsidRPr="008167FB">
        <w:rPr>
          <w:rFonts w:ascii="Simplified Arabic" w:hAnsi="Simplified Arabic"/>
          <w:b w:val="0"/>
          <w:bCs w:val="0"/>
          <w:sz w:val="26"/>
          <w:szCs w:val="26"/>
          <w:rtl/>
        </w:rPr>
        <w:t xml:space="preserve">ببياناتها </w:t>
      </w:r>
      <w:r w:rsidR="0008497B" w:rsidRPr="008167FB">
        <w:rPr>
          <w:rFonts w:ascii="Simplified Arabic" w:hAnsi="Simplified Arabic"/>
          <w:b w:val="0"/>
          <w:bCs w:val="0"/>
          <w:sz w:val="26"/>
          <w:szCs w:val="26"/>
          <w:rtl/>
        </w:rPr>
        <w:t xml:space="preserve">في عام </w:t>
      </w:r>
      <w:r w:rsidR="00044FB1" w:rsidRPr="008167FB">
        <w:rPr>
          <w:rFonts w:ascii="Simplified Arabic" w:hAnsi="Simplified Arabic"/>
          <w:b w:val="0"/>
          <w:bCs w:val="0"/>
          <w:sz w:val="26"/>
          <w:szCs w:val="26"/>
          <w:rtl/>
        </w:rPr>
        <w:t>2022</w:t>
      </w:r>
      <w:r w:rsidR="0008497B" w:rsidRPr="008167FB">
        <w:rPr>
          <w:rFonts w:ascii="Simplified Arabic" w:hAnsi="Simplified Arabic"/>
          <w:b w:val="0"/>
          <w:bCs w:val="0"/>
          <w:sz w:val="26"/>
          <w:szCs w:val="26"/>
          <w:rtl/>
        </w:rPr>
        <w:t xml:space="preserve"> حوالي </w:t>
      </w:r>
      <w:r w:rsidR="00044FB1" w:rsidRPr="008167FB">
        <w:rPr>
          <w:rFonts w:ascii="Simplified Arabic" w:hAnsi="Simplified Arabic"/>
          <w:b w:val="0"/>
          <w:bCs w:val="0"/>
          <w:sz w:val="26"/>
          <w:szCs w:val="26"/>
          <w:rtl/>
        </w:rPr>
        <w:t>588</w:t>
      </w:r>
      <w:r w:rsidR="0008497B" w:rsidRPr="008167FB">
        <w:rPr>
          <w:rFonts w:ascii="Simplified Arabic" w:hAnsi="Simplified Arabic"/>
          <w:b w:val="0"/>
          <w:bCs w:val="0"/>
          <w:sz w:val="26"/>
          <w:szCs w:val="26"/>
          <w:rtl/>
        </w:rPr>
        <w:t xml:space="preserve"> ألف مشارك</w:t>
      </w:r>
      <w:r w:rsidR="007A2405" w:rsidRPr="008167FB">
        <w:rPr>
          <w:rFonts w:ascii="Simplified Arabic" w:hAnsi="Simplified Arabic"/>
          <w:b w:val="0"/>
          <w:bCs w:val="0"/>
          <w:sz w:val="26"/>
          <w:szCs w:val="26"/>
          <w:rtl/>
        </w:rPr>
        <w:t xml:space="preserve"> ومشاركة</w:t>
      </w:r>
      <w:r w:rsidR="00786991" w:rsidRPr="008167FB">
        <w:rPr>
          <w:rFonts w:ascii="Simplified Arabic" w:hAnsi="Simplified Arabic"/>
          <w:sz w:val="26"/>
          <w:szCs w:val="26"/>
          <w:rtl/>
        </w:rPr>
        <w:t xml:space="preserve"> (</w:t>
      </w:r>
      <w:r w:rsidR="00786991" w:rsidRPr="008167FB">
        <w:rPr>
          <w:rFonts w:ascii="Simplified Arabic" w:hAnsi="Simplified Arabic"/>
          <w:b w:val="0"/>
          <w:bCs w:val="0"/>
          <w:sz w:val="26"/>
          <w:szCs w:val="26"/>
          <w:rtl/>
        </w:rPr>
        <w:t xml:space="preserve">منهم حوالي 331 ألف شاركوا بأنشطة ثقافية عقدت </w:t>
      </w:r>
      <w:r w:rsidR="005A31DF" w:rsidRPr="008167FB">
        <w:rPr>
          <w:rFonts w:ascii="Simplified Arabic" w:hAnsi="Simplified Arabic"/>
          <w:b w:val="0"/>
          <w:bCs w:val="0"/>
          <w:sz w:val="26"/>
          <w:szCs w:val="26"/>
          <w:rtl/>
        </w:rPr>
        <w:t>وجاهياً</w:t>
      </w:r>
      <w:r w:rsidR="005A31DF" w:rsidRPr="008167FB">
        <w:rPr>
          <w:rFonts w:ascii="Simplified Arabic" w:hAnsi="Simplified Arabic"/>
          <w:b w:val="0"/>
          <w:bCs w:val="0"/>
          <w:sz w:val="26"/>
          <w:szCs w:val="26"/>
        </w:rPr>
        <w:t xml:space="preserve"> </w:t>
      </w:r>
      <w:r w:rsidR="005A31DF" w:rsidRPr="008167FB">
        <w:rPr>
          <w:rFonts w:ascii="Simplified Arabic" w:hAnsi="Simplified Arabic"/>
          <w:b w:val="0"/>
          <w:bCs w:val="0"/>
          <w:sz w:val="26"/>
          <w:szCs w:val="26"/>
          <w:rtl/>
        </w:rPr>
        <w:t>(</w:t>
      </w:r>
      <w:r w:rsidR="008D40C7" w:rsidRPr="008167FB">
        <w:rPr>
          <w:rFonts w:ascii="Simplified Arabic" w:hAnsi="Simplified Arabic"/>
          <w:b w:val="0"/>
          <w:bCs w:val="0"/>
          <w:sz w:val="26"/>
          <w:szCs w:val="26"/>
          <w:rtl/>
        </w:rPr>
        <w:t>حوالي 56%)</w:t>
      </w:r>
      <w:r w:rsidR="00786991" w:rsidRPr="008167FB">
        <w:rPr>
          <w:rFonts w:ascii="Simplified Arabic" w:hAnsi="Simplified Arabic"/>
          <w:b w:val="0"/>
          <w:bCs w:val="0"/>
          <w:sz w:val="26"/>
          <w:szCs w:val="26"/>
          <w:rtl/>
        </w:rPr>
        <w:t>)</w:t>
      </w:r>
      <w:r w:rsidR="000E61C9" w:rsidRPr="008167FB">
        <w:rPr>
          <w:rFonts w:ascii="Simplified Arabic" w:hAnsi="Simplified Arabic"/>
          <w:sz w:val="26"/>
          <w:szCs w:val="26"/>
          <w:rtl/>
        </w:rPr>
        <w:t xml:space="preserve"> </w:t>
      </w:r>
      <w:r w:rsidR="00F525BF" w:rsidRPr="008167FB">
        <w:rPr>
          <w:rFonts w:ascii="Simplified Arabic" w:hAnsi="Simplified Arabic"/>
          <w:b w:val="0"/>
          <w:bCs w:val="0"/>
          <w:sz w:val="26"/>
          <w:szCs w:val="26"/>
          <w:rtl/>
        </w:rPr>
        <w:t xml:space="preserve">منهم حوالي </w:t>
      </w:r>
      <w:r w:rsidR="00F525BF" w:rsidRPr="008167FB">
        <w:rPr>
          <w:rFonts w:ascii="Simplified Arabic" w:hAnsi="Simplified Arabic"/>
          <w:b w:val="0"/>
          <w:bCs w:val="0"/>
          <w:sz w:val="26"/>
          <w:szCs w:val="26"/>
        </w:rPr>
        <w:t>369</w:t>
      </w:r>
      <w:r w:rsidR="00F525BF" w:rsidRPr="008167FB">
        <w:rPr>
          <w:rFonts w:ascii="Simplified Arabic" w:hAnsi="Simplified Arabic"/>
          <w:b w:val="0"/>
          <w:bCs w:val="0"/>
          <w:sz w:val="26"/>
          <w:szCs w:val="26"/>
          <w:rtl/>
        </w:rPr>
        <w:t xml:space="preserve"> ألف في الضفة الغربية، وحوالي </w:t>
      </w:r>
      <w:r w:rsidR="00F525BF" w:rsidRPr="008167FB">
        <w:rPr>
          <w:rFonts w:ascii="Simplified Arabic" w:hAnsi="Simplified Arabic"/>
          <w:b w:val="0"/>
          <w:bCs w:val="0"/>
          <w:sz w:val="26"/>
          <w:szCs w:val="26"/>
        </w:rPr>
        <w:t>219</w:t>
      </w:r>
      <w:r w:rsidR="00F525BF" w:rsidRPr="008167FB">
        <w:rPr>
          <w:rFonts w:ascii="Simplified Arabic" w:hAnsi="Simplified Arabic"/>
          <w:b w:val="0"/>
          <w:bCs w:val="0"/>
          <w:sz w:val="26"/>
          <w:szCs w:val="26"/>
          <w:rtl/>
        </w:rPr>
        <w:t xml:space="preserve"> ألف في قطاع غزة.</w:t>
      </w:r>
      <w:r w:rsidR="00F525BF" w:rsidRPr="008167FB">
        <w:rPr>
          <w:rFonts w:ascii="Simplified Arabic" w:hAnsi="Simplified Arabic"/>
          <w:sz w:val="26"/>
          <w:szCs w:val="26"/>
          <w:rtl/>
        </w:rPr>
        <w:t xml:space="preserve"> </w:t>
      </w:r>
      <w:r w:rsidR="00F525BF" w:rsidRPr="008167FB">
        <w:rPr>
          <w:rFonts w:ascii="Simplified Arabic" w:hAnsi="Simplified Arabic"/>
          <w:b w:val="0"/>
          <w:bCs w:val="0"/>
          <w:sz w:val="26"/>
          <w:szCs w:val="26"/>
          <w:rtl/>
        </w:rPr>
        <w:t>فيما بلغ عدد المشاركين في الأنشطة الثقافية حوالي 437 ألف عام 2021، منهم 209 آلاف شاركوا بأنشطة ثقافية عقدت عن بعد.</w:t>
      </w:r>
    </w:p>
    <w:p w:rsidR="00F525BF" w:rsidRPr="003D5012" w:rsidRDefault="00F525BF" w:rsidP="00A535B6">
      <w:pPr>
        <w:pStyle w:val="BodyText"/>
        <w:rPr>
          <w:rFonts w:ascii="Simplified Arabic" w:hAnsi="Simplified Arabic"/>
          <w:sz w:val="6"/>
          <w:szCs w:val="6"/>
          <w:rtl/>
        </w:rPr>
      </w:pPr>
    </w:p>
    <w:p w:rsidR="006C7FBB" w:rsidRPr="004B29A0" w:rsidRDefault="006C7FBB" w:rsidP="00A535B6">
      <w:pPr>
        <w:pStyle w:val="BodyText"/>
        <w:rPr>
          <w:rFonts w:ascii="Simplified Arabic" w:hAnsi="Simplified Arabic"/>
          <w:sz w:val="28"/>
          <w:szCs w:val="28"/>
          <w:rtl/>
        </w:rPr>
      </w:pPr>
      <w:r w:rsidRPr="004B29A0">
        <w:rPr>
          <w:rFonts w:ascii="Simplified Arabic" w:hAnsi="Simplified Arabic"/>
          <w:sz w:val="28"/>
          <w:szCs w:val="28"/>
          <w:rtl/>
        </w:rPr>
        <w:t xml:space="preserve">توزيع </w:t>
      </w:r>
      <w:r w:rsidR="007D1946" w:rsidRPr="004B29A0">
        <w:rPr>
          <w:rFonts w:ascii="Simplified Arabic" w:hAnsi="Simplified Arabic"/>
          <w:sz w:val="28"/>
          <w:szCs w:val="28"/>
          <w:rtl/>
        </w:rPr>
        <w:t xml:space="preserve">المشاركين في الأنشطة الثقافية في المراكز الثقافية حسب </w:t>
      </w:r>
      <w:r w:rsidR="00143516" w:rsidRPr="004B29A0">
        <w:rPr>
          <w:rFonts w:ascii="Simplified Arabic" w:hAnsi="Simplified Arabic"/>
          <w:sz w:val="28"/>
          <w:szCs w:val="28"/>
          <w:rtl/>
        </w:rPr>
        <w:t>آلية</w:t>
      </w:r>
      <w:r w:rsidR="007D1946" w:rsidRPr="004B29A0">
        <w:rPr>
          <w:rFonts w:ascii="Simplified Arabic" w:hAnsi="Simplified Arabic"/>
          <w:sz w:val="28"/>
          <w:szCs w:val="28"/>
          <w:rtl/>
        </w:rPr>
        <w:t xml:space="preserve"> عقد النشاط</w:t>
      </w:r>
      <w:r w:rsidRPr="004B29A0">
        <w:rPr>
          <w:rFonts w:ascii="Simplified Arabic" w:hAnsi="Simplified Arabic"/>
          <w:sz w:val="28"/>
          <w:szCs w:val="28"/>
          <w:rtl/>
        </w:rPr>
        <w:t xml:space="preserve">، </w:t>
      </w:r>
      <w:r w:rsidR="00A535B6" w:rsidRPr="004B29A0">
        <w:rPr>
          <w:rFonts w:ascii="Simplified Arabic" w:hAnsi="Simplified Arabic"/>
          <w:sz w:val="28"/>
          <w:szCs w:val="28"/>
          <w:rtl/>
        </w:rPr>
        <w:t>2022</w:t>
      </w:r>
    </w:p>
    <w:p w:rsidR="008167FB" w:rsidRPr="008167FB" w:rsidRDefault="008167FB" w:rsidP="009536CF">
      <w:pPr>
        <w:pStyle w:val="BodyText"/>
        <w:rPr>
          <w:rFonts w:ascii="Simplified Arabic" w:hAnsi="Simplified Arabic"/>
          <w:color w:val="FF0000"/>
          <w:sz w:val="2"/>
          <w:szCs w:val="2"/>
          <w:rtl/>
        </w:rPr>
      </w:pPr>
    </w:p>
    <w:p w:rsidR="00DE7C16" w:rsidRDefault="00F76D39" w:rsidP="004B29A0">
      <w:pPr>
        <w:pStyle w:val="BodyText"/>
        <w:rPr>
          <w:rFonts w:ascii="Simplified Arabic" w:hAnsi="Simplified Arabic"/>
          <w:color w:val="FF0000"/>
          <w:sz w:val="26"/>
          <w:szCs w:val="26"/>
          <w:rtl/>
        </w:rPr>
      </w:pPr>
      <w:r w:rsidRPr="008167FB">
        <w:rPr>
          <w:rFonts w:ascii="Simplified Arabic" w:hAnsi="Simplified Arabic"/>
          <w:noProof/>
          <w:color w:val="FF0000"/>
          <w:sz w:val="26"/>
          <w:szCs w:val="26"/>
          <w:rtl/>
        </w:rPr>
        <w:drawing>
          <wp:inline distT="0" distB="0" distL="0" distR="0">
            <wp:extent cx="3051810" cy="1838325"/>
            <wp:effectExtent l="0" t="0" r="1524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B29A0" w:rsidRPr="004B29A0" w:rsidRDefault="004B29A0" w:rsidP="004B29A0">
      <w:pPr>
        <w:pStyle w:val="BodyText"/>
        <w:jc w:val="left"/>
        <w:rPr>
          <w:rFonts w:ascii="Simplified Arabic" w:hAnsi="Simplified Arabic"/>
          <w:color w:val="FF0000"/>
          <w:sz w:val="16"/>
          <w:szCs w:val="16"/>
          <w:rtl/>
        </w:rPr>
      </w:pPr>
    </w:p>
    <w:p w:rsidR="0008497B" w:rsidRPr="004B29A0" w:rsidRDefault="002405A8" w:rsidP="00042C5D">
      <w:pPr>
        <w:bidi/>
        <w:ind w:left="-2"/>
        <w:jc w:val="both"/>
        <w:rPr>
          <w:rFonts w:ascii="Simplified Arabic" w:hAnsi="Simplified Arabic" w:cs="Simplified Arabic"/>
          <w:b/>
          <w:bCs/>
          <w:sz w:val="28"/>
          <w:szCs w:val="28"/>
          <w:rtl/>
        </w:rPr>
      </w:pPr>
      <w:r w:rsidRPr="004B29A0">
        <w:rPr>
          <w:rFonts w:ascii="Simplified Arabic" w:hAnsi="Simplified Arabic" w:cs="Simplified Arabic"/>
          <w:b/>
          <w:bCs/>
          <w:sz w:val="28"/>
          <w:szCs w:val="28"/>
          <w:rtl/>
        </w:rPr>
        <w:t>ارتفاع</w:t>
      </w:r>
      <w:r w:rsidR="00D66E73" w:rsidRPr="004B29A0">
        <w:rPr>
          <w:rFonts w:ascii="Simplified Arabic" w:hAnsi="Simplified Arabic" w:cs="Simplified Arabic"/>
          <w:b/>
          <w:bCs/>
          <w:sz w:val="28"/>
          <w:szCs w:val="28"/>
          <w:rtl/>
        </w:rPr>
        <w:t xml:space="preserve"> ملحوظ في</w:t>
      </w:r>
      <w:r w:rsidR="00962E02" w:rsidRPr="004B29A0">
        <w:rPr>
          <w:rFonts w:ascii="Simplified Arabic" w:hAnsi="Simplified Arabic" w:cs="Simplified Arabic"/>
          <w:b/>
          <w:bCs/>
          <w:sz w:val="28"/>
          <w:szCs w:val="28"/>
          <w:rtl/>
        </w:rPr>
        <w:t xml:space="preserve"> </w:t>
      </w:r>
      <w:r w:rsidR="000B4759" w:rsidRPr="004B29A0">
        <w:rPr>
          <w:rFonts w:ascii="Simplified Arabic" w:hAnsi="Simplified Arabic" w:cs="Simplified Arabic"/>
          <w:b/>
          <w:bCs/>
          <w:sz w:val="28"/>
          <w:szCs w:val="28"/>
          <w:rtl/>
        </w:rPr>
        <w:t xml:space="preserve">عدد زوار المتاحف خلال عام </w:t>
      </w:r>
      <w:r w:rsidR="00F15C81" w:rsidRPr="004B29A0">
        <w:rPr>
          <w:rFonts w:ascii="Simplified Arabic" w:hAnsi="Simplified Arabic" w:cs="Simplified Arabic"/>
          <w:b/>
          <w:bCs/>
          <w:sz w:val="28"/>
          <w:szCs w:val="28"/>
          <w:rtl/>
        </w:rPr>
        <w:t>2022</w:t>
      </w:r>
      <w:r w:rsidR="000B4759" w:rsidRPr="004B29A0">
        <w:rPr>
          <w:rFonts w:ascii="Simplified Arabic" w:hAnsi="Simplified Arabic" w:cs="Simplified Arabic"/>
          <w:b/>
          <w:bCs/>
          <w:sz w:val="28"/>
          <w:szCs w:val="28"/>
          <w:rtl/>
        </w:rPr>
        <w:t xml:space="preserve"> </w:t>
      </w:r>
      <w:r w:rsidR="00042C5D" w:rsidRPr="004B29A0">
        <w:rPr>
          <w:rFonts w:ascii="Simplified Arabic" w:hAnsi="Simplified Arabic" w:cs="Simplified Arabic"/>
          <w:b/>
          <w:bCs/>
          <w:sz w:val="28"/>
          <w:szCs w:val="28"/>
          <w:rtl/>
        </w:rPr>
        <w:t>مقارنة بالعام 2021</w:t>
      </w:r>
    </w:p>
    <w:p w:rsidR="0008497B" w:rsidRPr="008167FB" w:rsidRDefault="0008497B" w:rsidP="003E15A6">
      <w:pPr>
        <w:tabs>
          <w:tab w:val="left" w:pos="-1"/>
        </w:tabs>
        <w:bidi/>
        <w:ind w:right="-1" w:firstLine="1"/>
        <w:jc w:val="both"/>
        <w:rPr>
          <w:rFonts w:ascii="Simplified Arabic" w:hAnsi="Simplified Arabic" w:cs="Simplified Arabic"/>
          <w:sz w:val="26"/>
          <w:szCs w:val="26"/>
          <w:rtl/>
        </w:rPr>
      </w:pPr>
      <w:r w:rsidRPr="008167FB">
        <w:rPr>
          <w:rFonts w:ascii="Simplified Arabic" w:hAnsi="Simplified Arabic" w:cs="Simplified Arabic"/>
          <w:sz w:val="26"/>
          <w:szCs w:val="26"/>
          <w:rtl/>
        </w:rPr>
        <w:t>بلغ عدد المتاحف العاملة</w:t>
      </w:r>
      <w:r w:rsidR="00D63B22" w:rsidRPr="008167FB">
        <w:rPr>
          <w:rFonts w:ascii="Simplified Arabic" w:hAnsi="Simplified Arabic" w:cs="Simplified Arabic"/>
          <w:sz w:val="26"/>
          <w:szCs w:val="26"/>
          <w:rtl/>
        </w:rPr>
        <w:t xml:space="preserve"> 32 متحفاً</w:t>
      </w:r>
      <w:r w:rsidRPr="008167FB">
        <w:rPr>
          <w:rFonts w:ascii="Simplified Arabic" w:hAnsi="Simplified Arabic" w:cs="Simplified Arabic"/>
          <w:sz w:val="26"/>
          <w:szCs w:val="26"/>
          <w:rtl/>
        </w:rPr>
        <w:t xml:space="preserve"> في فلسطين خلال عام </w:t>
      </w:r>
      <w:r w:rsidR="001100CA" w:rsidRPr="008167FB">
        <w:rPr>
          <w:rFonts w:ascii="Simplified Arabic" w:hAnsi="Simplified Arabic" w:cs="Simplified Arabic"/>
          <w:sz w:val="26"/>
          <w:szCs w:val="26"/>
          <w:rtl/>
        </w:rPr>
        <w:t>2022</w:t>
      </w:r>
      <w:r w:rsidR="003E15A6" w:rsidRPr="008167FB">
        <w:rPr>
          <w:rFonts w:ascii="Simplified Arabic" w:hAnsi="Simplified Arabic" w:cs="Simplified Arabic"/>
          <w:sz w:val="26"/>
          <w:szCs w:val="26"/>
          <w:rtl/>
        </w:rPr>
        <w:t>،</w:t>
      </w:r>
      <w:r w:rsidRPr="008167FB">
        <w:rPr>
          <w:rFonts w:ascii="Simplified Arabic" w:hAnsi="Simplified Arabic" w:cs="Simplified Arabic"/>
          <w:sz w:val="26"/>
          <w:szCs w:val="26"/>
          <w:rtl/>
        </w:rPr>
        <w:t xml:space="preserve"> </w:t>
      </w:r>
      <w:r w:rsidR="006502B8" w:rsidRPr="008167FB">
        <w:rPr>
          <w:rFonts w:ascii="Simplified Arabic" w:hAnsi="Simplified Arabic" w:cs="Simplified Arabic"/>
          <w:sz w:val="26"/>
          <w:szCs w:val="26"/>
          <w:rtl/>
        </w:rPr>
        <w:t>2</w:t>
      </w:r>
      <w:r w:rsidR="001100CA" w:rsidRPr="008167FB">
        <w:rPr>
          <w:rFonts w:ascii="Simplified Arabic" w:hAnsi="Simplified Arabic" w:cs="Simplified Arabic"/>
          <w:sz w:val="26"/>
          <w:szCs w:val="26"/>
          <w:rtl/>
        </w:rPr>
        <w:t>7</w:t>
      </w:r>
      <w:r w:rsidRPr="008167FB">
        <w:rPr>
          <w:rFonts w:ascii="Simplified Arabic" w:hAnsi="Simplified Arabic" w:cs="Simplified Arabic"/>
          <w:sz w:val="26"/>
          <w:szCs w:val="26"/>
          <w:rtl/>
        </w:rPr>
        <w:t xml:space="preserve"> متحفاً في الضفة الغربية</w:t>
      </w:r>
      <w:r w:rsidR="004C0F7A" w:rsidRPr="008167FB">
        <w:rPr>
          <w:rFonts w:ascii="Simplified Arabic" w:hAnsi="Simplified Arabic" w:cs="Simplified Arabic"/>
          <w:sz w:val="26"/>
          <w:szCs w:val="26"/>
          <w:rtl/>
        </w:rPr>
        <w:t xml:space="preserve"> (منه</w:t>
      </w:r>
      <w:r w:rsidR="00D25B64" w:rsidRPr="008167FB">
        <w:rPr>
          <w:rFonts w:ascii="Simplified Arabic" w:hAnsi="Simplified Arabic" w:cs="Simplified Arabic"/>
          <w:sz w:val="26"/>
          <w:szCs w:val="26"/>
          <w:rtl/>
        </w:rPr>
        <w:t>ا</w:t>
      </w:r>
      <w:r w:rsidR="004C0F7A" w:rsidRPr="008167FB">
        <w:rPr>
          <w:rFonts w:ascii="Simplified Arabic" w:hAnsi="Simplified Arabic" w:cs="Simplified Arabic"/>
          <w:sz w:val="26"/>
          <w:szCs w:val="26"/>
          <w:rtl/>
        </w:rPr>
        <w:t xml:space="preserve"> </w:t>
      </w:r>
      <w:r w:rsidR="006502B8" w:rsidRPr="008167FB">
        <w:rPr>
          <w:rFonts w:ascii="Simplified Arabic" w:hAnsi="Simplified Arabic" w:cs="Simplified Arabic"/>
          <w:sz w:val="26"/>
          <w:szCs w:val="26"/>
          <w:rtl/>
        </w:rPr>
        <w:t>متحفين</w:t>
      </w:r>
      <w:r w:rsidR="004C0F7A" w:rsidRPr="008167FB">
        <w:rPr>
          <w:rFonts w:ascii="Simplified Arabic" w:hAnsi="Simplified Arabic" w:cs="Simplified Arabic"/>
          <w:sz w:val="26"/>
          <w:szCs w:val="26"/>
          <w:rtl/>
        </w:rPr>
        <w:t xml:space="preserve"> رفض</w:t>
      </w:r>
      <w:r w:rsidR="006502B8" w:rsidRPr="008167FB">
        <w:rPr>
          <w:rFonts w:ascii="Simplified Arabic" w:hAnsi="Simplified Arabic" w:cs="Simplified Arabic"/>
          <w:sz w:val="26"/>
          <w:szCs w:val="26"/>
          <w:rtl/>
        </w:rPr>
        <w:t>ا</w:t>
      </w:r>
      <w:r w:rsidR="004C0F7A" w:rsidRPr="008167FB">
        <w:rPr>
          <w:rFonts w:ascii="Simplified Arabic" w:hAnsi="Simplified Arabic" w:cs="Simplified Arabic"/>
          <w:sz w:val="26"/>
          <w:szCs w:val="26"/>
          <w:rtl/>
        </w:rPr>
        <w:t xml:space="preserve"> الإدلاء بالبيانات)</w:t>
      </w:r>
      <w:r w:rsidRPr="008167FB">
        <w:rPr>
          <w:rFonts w:ascii="Simplified Arabic" w:hAnsi="Simplified Arabic" w:cs="Simplified Arabic"/>
          <w:sz w:val="26"/>
          <w:szCs w:val="26"/>
          <w:rtl/>
        </w:rPr>
        <w:t xml:space="preserve">، و5 متاحف في قطاع غزة. </w:t>
      </w:r>
    </w:p>
    <w:p w:rsidR="00A67885" w:rsidRPr="008167FB" w:rsidRDefault="00A67885" w:rsidP="00A67885">
      <w:pPr>
        <w:tabs>
          <w:tab w:val="left" w:pos="-1"/>
        </w:tabs>
        <w:bidi/>
        <w:ind w:right="-1" w:firstLine="1"/>
        <w:jc w:val="both"/>
        <w:rPr>
          <w:rFonts w:ascii="Simplified Arabic" w:hAnsi="Simplified Arabic" w:cs="Simplified Arabic"/>
          <w:sz w:val="16"/>
          <w:szCs w:val="16"/>
          <w:rtl/>
        </w:rPr>
      </w:pPr>
    </w:p>
    <w:p w:rsidR="0008497B" w:rsidRPr="008167FB" w:rsidRDefault="000B4759" w:rsidP="008D40C7">
      <w:pPr>
        <w:bidi/>
        <w:jc w:val="both"/>
        <w:rPr>
          <w:rFonts w:ascii="Simplified Arabic" w:hAnsi="Simplified Arabic" w:cs="Simplified Arabic"/>
          <w:sz w:val="26"/>
          <w:szCs w:val="26"/>
        </w:rPr>
      </w:pPr>
      <w:r w:rsidRPr="008167FB">
        <w:rPr>
          <w:rFonts w:ascii="Simplified Arabic" w:hAnsi="Simplified Arabic" w:cs="Simplified Arabic"/>
          <w:sz w:val="26"/>
          <w:szCs w:val="26"/>
          <w:rtl/>
        </w:rPr>
        <w:t>بلغ عدد</w:t>
      </w:r>
      <w:r w:rsidR="0008497B" w:rsidRPr="008167FB">
        <w:rPr>
          <w:rFonts w:ascii="Simplified Arabic" w:hAnsi="Simplified Arabic" w:cs="Simplified Arabic"/>
          <w:sz w:val="26"/>
          <w:szCs w:val="26"/>
          <w:rtl/>
        </w:rPr>
        <w:t xml:space="preserve"> </w:t>
      </w:r>
      <w:r w:rsidR="00F525BF" w:rsidRPr="008167FB">
        <w:rPr>
          <w:rFonts w:ascii="Simplified Arabic" w:hAnsi="Simplified Arabic" w:cs="Simplified Arabic"/>
          <w:sz w:val="26"/>
          <w:szCs w:val="26"/>
          <w:rtl/>
        </w:rPr>
        <w:t>زوار</w:t>
      </w:r>
      <w:r w:rsidR="0008497B" w:rsidRPr="008167FB">
        <w:rPr>
          <w:rFonts w:ascii="Simplified Arabic" w:hAnsi="Simplified Arabic" w:cs="Simplified Arabic"/>
          <w:sz w:val="26"/>
          <w:szCs w:val="26"/>
          <w:rtl/>
        </w:rPr>
        <w:t xml:space="preserve"> </w:t>
      </w:r>
      <w:r w:rsidR="00F525BF" w:rsidRPr="008167FB">
        <w:rPr>
          <w:rFonts w:ascii="Simplified Arabic" w:hAnsi="Simplified Arabic" w:cs="Simplified Arabic"/>
          <w:sz w:val="26"/>
          <w:szCs w:val="26"/>
          <w:rtl/>
        </w:rPr>
        <w:t>المتاحف</w:t>
      </w:r>
      <w:r w:rsidR="0008497B" w:rsidRPr="008167FB">
        <w:rPr>
          <w:rFonts w:ascii="Simplified Arabic" w:hAnsi="Simplified Arabic" w:cs="Simplified Arabic"/>
          <w:sz w:val="26"/>
          <w:szCs w:val="26"/>
          <w:rtl/>
        </w:rPr>
        <w:t xml:space="preserve"> التي أدلت بالبيانات حوالي </w:t>
      </w:r>
      <w:r w:rsidR="00F15C81" w:rsidRPr="008167FB">
        <w:rPr>
          <w:rFonts w:ascii="Simplified Arabic" w:hAnsi="Simplified Arabic" w:cs="Simplified Arabic"/>
          <w:sz w:val="26"/>
          <w:szCs w:val="26"/>
          <w:rtl/>
        </w:rPr>
        <w:t>265</w:t>
      </w:r>
      <w:r w:rsidRPr="008167FB">
        <w:rPr>
          <w:rFonts w:ascii="Simplified Arabic" w:hAnsi="Simplified Arabic" w:cs="Simplified Arabic"/>
          <w:sz w:val="26"/>
          <w:szCs w:val="26"/>
          <w:rtl/>
        </w:rPr>
        <w:t xml:space="preserve"> ألف </w:t>
      </w:r>
      <w:r w:rsidR="0008497B" w:rsidRPr="008167FB">
        <w:rPr>
          <w:rFonts w:ascii="Simplified Arabic" w:hAnsi="Simplified Arabic" w:cs="Simplified Arabic"/>
          <w:sz w:val="26"/>
          <w:szCs w:val="26"/>
          <w:rtl/>
        </w:rPr>
        <w:t xml:space="preserve">زائر عام </w:t>
      </w:r>
      <w:r w:rsidR="00F15C81" w:rsidRPr="008167FB">
        <w:rPr>
          <w:rFonts w:ascii="Simplified Arabic" w:hAnsi="Simplified Arabic" w:cs="Simplified Arabic"/>
          <w:sz w:val="26"/>
          <w:szCs w:val="26"/>
          <w:rtl/>
        </w:rPr>
        <w:t>2022</w:t>
      </w:r>
      <w:r w:rsidR="0008497B" w:rsidRPr="008167FB">
        <w:rPr>
          <w:rFonts w:ascii="Simplified Arabic" w:hAnsi="Simplified Arabic" w:cs="Simplified Arabic"/>
          <w:sz w:val="26"/>
          <w:szCs w:val="26"/>
          <w:rtl/>
        </w:rPr>
        <w:t xml:space="preserve">؛ </w:t>
      </w:r>
      <w:r w:rsidR="00A67885" w:rsidRPr="008167FB">
        <w:rPr>
          <w:rFonts w:ascii="Simplified Arabic" w:hAnsi="Simplified Arabic" w:cs="Simplified Arabic"/>
          <w:sz w:val="26"/>
          <w:szCs w:val="26"/>
        </w:rPr>
        <w:t>77</w:t>
      </w:r>
      <w:r w:rsidR="0008497B" w:rsidRPr="008167FB">
        <w:rPr>
          <w:rFonts w:ascii="Simplified Arabic" w:hAnsi="Simplified Arabic" w:cs="Simplified Arabic"/>
          <w:sz w:val="26"/>
          <w:szCs w:val="26"/>
          <w:rtl/>
        </w:rPr>
        <w:t>% فلسطينيون</w:t>
      </w:r>
      <w:r w:rsidR="00F15C81" w:rsidRPr="008167FB">
        <w:rPr>
          <w:rFonts w:ascii="Simplified Arabic" w:hAnsi="Simplified Arabic" w:cs="Simplified Arabic"/>
          <w:sz w:val="26"/>
          <w:szCs w:val="26"/>
          <w:rtl/>
        </w:rPr>
        <w:t xml:space="preserve"> و</w:t>
      </w:r>
      <w:r w:rsidR="00A67885" w:rsidRPr="008167FB">
        <w:rPr>
          <w:rFonts w:ascii="Simplified Arabic" w:hAnsi="Simplified Arabic" w:cs="Simplified Arabic"/>
          <w:sz w:val="26"/>
          <w:szCs w:val="26"/>
        </w:rPr>
        <w:t>23</w:t>
      </w:r>
      <w:r w:rsidR="0008497B" w:rsidRPr="008167FB">
        <w:rPr>
          <w:rFonts w:ascii="Simplified Arabic" w:hAnsi="Simplified Arabic" w:cs="Simplified Arabic"/>
          <w:sz w:val="26"/>
          <w:szCs w:val="26"/>
          <w:rtl/>
        </w:rPr>
        <w:t>% من جنسيات أخرى</w:t>
      </w:r>
      <w:r w:rsidR="002405A8" w:rsidRPr="008167FB">
        <w:rPr>
          <w:rFonts w:ascii="Simplified Arabic" w:hAnsi="Simplified Arabic" w:cs="Simplified Arabic"/>
          <w:sz w:val="26"/>
          <w:szCs w:val="26"/>
          <w:rtl/>
        </w:rPr>
        <w:t>،</w:t>
      </w:r>
      <w:r w:rsidR="0008497B" w:rsidRPr="008167FB">
        <w:rPr>
          <w:rFonts w:ascii="Simplified Arabic" w:hAnsi="Simplified Arabic" w:cs="Simplified Arabic"/>
          <w:sz w:val="26"/>
          <w:szCs w:val="26"/>
          <w:rtl/>
        </w:rPr>
        <w:t xml:space="preserve"> </w:t>
      </w:r>
      <w:r w:rsidRPr="008167FB">
        <w:rPr>
          <w:rFonts w:ascii="Simplified Arabic" w:hAnsi="Simplified Arabic" w:cs="Simplified Arabic"/>
          <w:sz w:val="26"/>
          <w:szCs w:val="26"/>
          <w:rtl/>
        </w:rPr>
        <w:t xml:space="preserve">مقارنة مع </w:t>
      </w:r>
      <w:r w:rsidR="00F15C81" w:rsidRPr="008167FB">
        <w:rPr>
          <w:rFonts w:ascii="Simplified Arabic" w:hAnsi="Simplified Arabic" w:cs="Simplified Arabic"/>
          <w:sz w:val="26"/>
          <w:szCs w:val="26"/>
          <w:rtl/>
        </w:rPr>
        <w:t>114 ألف زائر</w:t>
      </w:r>
      <w:r w:rsidR="00DC4604" w:rsidRPr="008167FB">
        <w:rPr>
          <w:rFonts w:ascii="Simplified Arabic" w:hAnsi="Simplified Arabic" w:cs="Simplified Arabic"/>
          <w:sz w:val="26"/>
          <w:szCs w:val="26"/>
          <w:rtl/>
        </w:rPr>
        <w:t xml:space="preserve"> و</w:t>
      </w:r>
      <w:r w:rsidR="00EC0BFA" w:rsidRPr="008167FB">
        <w:rPr>
          <w:rFonts w:ascii="Simplified Arabic" w:hAnsi="Simplified Arabic" w:cs="Simplified Arabic"/>
          <w:sz w:val="26"/>
          <w:szCs w:val="26"/>
          <w:rtl/>
        </w:rPr>
        <w:t>26</w:t>
      </w:r>
      <w:r w:rsidRPr="008167FB">
        <w:rPr>
          <w:rFonts w:ascii="Simplified Arabic" w:hAnsi="Simplified Arabic" w:cs="Simplified Arabic"/>
          <w:sz w:val="26"/>
          <w:szCs w:val="26"/>
          <w:rtl/>
        </w:rPr>
        <w:t xml:space="preserve"> ألف زائر</w:t>
      </w:r>
      <w:r w:rsidR="00A00929" w:rsidRPr="008167FB">
        <w:rPr>
          <w:rFonts w:ascii="Simplified Arabic" w:hAnsi="Simplified Arabic" w:cs="Simplified Arabic"/>
          <w:sz w:val="26"/>
          <w:szCs w:val="26"/>
        </w:rPr>
        <w:t xml:space="preserve"> </w:t>
      </w:r>
      <w:r w:rsidR="00A00929" w:rsidRPr="008167FB">
        <w:rPr>
          <w:rFonts w:ascii="Simplified Arabic" w:hAnsi="Simplified Arabic" w:cs="Simplified Arabic"/>
          <w:sz w:val="26"/>
          <w:szCs w:val="26"/>
          <w:rtl/>
        </w:rPr>
        <w:t>و</w:t>
      </w:r>
      <w:r w:rsidR="00182FAF" w:rsidRPr="008167FB">
        <w:rPr>
          <w:rFonts w:ascii="Simplified Arabic" w:hAnsi="Simplified Arabic" w:cs="Simplified Arabic"/>
          <w:sz w:val="26"/>
          <w:szCs w:val="26"/>
          <w:rtl/>
        </w:rPr>
        <w:t>388 ألف زائر</w:t>
      </w:r>
      <w:r w:rsidRPr="008167FB">
        <w:rPr>
          <w:rFonts w:ascii="Simplified Arabic" w:hAnsi="Simplified Arabic" w:cs="Simplified Arabic"/>
          <w:sz w:val="26"/>
          <w:szCs w:val="26"/>
          <w:rtl/>
        </w:rPr>
        <w:t xml:space="preserve"> خلال </w:t>
      </w:r>
      <w:r w:rsidR="00F15C81" w:rsidRPr="008167FB">
        <w:rPr>
          <w:rFonts w:ascii="Simplified Arabic" w:hAnsi="Simplified Arabic" w:cs="Simplified Arabic"/>
          <w:sz w:val="26"/>
          <w:szCs w:val="26"/>
          <w:rtl/>
        </w:rPr>
        <w:t>الأعوام 2021،</w:t>
      </w:r>
      <w:r w:rsidRPr="008167FB">
        <w:rPr>
          <w:rFonts w:ascii="Simplified Arabic" w:hAnsi="Simplified Arabic" w:cs="Simplified Arabic"/>
          <w:sz w:val="26"/>
          <w:szCs w:val="26"/>
          <w:rtl/>
        </w:rPr>
        <w:t xml:space="preserve"> </w:t>
      </w:r>
      <w:r w:rsidR="00EC0BFA" w:rsidRPr="008167FB">
        <w:rPr>
          <w:rFonts w:ascii="Simplified Arabic" w:hAnsi="Simplified Arabic" w:cs="Simplified Arabic"/>
          <w:sz w:val="26"/>
          <w:szCs w:val="26"/>
          <w:rtl/>
        </w:rPr>
        <w:t>2020</w:t>
      </w:r>
      <w:r w:rsidR="00F15C81" w:rsidRPr="008167FB">
        <w:rPr>
          <w:rFonts w:ascii="Simplified Arabic" w:hAnsi="Simplified Arabic" w:cs="Simplified Arabic"/>
          <w:sz w:val="26"/>
          <w:szCs w:val="26"/>
          <w:rtl/>
        </w:rPr>
        <w:t xml:space="preserve">، </w:t>
      </w:r>
      <w:r w:rsidR="00182FAF" w:rsidRPr="008167FB">
        <w:rPr>
          <w:rFonts w:ascii="Simplified Arabic" w:hAnsi="Simplified Arabic" w:cs="Simplified Arabic"/>
          <w:sz w:val="26"/>
          <w:szCs w:val="26"/>
          <w:rtl/>
        </w:rPr>
        <w:t>2019 على التوالي</w:t>
      </w:r>
      <w:r w:rsidRPr="008167FB">
        <w:rPr>
          <w:rFonts w:ascii="Simplified Arabic" w:hAnsi="Simplified Arabic" w:cs="Simplified Arabic"/>
          <w:sz w:val="26"/>
          <w:szCs w:val="26"/>
          <w:rtl/>
        </w:rPr>
        <w:t xml:space="preserve">. </w:t>
      </w:r>
      <w:r w:rsidR="0008497B" w:rsidRPr="008167FB">
        <w:rPr>
          <w:rFonts w:ascii="Simplified Arabic" w:hAnsi="Simplified Arabic" w:cs="Simplified Arabic"/>
          <w:sz w:val="26"/>
          <w:szCs w:val="26"/>
          <w:rtl/>
        </w:rPr>
        <w:t>وتفيد البيانات بأن أكبر عدد للزائرين</w:t>
      </w:r>
      <w:r w:rsidR="00225911" w:rsidRPr="008167FB">
        <w:rPr>
          <w:rFonts w:ascii="Simplified Arabic" w:hAnsi="Simplified Arabic" w:cs="Simplified Arabic"/>
          <w:sz w:val="26"/>
          <w:szCs w:val="26"/>
        </w:rPr>
        <w:t xml:space="preserve"> </w:t>
      </w:r>
      <w:r w:rsidR="00225911" w:rsidRPr="008167FB">
        <w:rPr>
          <w:rFonts w:ascii="Simplified Arabic" w:hAnsi="Simplified Arabic" w:cs="Simplified Arabic"/>
          <w:sz w:val="26"/>
          <w:szCs w:val="26"/>
          <w:rtl/>
          <w:lang w:bidi="ar-JO"/>
        </w:rPr>
        <w:t xml:space="preserve">خلال عام </w:t>
      </w:r>
      <w:r w:rsidR="008B6241" w:rsidRPr="008167FB">
        <w:rPr>
          <w:rFonts w:ascii="Simplified Arabic" w:hAnsi="Simplified Arabic" w:cs="Simplified Arabic"/>
          <w:sz w:val="26"/>
          <w:szCs w:val="26"/>
          <w:rtl/>
          <w:lang w:bidi="ar-JO"/>
        </w:rPr>
        <w:t>2022</w:t>
      </w:r>
      <w:r w:rsidR="0008497B" w:rsidRPr="008167FB">
        <w:rPr>
          <w:rFonts w:ascii="Simplified Arabic" w:hAnsi="Simplified Arabic" w:cs="Simplified Arabic"/>
          <w:sz w:val="26"/>
          <w:szCs w:val="26"/>
          <w:rtl/>
        </w:rPr>
        <w:t xml:space="preserve"> كان </w:t>
      </w:r>
      <w:r w:rsidR="00DC4604" w:rsidRPr="008167FB">
        <w:rPr>
          <w:rFonts w:ascii="Simplified Arabic" w:hAnsi="Simplified Arabic" w:cs="Simplified Arabic"/>
          <w:sz w:val="26"/>
          <w:szCs w:val="26"/>
          <w:rtl/>
        </w:rPr>
        <w:t>خلال</w:t>
      </w:r>
      <w:r w:rsidR="0008497B" w:rsidRPr="008167FB">
        <w:rPr>
          <w:rFonts w:ascii="Simplified Arabic" w:hAnsi="Simplified Arabic" w:cs="Simplified Arabic"/>
          <w:sz w:val="26"/>
          <w:szCs w:val="26"/>
          <w:rtl/>
        </w:rPr>
        <w:t xml:space="preserve"> شهر </w:t>
      </w:r>
      <w:r w:rsidR="00060396" w:rsidRPr="008167FB">
        <w:rPr>
          <w:rFonts w:ascii="Simplified Arabic" w:hAnsi="Simplified Arabic" w:cs="Simplified Arabic"/>
          <w:sz w:val="26"/>
          <w:szCs w:val="26"/>
          <w:rtl/>
        </w:rPr>
        <w:t>آذار</w:t>
      </w:r>
      <w:r w:rsidR="0008497B" w:rsidRPr="008167FB">
        <w:rPr>
          <w:rFonts w:ascii="Simplified Arabic" w:hAnsi="Simplified Arabic" w:cs="Simplified Arabic"/>
          <w:sz w:val="26"/>
          <w:szCs w:val="26"/>
          <w:rtl/>
        </w:rPr>
        <w:t xml:space="preserve"> حيث بلغ عددهم حوالي </w:t>
      </w:r>
      <w:r w:rsidR="00060396" w:rsidRPr="008167FB">
        <w:rPr>
          <w:rFonts w:ascii="Simplified Arabic" w:hAnsi="Simplified Arabic" w:cs="Simplified Arabic"/>
          <w:sz w:val="26"/>
          <w:szCs w:val="26"/>
          <w:rtl/>
        </w:rPr>
        <w:t>31</w:t>
      </w:r>
      <w:r w:rsidR="0008497B" w:rsidRPr="008167FB">
        <w:rPr>
          <w:rFonts w:ascii="Simplified Arabic" w:hAnsi="Simplified Arabic" w:cs="Simplified Arabic"/>
          <w:sz w:val="26"/>
          <w:szCs w:val="26"/>
          <w:rtl/>
        </w:rPr>
        <w:t xml:space="preserve"> </w:t>
      </w:r>
      <w:r w:rsidR="00FE107A" w:rsidRPr="008167FB">
        <w:rPr>
          <w:rFonts w:ascii="Simplified Arabic" w:hAnsi="Simplified Arabic" w:cs="Simplified Arabic"/>
          <w:sz w:val="26"/>
          <w:szCs w:val="26"/>
          <w:rtl/>
        </w:rPr>
        <w:t>ألف</w:t>
      </w:r>
      <w:r w:rsidR="0008497B" w:rsidRPr="008167FB">
        <w:rPr>
          <w:rFonts w:ascii="Simplified Arabic" w:hAnsi="Simplified Arabic" w:cs="Simplified Arabic"/>
          <w:sz w:val="26"/>
          <w:szCs w:val="26"/>
          <w:rtl/>
        </w:rPr>
        <w:t xml:space="preserve"> زائر، في حين بلغ أقل عدد للزائرين </w:t>
      </w:r>
      <w:r w:rsidR="008D40C7" w:rsidRPr="008167FB">
        <w:rPr>
          <w:rFonts w:ascii="Simplified Arabic" w:hAnsi="Simplified Arabic" w:cs="Simplified Arabic"/>
          <w:sz w:val="26"/>
          <w:szCs w:val="26"/>
          <w:rtl/>
        </w:rPr>
        <w:t>خلال</w:t>
      </w:r>
      <w:r w:rsidR="0008497B" w:rsidRPr="008167FB">
        <w:rPr>
          <w:rFonts w:ascii="Simplified Arabic" w:hAnsi="Simplified Arabic" w:cs="Simplified Arabic"/>
          <w:sz w:val="26"/>
          <w:szCs w:val="26"/>
          <w:rtl/>
        </w:rPr>
        <w:t xml:space="preserve"> شهر </w:t>
      </w:r>
      <w:r w:rsidR="00060396" w:rsidRPr="008167FB">
        <w:rPr>
          <w:rFonts w:ascii="Simplified Arabic" w:hAnsi="Simplified Arabic" w:cs="Simplified Arabic"/>
          <w:sz w:val="26"/>
          <w:szCs w:val="26"/>
          <w:rtl/>
        </w:rPr>
        <w:t>شباط</w:t>
      </w:r>
      <w:r w:rsidR="0008497B" w:rsidRPr="008167FB">
        <w:rPr>
          <w:rFonts w:ascii="Simplified Arabic" w:hAnsi="Simplified Arabic" w:cs="Simplified Arabic"/>
          <w:sz w:val="26"/>
          <w:szCs w:val="26"/>
          <w:rtl/>
        </w:rPr>
        <w:t xml:space="preserve"> </w:t>
      </w:r>
      <w:r w:rsidR="0081020F" w:rsidRPr="008167FB">
        <w:rPr>
          <w:rFonts w:ascii="Simplified Arabic" w:hAnsi="Simplified Arabic" w:cs="Simplified Arabic"/>
          <w:sz w:val="26"/>
          <w:szCs w:val="26"/>
          <w:rtl/>
        </w:rPr>
        <w:t>حيث بلغ</w:t>
      </w:r>
      <w:r w:rsidR="00DC4604" w:rsidRPr="008167FB">
        <w:rPr>
          <w:rFonts w:ascii="Simplified Arabic" w:hAnsi="Simplified Arabic" w:cs="Simplified Arabic"/>
          <w:sz w:val="26"/>
          <w:szCs w:val="26"/>
          <w:rtl/>
        </w:rPr>
        <w:t xml:space="preserve"> عددهم</w:t>
      </w:r>
      <w:r w:rsidR="002405A8" w:rsidRPr="008167FB">
        <w:rPr>
          <w:rFonts w:ascii="Simplified Arabic" w:hAnsi="Simplified Arabic" w:cs="Simplified Arabic"/>
          <w:sz w:val="26"/>
          <w:szCs w:val="26"/>
          <w:rtl/>
        </w:rPr>
        <w:t xml:space="preserve"> حوالي </w:t>
      </w:r>
      <w:r w:rsidR="00060396" w:rsidRPr="008167FB">
        <w:rPr>
          <w:rFonts w:ascii="Simplified Arabic" w:hAnsi="Simplified Arabic" w:cs="Simplified Arabic"/>
          <w:sz w:val="26"/>
          <w:szCs w:val="26"/>
          <w:rtl/>
        </w:rPr>
        <w:t>14 ألف</w:t>
      </w:r>
      <w:r w:rsidR="00FE107A" w:rsidRPr="008167FB">
        <w:rPr>
          <w:rFonts w:ascii="Simplified Arabic" w:hAnsi="Simplified Arabic" w:cs="Simplified Arabic"/>
          <w:sz w:val="26"/>
          <w:szCs w:val="26"/>
          <w:rtl/>
        </w:rPr>
        <w:t xml:space="preserve"> زائر.</w:t>
      </w:r>
      <w:r w:rsidR="0081020F" w:rsidRPr="008167FB">
        <w:rPr>
          <w:rFonts w:ascii="Simplified Arabic" w:hAnsi="Simplified Arabic" w:cs="Simplified Arabic"/>
          <w:sz w:val="26"/>
          <w:szCs w:val="26"/>
          <w:rtl/>
        </w:rPr>
        <w:t xml:space="preserve"> </w:t>
      </w:r>
    </w:p>
    <w:p w:rsidR="006F2D7E" w:rsidRPr="008167FB" w:rsidRDefault="006F2D7E" w:rsidP="006F2D7E">
      <w:pPr>
        <w:bidi/>
        <w:jc w:val="both"/>
        <w:rPr>
          <w:rFonts w:ascii="Simplified Arabic" w:hAnsi="Simplified Arabic" w:cs="Simplified Arabic"/>
          <w:sz w:val="16"/>
          <w:szCs w:val="16"/>
        </w:rPr>
      </w:pPr>
    </w:p>
    <w:p w:rsidR="0008497B" w:rsidRPr="004B29A0" w:rsidRDefault="00BB4E42" w:rsidP="00BB4E42">
      <w:pPr>
        <w:bidi/>
        <w:ind w:left="-2"/>
        <w:jc w:val="both"/>
        <w:rPr>
          <w:rFonts w:ascii="Simplified Arabic" w:hAnsi="Simplified Arabic" w:cs="Simplified Arabic"/>
          <w:b/>
          <w:bCs/>
          <w:sz w:val="28"/>
          <w:szCs w:val="28"/>
          <w:rtl/>
        </w:rPr>
      </w:pPr>
      <w:r w:rsidRPr="004B29A0">
        <w:rPr>
          <w:rFonts w:ascii="Simplified Arabic" w:hAnsi="Simplified Arabic" w:cs="Simplified Arabic"/>
          <w:b/>
          <w:bCs/>
          <w:sz w:val="28"/>
          <w:szCs w:val="28"/>
          <w:rtl/>
        </w:rPr>
        <w:t>انخفاض</w:t>
      </w:r>
      <w:r w:rsidR="004943CA" w:rsidRPr="004B29A0">
        <w:rPr>
          <w:rFonts w:ascii="Simplified Arabic" w:hAnsi="Simplified Arabic" w:cs="Simplified Arabic"/>
          <w:b/>
          <w:bCs/>
          <w:sz w:val="28"/>
          <w:szCs w:val="28"/>
          <w:rtl/>
        </w:rPr>
        <w:t xml:space="preserve"> عدد المسرحيات المعروضة في المسارح</w:t>
      </w:r>
      <w:r w:rsidR="00CF28A4" w:rsidRPr="004B29A0">
        <w:rPr>
          <w:rFonts w:ascii="Simplified Arabic" w:hAnsi="Simplified Arabic" w:cs="Simplified Arabic"/>
          <w:b/>
          <w:bCs/>
          <w:sz w:val="28"/>
          <w:szCs w:val="28"/>
          <w:rtl/>
        </w:rPr>
        <w:t xml:space="preserve"> خلال</w:t>
      </w:r>
      <w:r w:rsidR="007A2405" w:rsidRPr="004B29A0">
        <w:rPr>
          <w:rFonts w:ascii="Simplified Arabic" w:hAnsi="Simplified Arabic" w:cs="Simplified Arabic"/>
          <w:b/>
          <w:bCs/>
          <w:sz w:val="28"/>
          <w:szCs w:val="28"/>
          <w:rtl/>
        </w:rPr>
        <w:t xml:space="preserve"> عام </w:t>
      </w:r>
      <w:r w:rsidRPr="004B29A0">
        <w:rPr>
          <w:rFonts w:ascii="Simplified Arabic" w:hAnsi="Simplified Arabic" w:cs="Simplified Arabic"/>
          <w:b/>
          <w:bCs/>
          <w:sz w:val="28"/>
          <w:szCs w:val="28"/>
          <w:rtl/>
        </w:rPr>
        <w:t>2022</w:t>
      </w:r>
      <w:r w:rsidR="004943CA" w:rsidRPr="004B29A0">
        <w:rPr>
          <w:rFonts w:ascii="Simplified Arabic" w:hAnsi="Simplified Arabic" w:cs="Simplified Arabic"/>
          <w:b/>
          <w:bCs/>
          <w:sz w:val="28"/>
          <w:szCs w:val="28"/>
          <w:rtl/>
        </w:rPr>
        <w:t xml:space="preserve"> </w:t>
      </w:r>
      <w:r w:rsidRPr="004B29A0">
        <w:rPr>
          <w:rFonts w:ascii="Simplified Arabic" w:hAnsi="Simplified Arabic" w:cs="Simplified Arabic"/>
          <w:b/>
          <w:bCs/>
          <w:sz w:val="28"/>
          <w:szCs w:val="28"/>
          <w:rtl/>
        </w:rPr>
        <w:t>مقارنة بالعام 2021</w:t>
      </w:r>
    </w:p>
    <w:p w:rsidR="0008497B" w:rsidRPr="008167FB" w:rsidRDefault="00D25B64" w:rsidP="00C34104">
      <w:pPr>
        <w:tabs>
          <w:tab w:val="left" w:pos="-1"/>
        </w:tabs>
        <w:bidi/>
        <w:ind w:right="-1" w:firstLine="1"/>
        <w:jc w:val="both"/>
        <w:rPr>
          <w:rFonts w:ascii="Simplified Arabic" w:hAnsi="Simplified Arabic" w:cs="Simplified Arabic"/>
          <w:b/>
          <w:bCs/>
          <w:sz w:val="26"/>
          <w:szCs w:val="26"/>
          <w:rtl/>
        </w:rPr>
      </w:pPr>
      <w:r w:rsidRPr="008167FB">
        <w:rPr>
          <w:rFonts w:ascii="Simplified Arabic" w:hAnsi="Simplified Arabic" w:cs="Simplified Arabic"/>
          <w:sz w:val="26"/>
          <w:szCs w:val="26"/>
          <w:rtl/>
        </w:rPr>
        <w:t xml:space="preserve">يوجد </w:t>
      </w:r>
      <w:r w:rsidR="00FF1C54" w:rsidRPr="008167FB">
        <w:rPr>
          <w:rFonts w:ascii="Simplified Arabic" w:hAnsi="Simplified Arabic" w:cs="Simplified Arabic"/>
          <w:sz w:val="26"/>
          <w:szCs w:val="26"/>
          <w:rtl/>
        </w:rPr>
        <w:t>17</w:t>
      </w:r>
      <w:r w:rsidRPr="008167FB">
        <w:rPr>
          <w:rFonts w:ascii="Simplified Arabic" w:hAnsi="Simplified Arabic" w:cs="Simplified Arabic"/>
          <w:sz w:val="26"/>
          <w:szCs w:val="26"/>
          <w:rtl/>
        </w:rPr>
        <w:t xml:space="preserve"> </w:t>
      </w:r>
      <w:r w:rsidR="0008497B" w:rsidRPr="008167FB">
        <w:rPr>
          <w:rFonts w:ascii="Simplified Arabic" w:hAnsi="Simplified Arabic" w:cs="Simplified Arabic"/>
          <w:sz w:val="26"/>
          <w:szCs w:val="26"/>
          <w:rtl/>
        </w:rPr>
        <w:t>مسرح</w:t>
      </w:r>
      <w:r w:rsidRPr="008167FB">
        <w:rPr>
          <w:rFonts w:ascii="Simplified Arabic" w:hAnsi="Simplified Arabic" w:cs="Simplified Arabic"/>
          <w:sz w:val="26"/>
          <w:szCs w:val="26"/>
          <w:rtl/>
        </w:rPr>
        <w:t>ا</w:t>
      </w:r>
      <w:r w:rsidR="0008497B" w:rsidRPr="008167FB">
        <w:rPr>
          <w:rFonts w:ascii="Simplified Arabic" w:hAnsi="Simplified Arabic" w:cs="Simplified Arabic"/>
          <w:sz w:val="26"/>
          <w:szCs w:val="26"/>
          <w:rtl/>
        </w:rPr>
        <w:t xml:space="preserve"> عامل</w:t>
      </w:r>
      <w:r w:rsidRPr="008167FB">
        <w:rPr>
          <w:rFonts w:ascii="Simplified Arabic" w:hAnsi="Simplified Arabic" w:cs="Simplified Arabic"/>
          <w:sz w:val="26"/>
          <w:szCs w:val="26"/>
          <w:rtl/>
        </w:rPr>
        <w:t>اً</w:t>
      </w:r>
      <w:r w:rsidR="0008497B" w:rsidRPr="008167FB">
        <w:rPr>
          <w:rFonts w:ascii="Simplified Arabic" w:hAnsi="Simplified Arabic" w:cs="Simplified Arabic"/>
          <w:sz w:val="26"/>
          <w:szCs w:val="26"/>
          <w:rtl/>
        </w:rPr>
        <w:t xml:space="preserve"> في فلسطين عام </w:t>
      </w:r>
      <w:r w:rsidR="00C34104" w:rsidRPr="008167FB">
        <w:rPr>
          <w:rFonts w:ascii="Simplified Arabic" w:hAnsi="Simplified Arabic" w:cs="Simplified Arabic"/>
          <w:sz w:val="26"/>
          <w:szCs w:val="26"/>
        </w:rPr>
        <w:t>2022</w:t>
      </w:r>
      <w:r w:rsidR="0008497B" w:rsidRPr="008167FB">
        <w:rPr>
          <w:rFonts w:ascii="Simplified Arabic" w:hAnsi="Simplified Arabic" w:cs="Simplified Arabic"/>
          <w:sz w:val="26"/>
          <w:szCs w:val="26"/>
          <w:rtl/>
        </w:rPr>
        <w:t xml:space="preserve">، منها </w:t>
      </w:r>
      <w:r w:rsidR="00FF1C54" w:rsidRPr="008167FB">
        <w:rPr>
          <w:rFonts w:ascii="Simplified Arabic" w:hAnsi="Simplified Arabic" w:cs="Simplified Arabic"/>
          <w:sz w:val="26"/>
          <w:szCs w:val="26"/>
        </w:rPr>
        <w:t>14</w:t>
      </w:r>
      <w:r w:rsidR="0008497B" w:rsidRPr="008167FB">
        <w:rPr>
          <w:rFonts w:ascii="Simplified Arabic" w:hAnsi="Simplified Arabic" w:cs="Simplified Arabic"/>
          <w:sz w:val="26"/>
          <w:szCs w:val="26"/>
          <w:rtl/>
        </w:rPr>
        <w:t xml:space="preserve"> مسرحاً عاملاً في الضفة الغربية</w:t>
      </w:r>
      <w:r w:rsidR="00F64561" w:rsidRPr="008167FB">
        <w:rPr>
          <w:rFonts w:ascii="Simplified Arabic" w:hAnsi="Simplified Arabic" w:cs="Simplified Arabic"/>
          <w:sz w:val="26"/>
          <w:szCs w:val="26"/>
          <w:rtl/>
        </w:rPr>
        <w:t xml:space="preserve"> (</w:t>
      </w:r>
      <w:r w:rsidR="00C34104" w:rsidRPr="008167FB">
        <w:rPr>
          <w:rFonts w:ascii="Simplified Arabic" w:hAnsi="Simplified Arabic" w:cs="Simplified Arabic"/>
          <w:sz w:val="26"/>
          <w:szCs w:val="26"/>
          <w:rtl/>
        </w:rPr>
        <w:t>مسرحين</w:t>
      </w:r>
      <w:r w:rsidR="00F64561" w:rsidRPr="008167FB">
        <w:rPr>
          <w:rFonts w:ascii="Simplified Arabic" w:hAnsi="Simplified Arabic" w:cs="Simplified Arabic"/>
          <w:sz w:val="26"/>
          <w:szCs w:val="26"/>
          <w:rtl/>
        </w:rPr>
        <w:t xml:space="preserve"> رفض</w:t>
      </w:r>
      <w:r w:rsidR="00C34104" w:rsidRPr="008167FB">
        <w:rPr>
          <w:rFonts w:ascii="Simplified Arabic" w:hAnsi="Simplified Arabic" w:cs="Simplified Arabic"/>
          <w:sz w:val="26"/>
          <w:szCs w:val="26"/>
          <w:rtl/>
        </w:rPr>
        <w:t>ا</w:t>
      </w:r>
      <w:r w:rsidR="00F64561" w:rsidRPr="008167FB">
        <w:rPr>
          <w:rFonts w:ascii="Simplified Arabic" w:hAnsi="Simplified Arabic" w:cs="Simplified Arabic"/>
          <w:sz w:val="26"/>
          <w:szCs w:val="26"/>
          <w:rtl/>
        </w:rPr>
        <w:t xml:space="preserve"> الإدلاء بالبيانات)</w:t>
      </w:r>
      <w:r w:rsidR="0008497B" w:rsidRPr="008167FB">
        <w:rPr>
          <w:rFonts w:ascii="Simplified Arabic" w:hAnsi="Simplified Arabic" w:cs="Simplified Arabic"/>
          <w:sz w:val="26"/>
          <w:szCs w:val="26"/>
          <w:rtl/>
        </w:rPr>
        <w:t>، و3 مسارح في قطاع غزة</w:t>
      </w:r>
      <w:r w:rsidR="00BB4E42" w:rsidRPr="008167FB">
        <w:rPr>
          <w:rFonts w:ascii="Simplified Arabic" w:hAnsi="Simplified Arabic" w:cs="Simplified Arabic"/>
          <w:sz w:val="26"/>
          <w:szCs w:val="26"/>
          <w:rtl/>
        </w:rPr>
        <w:t xml:space="preserve"> عاملة ولكنها لم تمارس نشاطاً خلال العام 2022.</w:t>
      </w:r>
      <w:r w:rsidR="0008497B" w:rsidRPr="008167FB">
        <w:rPr>
          <w:rFonts w:ascii="Simplified Arabic" w:hAnsi="Simplified Arabic" w:cs="Simplified Arabic"/>
          <w:b/>
          <w:bCs/>
          <w:sz w:val="26"/>
          <w:szCs w:val="26"/>
          <w:rtl/>
        </w:rPr>
        <w:t xml:space="preserve"> </w:t>
      </w:r>
    </w:p>
    <w:p w:rsidR="00210D04" w:rsidRPr="008167FB" w:rsidRDefault="00210D04" w:rsidP="00240B84">
      <w:pPr>
        <w:tabs>
          <w:tab w:val="left" w:pos="-1"/>
        </w:tabs>
        <w:bidi/>
        <w:ind w:right="-1"/>
        <w:jc w:val="both"/>
        <w:rPr>
          <w:rFonts w:ascii="Simplified Arabic" w:hAnsi="Simplified Arabic" w:cs="Simplified Arabic"/>
          <w:color w:val="FF0000"/>
          <w:sz w:val="16"/>
          <w:szCs w:val="16"/>
        </w:rPr>
      </w:pPr>
    </w:p>
    <w:p w:rsidR="000E0705" w:rsidRPr="008167FB" w:rsidRDefault="00D25B64" w:rsidP="00DE3025">
      <w:pPr>
        <w:bidi/>
        <w:jc w:val="both"/>
        <w:rPr>
          <w:rFonts w:ascii="Simplified Arabic" w:hAnsi="Simplified Arabic" w:cs="Simplified Arabic"/>
          <w:sz w:val="26"/>
          <w:szCs w:val="26"/>
          <w:rtl/>
        </w:rPr>
      </w:pPr>
      <w:r w:rsidRPr="008167FB">
        <w:rPr>
          <w:rFonts w:ascii="Simplified Arabic" w:hAnsi="Simplified Arabic" w:cs="Simplified Arabic"/>
          <w:sz w:val="26"/>
          <w:szCs w:val="26"/>
          <w:rtl/>
        </w:rPr>
        <w:t xml:space="preserve">عرضت </w:t>
      </w:r>
      <w:r w:rsidR="00BB4E42" w:rsidRPr="008167FB">
        <w:rPr>
          <w:rFonts w:ascii="Simplified Arabic" w:hAnsi="Simplified Arabic" w:cs="Simplified Arabic"/>
          <w:sz w:val="26"/>
          <w:szCs w:val="26"/>
          <w:rtl/>
        </w:rPr>
        <w:t>346</w:t>
      </w:r>
      <w:r w:rsidRPr="008167FB">
        <w:rPr>
          <w:rFonts w:ascii="Simplified Arabic" w:hAnsi="Simplified Arabic" w:cs="Simplified Arabic"/>
          <w:sz w:val="26"/>
          <w:szCs w:val="26"/>
          <w:rtl/>
        </w:rPr>
        <w:t xml:space="preserve"> </w:t>
      </w:r>
      <w:r w:rsidR="0008497B" w:rsidRPr="008167FB">
        <w:rPr>
          <w:rFonts w:ascii="Simplified Arabic" w:hAnsi="Simplified Arabic" w:cs="Simplified Arabic"/>
          <w:sz w:val="26"/>
          <w:szCs w:val="26"/>
          <w:rtl/>
        </w:rPr>
        <w:t xml:space="preserve">مسرحية في </w:t>
      </w:r>
      <w:r w:rsidR="00F525BF" w:rsidRPr="008167FB">
        <w:rPr>
          <w:rFonts w:ascii="Simplified Arabic" w:hAnsi="Simplified Arabic" w:cs="Simplified Arabic"/>
          <w:sz w:val="26"/>
          <w:szCs w:val="26"/>
          <w:rtl/>
        </w:rPr>
        <w:t>مسارح</w:t>
      </w:r>
      <w:r w:rsidR="0008497B" w:rsidRPr="008167FB">
        <w:rPr>
          <w:rFonts w:ascii="Simplified Arabic" w:hAnsi="Simplified Arabic" w:cs="Simplified Arabic"/>
          <w:sz w:val="26"/>
          <w:szCs w:val="26"/>
          <w:rtl/>
        </w:rPr>
        <w:t xml:space="preserve"> </w:t>
      </w:r>
      <w:r w:rsidR="00BB4E42" w:rsidRPr="008167FB">
        <w:rPr>
          <w:rFonts w:ascii="Simplified Arabic" w:hAnsi="Simplified Arabic" w:cs="Simplified Arabic"/>
          <w:sz w:val="26"/>
          <w:szCs w:val="26"/>
          <w:rtl/>
        </w:rPr>
        <w:t>الضفة الغربية</w:t>
      </w:r>
      <w:r w:rsidR="0008497B" w:rsidRPr="008167FB">
        <w:rPr>
          <w:rFonts w:ascii="Simplified Arabic" w:hAnsi="Simplified Arabic" w:cs="Simplified Arabic"/>
          <w:sz w:val="26"/>
          <w:szCs w:val="26"/>
          <w:rtl/>
        </w:rPr>
        <w:t xml:space="preserve"> عام </w:t>
      </w:r>
      <w:r w:rsidR="00BB4E42" w:rsidRPr="008167FB">
        <w:rPr>
          <w:rFonts w:ascii="Simplified Arabic" w:hAnsi="Simplified Arabic" w:cs="Simplified Arabic"/>
          <w:sz w:val="26"/>
          <w:szCs w:val="26"/>
        </w:rPr>
        <w:t>2022</w:t>
      </w:r>
      <w:r w:rsidR="00DE3025" w:rsidRPr="008167FB">
        <w:rPr>
          <w:rFonts w:ascii="Simplified Arabic" w:hAnsi="Simplified Arabic" w:cs="Simplified Arabic"/>
          <w:sz w:val="26"/>
          <w:szCs w:val="26"/>
          <w:rtl/>
        </w:rPr>
        <w:t>،</w:t>
      </w:r>
      <w:r w:rsidR="0008497B" w:rsidRPr="008167FB">
        <w:rPr>
          <w:rFonts w:ascii="Simplified Arabic" w:hAnsi="Simplified Arabic" w:cs="Simplified Arabic"/>
          <w:sz w:val="26"/>
          <w:szCs w:val="26"/>
          <w:rtl/>
        </w:rPr>
        <w:t xml:space="preserve"> </w:t>
      </w:r>
      <w:r w:rsidR="00BB4E42" w:rsidRPr="008167FB">
        <w:rPr>
          <w:rFonts w:ascii="Simplified Arabic" w:hAnsi="Simplified Arabic" w:cs="Simplified Arabic"/>
          <w:sz w:val="26"/>
          <w:szCs w:val="26"/>
          <w:rtl/>
        </w:rPr>
        <w:t xml:space="preserve">في حين لم تعرض المسارح في قطاع غزة أية </w:t>
      </w:r>
      <w:r w:rsidR="00105244" w:rsidRPr="008167FB">
        <w:rPr>
          <w:rFonts w:ascii="Simplified Arabic" w:hAnsi="Simplified Arabic" w:cs="Simplified Arabic"/>
          <w:sz w:val="26"/>
          <w:szCs w:val="26"/>
          <w:rtl/>
        </w:rPr>
        <w:t>مسرحية</w:t>
      </w:r>
      <w:r w:rsidR="00BB4E42" w:rsidRPr="008167FB">
        <w:rPr>
          <w:rFonts w:ascii="Simplified Arabic" w:hAnsi="Simplified Arabic" w:cs="Simplified Arabic"/>
          <w:sz w:val="26"/>
          <w:szCs w:val="26"/>
          <w:rtl/>
        </w:rPr>
        <w:t xml:space="preserve"> خلال نفس العام</w:t>
      </w:r>
      <w:r w:rsidR="0008497B" w:rsidRPr="008167FB">
        <w:rPr>
          <w:rFonts w:ascii="Simplified Arabic" w:hAnsi="Simplified Arabic" w:cs="Simplified Arabic"/>
          <w:sz w:val="26"/>
          <w:szCs w:val="26"/>
          <w:rtl/>
        </w:rPr>
        <w:t xml:space="preserve">. </w:t>
      </w:r>
    </w:p>
    <w:p w:rsidR="0008497B" w:rsidRPr="008167FB" w:rsidRDefault="008D40C7" w:rsidP="008D40C7">
      <w:pPr>
        <w:bidi/>
        <w:jc w:val="both"/>
        <w:rPr>
          <w:rFonts w:ascii="Simplified Arabic" w:hAnsi="Simplified Arabic" w:cs="Simplified Arabic"/>
          <w:sz w:val="26"/>
          <w:szCs w:val="26"/>
        </w:rPr>
      </w:pPr>
      <w:r w:rsidRPr="008167FB">
        <w:rPr>
          <w:rFonts w:ascii="Simplified Arabic" w:hAnsi="Simplified Arabic" w:cs="Simplified Arabic"/>
          <w:sz w:val="26"/>
          <w:szCs w:val="26"/>
          <w:rtl/>
        </w:rPr>
        <w:t>تم عرض 201</w:t>
      </w:r>
      <w:r w:rsidR="0008497B" w:rsidRPr="008167FB">
        <w:rPr>
          <w:rFonts w:ascii="Simplified Arabic" w:hAnsi="Simplified Arabic" w:cs="Simplified Arabic"/>
          <w:sz w:val="26"/>
          <w:szCs w:val="26"/>
          <w:rtl/>
        </w:rPr>
        <w:t xml:space="preserve"> </w:t>
      </w:r>
      <w:r w:rsidR="005A3F21" w:rsidRPr="008167FB">
        <w:rPr>
          <w:rFonts w:ascii="Simplified Arabic" w:hAnsi="Simplified Arabic" w:cs="Simplified Arabic"/>
          <w:sz w:val="26"/>
          <w:szCs w:val="26"/>
          <w:rtl/>
        </w:rPr>
        <w:t>مسرحية للأطفال</w:t>
      </w:r>
      <w:r w:rsidR="0008497B" w:rsidRPr="008167FB">
        <w:rPr>
          <w:rFonts w:ascii="Simplified Arabic" w:hAnsi="Simplified Arabic" w:cs="Simplified Arabic"/>
          <w:sz w:val="26"/>
          <w:szCs w:val="26"/>
          <w:rtl/>
        </w:rPr>
        <w:t xml:space="preserve"> </w:t>
      </w:r>
      <w:r w:rsidR="00F85C03" w:rsidRPr="008167FB">
        <w:rPr>
          <w:rFonts w:ascii="Simplified Arabic" w:hAnsi="Simplified Arabic" w:cs="Simplified Arabic"/>
          <w:sz w:val="26"/>
          <w:szCs w:val="26"/>
          <w:rtl/>
        </w:rPr>
        <w:t>و</w:t>
      </w:r>
      <w:r w:rsidR="00BB4E42" w:rsidRPr="008167FB">
        <w:rPr>
          <w:rFonts w:ascii="Simplified Arabic" w:hAnsi="Simplified Arabic" w:cs="Simplified Arabic"/>
          <w:sz w:val="26"/>
          <w:szCs w:val="26"/>
          <w:rtl/>
        </w:rPr>
        <w:t>84</w:t>
      </w:r>
      <w:r w:rsidR="005A3F21" w:rsidRPr="008167FB">
        <w:rPr>
          <w:rFonts w:ascii="Simplified Arabic" w:hAnsi="Simplified Arabic" w:cs="Simplified Arabic"/>
          <w:sz w:val="26"/>
          <w:szCs w:val="26"/>
          <w:rtl/>
        </w:rPr>
        <w:t xml:space="preserve"> مسرح</w:t>
      </w:r>
      <w:r w:rsidR="00BB4E42" w:rsidRPr="008167FB">
        <w:rPr>
          <w:rFonts w:ascii="Simplified Arabic" w:hAnsi="Simplified Arabic" w:cs="Simplified Arabic"/>
          <w:sz w:val="26"/>
          <w:szCs w:val="26"/>
          <w:rtl/>
        </w:rPr>
        <w:t>ية</w:t>
      </w:r>
      <w:r w:rsidR="0008497B" w:rsidRPr="008167FB">
        <w:rPr>
          <w:rFonts w:ascii="Simplified Arabic" w:hAnsi="Simplified Arabic" w:cs="Simplified Arabic"/>
          <w:sz w:val="26"/>
          <w:szCs w:val="26"/>
          <w:rtl/>
        </w:rPr>
        <w:t xml:space="preserve"> عرضت ل</w:t>
      </w:r>
      <w:r w:rsidR="005A3F21" w:rsidRPr="008167FB">
        <w:rPr>
          <w:rFonts w:ascii="Simplified Arabic" w:hAnsi="Simplified Arabic" w:cs="Simplified Arabic"/>
          <w:sz w:val="26"/>
          <w:szCs w:val="26"/>
          <w:rtl/>
        </w:rPr>
        <w:t>لكبار</w:t>
      </w:r>
      <w:r w:rsidR="0008497B" w:rsidRPr="008167FB">
        <w:rPr>
          <w:rFonts w:ascii="Simplified Arabic" w:hAnsi="Simplified Arabic" w:cs="Simplified Arabic"/>
          <w:sz w:val="26"/>
          <w:szCs w:val="26"/>
          <w:rtl/>
        </w:rPr>
        <w:t xml:space="preserve"> في حين </w:t>
      </w:r>
      <w:r w:rsidR="005A3F21" w:rsidRPr="008167FB">
        <w:rPr>
          <w:rFonts w:ascii="Simplified Arabic" w:hAnsi="Simplified Arabic" w:cs="Simplified Arabic"/>
          <w:sz w:val="26"/>
          <w:szCs w:val="26"/>
          <w:rtl/>
        </w:rPr>
        <w:t xml:space="preserve">أن </w:t>
      </w:r>
      <w:r w:rsidR="00BB4E42" w:rsidRPr="008167FB">
        <w:rPr>
          <w:rFonts w:ascii="Simplified Arabic" w:hAnsi="Simplified Arabic" w:cs="Simplified Arabic"/>
          <w:sz w:val="26"/>
          <w:szCs w:val="26"/>
          <w:rtl/>
        </w:rPr>
        <w:t>61</w:t>
      </w:r>
      <w:r w:rsidR="005A3F21" w:rsidRPr="008167FB">
        <w:rPr>
          <w:rFonts w:ascii="Simplified Arabic" w:hAnsi="Simplified Arabic" w:cs="Simplified Arabic"/>
          <w:sz w:val="26"/>
          <w:szCs w:val="26"/>
          <w:rtl/>
        </w:rPr>
        <w:t xml:space="preserve"> مسرحية</w:t>
      </w:r>
      <w:r w:rsidR="0008497B" w:rsidRPr="008167FB">
        <w:rPr>
          <w:rFonts w:ascii="Simplified Arabic" w:hAnsi="Simplified Arabic" w:cs="Simplified Arabic"/>
          <w:sz w:val="26"/>
          <w:szCs w:val="26"/>
          <w:rtl/>
        </w:rPr>
        <w:t xml:space="preserve"> عرضت للأطفال والكبار</w:t>
      </w:r>
      <w:r w:rsidR="005D79C8" w:rsidRPr="008167FB">
        <w:rPr>
          <w:rFonts w:ascii="Simplified Arabic" w:hAnsi="Simplified Arabic" w:cs="Simplified Arabic"/>
          <w:sz w:val="26"/>
          <w:szCs w:val="26"/>
          <w:rtl/>
        </w:rPr>
        <w:t xml:space="preserve"> معاً</w:t>
      </w:r>
      <w:r w:rsidR="0008497B" w:rsidRPr="008167FB">
        <w:rPr>
          <w:rFonts w:ascii="Simplified Arabic" w:hAnsi="Simplified Arabic" w:cs="Simplified Arabic"/>
          <w:sz w:val="26"/>
          <w:szCs w:val="26"/>
          <w:rtl/>
        </w:rPr>
        <w:t>.</w:t>
      </w:r>
      <w:r w:rsidR="0008497B" w:rsidRPr="008167FB">
        <w:rPr>
          <w:rFonts w:ascii="Simplified Arabic" w:hAnsi="Simplified Arabic" w:cs="Simplified Arabic"/>
          <w:color w:val="FF0000"/>
          <w:sz w:val="26"/>
          <w:szCs w:val="26"/>
          <w:rtl/>
        </w:rPr>
        <w:t xml:space="preserve"> </w:t>
      </w:r>
      <w:r w:rsidR="0008497B" w:rsidRPr="008167FB">
        <w:rPr>
          <w:rFonts w:ascii="Simplified Arabic" w:hAnsi="Simplified Arabic" w:cs="Simplified Arabic"/>
          <w:sz w:val="26"/>
          <w:szCs w:val="26"/>
          <w:rtl/>
        </w:rPr>
        <w:t>أما بخصوص</w:t>
      </w:r>
      <w:r w:rsidR="00671203" w:rsidRPr="008167FB">
        <w:rPr>
          <w:rFonts w:ascii="Simplified Arabic" w:hAnsi="Simplified Arabic" w:cs="Simplified Arabic"/>
          <w:sz w:val="26"/>
          <w:szCs w:val="26"/>
          <w:rtl/>
        </w:rPr>
        <w:t xml:space="preserve"> عدد</w:t>
      </w:r>
      <w:r w:rsidR="0008497B" w:rsidRPr="008167FB">
        <w:rPr>
          <w:rFonts w:ascii="Simplified Arabic" w:hAnsi="Simplified Arabic" w:cs="Simplified Arabic"/>
          <w:sz w:val="26"/>
          <w:szCs w:val="26"/>
          <w:rtl/>
        </w:rPr>
        <w:t xml:space="preserve"> المشاهدين للمسرحيات فقد بلغ </w:t>
      </w:r>
      <w:r w:rsidR="00701914" w:rsidRPr="008167FB">
        <w:rPr>
          <w:rFonts w:ascii="Simplified Arabic" w:hAnsi="Simplified Arabic" w:cs="Simplified Arabic"/>
          <w:sz w:val="26"/>
          <w:szCs w:val="26"/>
          <w:rtl/>
        </w:rPr>
        <w:t xml:space="preserve">عددهم </w:t>
      </w:r>
      <w:r w:rsidR="0008497B" w:rsidRPr="008167FB">
        <w:rPr>
          <w:rFonts w:ascii="Simplified Arabic" w:hAnsi="Simplified Arabic" w:cs="Simplified Arabic"/>
          <w:sz w:val="26"/>
          <w:szCs w:val="26"/>
          <w:rtl/>
        </w:rPr>
        <w:t xml:space="preserve">حوالي </w:t>
      </w:r>
      <w:r w:rsidR="00991A1B" w:rsidRPr="008167FB">
        <w:rPr>
          <w:rFonts w:ascii="Simplified Arabic" w:hAnsi="Simplified Arabic" w:cs="Simplified Arabic"/>
          <w:sz w:val="26"/>
          <w:szCs w:val="26"/>
          <w:rtl/>
        </w:rPr>
        <w:t>43</w:t>
      </w:r>
      <w:r w:rsidR="0008497B" w:rsidRPr="008167FB">
        <w:rPr>
          <w:rFonts w:ascii="Simplified Arabic" w:hAnsi="Simplified Arabic" w:cs="Simplified Arabic"/>
          <w:sz w:val="26"/>
          <w:szCs w:val="26"/>
          <w:rtl/>
        </w:rPr>
        <w:t xml:space="preserve"> ألف مشاهد</w:t>
      </w:r>
      <w:r w:rsidR="007A2405" w:rsidRPr="008167FB">
        <w:rPr>
          <w:rFonts w:ascii="Simplified Arabic" w:hAnsi="Simplified Arabic" w:cs="Simplified Arabic"/>
          <w:sz w:val="26"/>
          <w:szCs w:val="26"/>
          <w:rtl/>
        </w:rPr>
        <w:t xml:space="preserve"> ومشاهدة</w:t>
      </w:r>
      <w:r w:rsidR="0008497B" w:rsidRPr="008167FB">
        <w:rPr>
          <w:rFonts w:ascii="Simplified Arabic" w:hAnsi="Simplified Arabic" w:cs="Simplified Arabic"/>
          <w:sz w:val="26"/>
          <w:szCs w:val="26"/>
          <w:rtl/>
        </w:rPr>
        <w:t xml:space="preserve">، وقد بلغ أعلى عدد للمشاهدين في شهر </w:t>
      </w:r>
      <w:r w:rsidR="00886522" w:rsidRPr="008167FB">
        <w:rPr>
          <w:rFonts w:ascii="Simplified Arabic" w:hAnsi="Simplified Arabic" w:cs="Simplified Arabic"/>
          <w:sz w:val="26"/>
          <w:szCs w:val="26"/>
          <w:rtl/>
        </w:rPr>
        <w:t>آب</w:t>
      </w:r>
      <w:r w:rsidR="0008497B" w:rsidRPr="008167FB">
        <w:rPr>
          <w:rFonts w:ascii="Simplified Arabic" w:hAnsi="Simplified Arabic" w:cs="Simplified Arabic"/>
          <w:sz w:val="26"/>
          <w:szCs w:val="26"/>
          <w:rtl/>
        </w:rPr>
        <w:t xml:space="preserve"> حيث بلغ عددهم حوالي </w:t>
      </w:r>
      <w:r w:rsidR="002A49D0" w:rsidRPr="008167FB">
        <w:rPr>
          <w:rFonts w:ascii="Simplified Arabic" w:hAnsi="Simplified Arabic" w:cs="Simplified Arabic"/>
          <w:sz w:val="26"/>
          <w:szCs w:val="26"/>
          <w:rtl/>
        </w:rPr>
        <w:t>8</w:t>
      </w:r>
      <w:r w:rsidR="0008497B" w:rsidRPr="008167FB">
        <w:rPr>
          <w:rFonts w:ascii="Simplified Arabic" w:hAnsi="Simplified Arabic" w:cs="Simplified Arabic"/>
          <w:sz w:val="26"/>
          <w:szCs w:val="26"/>
          <w:rtl/>
        </w:rPr>
        <w:t xml:space="preserve"> </w:t>
      </w:r>
      <w:r w:rsidR="00886522" w:rsidRPr="008167FB">
        <w:rPr>
          <w:rFonts w:ascii="Simplified Arabic" w:hAnsi="Simplified Arabic" w:cs="Simplified Arabic"/>
          <w:sz w:val="26"/>
          <w:szCs w:val="26"/>
          <w:rtl/>
        </w:rPr>
        <w:t>آلاف</w:t>
      </w:r>
      <w:r w:rsidR="0008497B" w:rsidRPr="008167FB">
        <w:rPr>
          <w:rFonts w:ascii="Simplified Arabic" w:hAnsi="Simplified Arabic" w:cs="Simplified Arabic"/>
          <w:sz w:val="26"/>
          <w:szCs w:val="26"/>
          <w:rtl/>
        </w:rPr>
        <w:t xml:space="preserve"> مشاهد، </w:t>
      </w:r>
      <w:r w:rsidR="0038058A" w:rsidRPr="008167FB">
        <w:rPr>
          <w:rFonts w:ascii="Simplified Arabic" w:hAnsi="Simplified Arabic" w:cs="Simplified Arabic"/>
          <w:sz w:val="26"/>
          <w:szCs w:val="26"/>
          <w:rtl/>
        </w:rPr>
        <w:t>في حين</w:t>
      </w:r>
      <w:r w:rsidR="00F657CB" w:rsidRPr="008167FB">
        <w:rPr>
          <w:rFonts w:ascii="Simplified Arabic" w:hAnsi="Simplified Arabic" w:cs="Simplified Arabic"/>
          <w:sz w:val="26"/>
          <w:szCs w:val="26"/>
          <w:rtl/>
        </w:rPr>
        <w:t xml:space="preserve"> </w:t>
      </w:r>
      <w:r w:rsidR="007A2405" w:rsidRPr="008167FB">
        <w:rPr>
          <w:rFonts w:ascii="Simplified Arabic" w:hAnsi="Simplified Arabic" w:cs="Simplified Arabic"/>
          <w:sz w:val="26"/>
          <w:szCs w:val="26"/>
          <w:rtl/>
        </w:rPr>
        <w:t>كان</w:t>
      </w:r>
      <w:r w:rsidR="00F657CB" w:rsidRPr="008167FB">
        <w:rPr>
          <w:rFonts w:ascii="Simplified Arabic" w:hAnsi="Simplified Arabic" w:cs="Simplified Arabic"/>
          <w:sz w:val="26"/>
          <w:szCs w:val="26"/>
          <w:rtl/>
        </w:rPr>
        <w:t xml:space="preserve"> أدنى عدد للمشاهدين في شهر </w:t>
      </w:r>
      <w:r w:rsidR="00CA6962" w:rsidRPr="008167FB">
        <w:rPr>
          <w:rFonts w:ascii="Simplified Arabic" w:hAnsi="Simplified Arabic" w:cs="Simplified Arabic"/>
          <w:sz w:val="26"/>
          <w:szCs w:val="26"/>
          <w:rtl/>
        </w:rPr>
        <w:t>نيسان</w:t>
      </w:r>
      <w:r w:rsidR="00F657CB" w:rsidRPr="008167FB">
        <w:rPr>
          <w:rFonts w:ascii="Simplified Arabic" w:hAnsi="Simplified Arabic" w:cs="Simplified Arabic"/>
          <w:sz w:val="26"/>
          <w:szCs w:val="26"/>
          <w:rtl/>
        </w:rPr>
        <w:t xml:space="preserve"> حيث بلغ حوالي ألف مشاهد</w:t>
      </w:r>
      <w:r w:rsidR="007A2405" w:rsidRPr="008167FB">
        <w:rPr>
          <w:rFonts w:ascii="Simplified Arabic" w:hAnsi="Simplified Arabic" w:cs="Simplified Arabic"/>
          <w:sz w:val="26"/>
          <w:szCs w:val="26"/>
          <w:rtl/>
        </w:rPr>
        <w:t xml:space="preserve"> ومشاهدة</w:t>
      </w:r>
      <w:r w:rsidR="009868DE" w:rsidRPr="008167FB">
        <w:rPr>
          <w:rFonts w:ascii="Simplified Arabic" w:hAnsi="Simplified Arabic" w:cs="Simplified Arabic"/>
          <w:sz w:val="26"/>
          <w:szCs w:val="26"/>
          <w:rtl/>
        </w:rPr>
        <w:t>.</w:t>
      </w:r>
      <w:r w:rsidR="0008497B" w:rsidRPr="008167FB">
        <w:rPr>
          <w:rFonts w:ascii="Simplified Arabic" w:hAnsi="Simplified Arabic" w:cs="Simplified Arabic"/>
          <w:sz w:val="26"/>
          <w:szCs w:val="26"/>
          <w:rtl/>
        </w:rPr>
        <w:t xml:space="preserve"> </w:t>
      </w:r>
      <w:r w:rsidR="00F31B62" w:rsidRPr="008167FB">
        <w:rPr>
          <w:rFonts w:ascii="Simplified Arabic" w:hAnsi="Simplified Arabic" w:cs="Simplified Arabic"/>
          <w:sz w:val="26"/>
          <w:szCs w:val="26"/>
          <w:rtl/>
        </w:rPr>
        <w:t xml:space="preserve">في حين بلغ عدد المسرحيات المعروضة </w:t>
      </w:r>
      <w:r w:rsidR="00D41F4F" w:rsidRPr="008167FB">
        <w:rPr>
          <w:rFonts w:ascii="Simplified Arabic" w:hAnsi="Simplified Arabic" w:cs="Simplified Arabic"/>
          <w:sz w:val="26"/>
          <w:szCs w:val="26"/>
          <w:rtl/>
        </w:rPr>
        <w:t xml:space="preserve">في فلسطين </w:t>
      </w:r>
      <w:r w:rsidR="009868DE" w:rsidRPr="008167FB">
        <w:rPr>
          <w:rFonts w:ascii="Simplified Arabic" w:hAnsi="Simplified Arabic" w:cs="Simplified Arabic"/>
          <w:sz w:val="26"/>
          <w:szCs w:val="26"/>
        </w:rPr>
        <w:t>370</w:t>
      </w:r>
      <w:r w:rsidR="00F31B62" w:rsidRPr="008167FB">
        <w:rPr>
          <w:rFonts w:ascii="Simplified Arabic" w:hAnsi="Simplified Arabic" w:cs="Simplified Arabic"/>
          <w:sz w:val="26"/>
          <w:szCs w:val="26"/>
          <w:rtl/>
        </w:rPr>
        <w:t xml:space="preserve"> مسرحية </w:t>
      </w:r>
      <w:r w:rsidR="00671203" w:rsidRPr="008167FB">
        <w:rPr>
          <w:rFonts w:ascii="Simplified Arabic" w:hAnsi="Simplified Arabic" w:cs="Simplified Arabic"/>
          <w:sz w:val="26"/>
          <w:szCs w:val="26"/>
          <w:rtl/>
        </w:rPr>
        <w:t>خلال</w:t>
      </w:r>
      <w:r w:rsidR="00F31B62" w:rsidRPr="008167FB">
        <w:rPr>
          <w:rFonts w:ascii="Simplified Arabic" w:hAnsi="Simplified Arabic" w:cs="Simplified Arabic"/>
          <w:sz w:val="26"/>
          <w:szCs w:val="26"/>
          <w:rtl/>
        </w:rPr>
        <w:t xml:space="preserve"> العام </w:t>
      </w:r>
      <w:r w:rsidR="009868DE" w:rsidRPr="008167FB">
        <w:rPr>
          <w:rFonts w:ascii="Simplified Arabic" w:hAnsi="Simplified Arabic" w:cs="Simplified Arabic"/>
          <w:sz w:val="26"/>
          <w:szCs w:val="26"/>
          <w:rtl/>
        </w:rPr>
        <w:t>2021</w:t>
      </w:r>
      <w:r w:rsidR="00F31B62" w:rsidRPr="008167FB">
        <w:rPr>
          <w:rFonts w:ascii="Simplified Arabic" w:hAnsi="Simplified Arabic" w:cs="Simplified Arabic"/>
          <w:sz w:val="26"/>
          <w:szCs w:val="26"/>
          <w:rtl/>
        </w:rPr>
        <w:t xml:space="preserve"> وبلغ عدد المشاهدين للمسرحيات حوالي </w:t>
      </w:r>
      <w:r w:rsidR="009868DE" w:rsidRPr="008167FB">
        <w:rPr>
          <w:rFonts w:ascii="Simplified Arabic" w:hAnsi="Simplified Arabic" w:cs="Simplified Arabic"/>
          <w:sz w:val="26"/>
          <w:szCs w:val="26"/>
          <w:rtl/>
        </w:rPr>
        <w:t xml:space="preserve">33 </w:t>
      </w:r>
      <w:r w:rsidR="00F31B62" w:rsidRPr="008167FB">
        <w:rPr>
          <w:rFonts w:ascii="Simplified Arabic" w:hAnsi="Simplified Arabic" w:cs="Simplified Arabic"/>
          <w:sz w:val="26"/>
          <w:szCs w:val="26"/>
          <w:rtl/>
        </w:rPr>
        <w:t>ألف مشاهد</w:t>
      </w:r>
      <w:r w:rsidR="00FE1127" w:rsidRPr="008167FB">
        <w:rPr>
          <w:rFonts w:ascii="Simplified Arabic" w:hAnsi="Simplified Arabic" w:cs="Simplified Arabic"/>
          <w:sz w:val="26"/>
          <w:szCs w:val="26"/>
          <w:rtl/>
        </w:rPr>
        <w:t xml:space="preserve"> ومشاهدة</w:t>
      </w:r>
      <w:r w:rsidR="00F31B62" w:rsidRPr="008167FB">
        <w:rPr>
          <w:rFonts w:ascii="Simplified Arabic" w:hAnsi="Simplified Arabic" w:cs="Simplified Arabic"/>
          <w:sz w:val="26"/>
          <w:szCs w:val="26"/>
          <w:rtl/>
        </w:rPr>
        <w:t xml:space="preserve"> لنفس العام.</w:t>
      </w:r>
    </w:p>
    <w:p w:rsidR="004B29A0" w:rsidRDefault="004B29A0" w:rsidP="00FF0931">
      <w:pPr>
        <w:bidi/>
        <w:jc w:val="both"/>
        <w:rPr>
          <w:rFonts w:ascii="Simplified Arabic" w:hAnsi="Simplified Arabic" w:cs="Simplified Arabic"/>
          <w:b/>
          <w:bCs/>
          <w:sz w:val="28"/>
          <w:szCs w:val="28"/>
          <w:rtl/>
          <w:lang w:bidi="ar-JO"/>
        </w:rPr>
      </w:pPr>
    </w:p>
    <w:p w:rsidR="00365E76" w:rsidRDefault="00365E76" w:rsidP="004B29A0">
      <w:pPr>
        <w:bidi/>
        <w:jc w:val="both"/>
        <w:rPr>
          <w:rFonts w:ascii="Simplified Arabic" w:hAnsi="Simplified Arabic" w:cs="Simplified Arabic"/>
          <w:b/>
          <w:bCs/>
          <w:sz w:val="28"/>
          <w:szCs w:val="28"/>
          <w:rtl/>
          <w:lang w:bidi="ar-JO"/>
        </w:rPr>
      </w:pPr>
    </w:p>
    <w:p w:rsidR="005A0F99" w:rsidRPr="004B29A0" w:rsidRDefault="005A0F99" w:rsidP="00365E76">
      <w:pPr>
        <w:bidi/>
        <w:jc w:val="both"/>
        <w:rPr>
          <w:rFonts w:ascii="Simplified Arabic" w:hAnsi="Simplified Arabic" w:cs="Simplified Arabic"/>
          <w:b/>
          <w:bCs/>
          <w:sz w:val="28"/>
          <w:szCs w:val="28"/>
          <w:rtl/>
          <w:lang w:bidi="ar-JO"/>
        </w:rPr>
      </w:pPr>
      <w:r w:rsidRPr="004B29A0">
        <w:rPr>
          <w:rFonts w:ascii="Simplified Arabic" w:hAnsi="Simplified Arabic" w:cs="Simplified Arabic"/>
          <w:b/>
          <w:bCs/>
          <w:sz w:val="28"/>
          <w:szCs w:val="28"/>
          <w:rtl/>
          <w:lang w:bidi="ar-JO"/>
        </w:rPr>
        <w:t>مساهمة وزارة الثقافة في دعم الأنشطة الثقافية</w:t>
      </w:r>
      <w:r w:rsidR="009F7512" w:rsidRPr="004B29A0">
        <w:rPr>
          <w:rFonts w:ascii="Simplified Arabic" w:hAnsi="Simplified Arabic" w:cs="Simplified Arabic"/>
          <w:b/>
          <w:bCs/>
          <w:sz w:val="28"/>
          <w:szCs w:val="28"/>
          <w:rtl/>
          <w:lang w:bidi="ar-JO"/>
        </w:rPr>
        <w:t xml:space="preserve"> في العام </w:t>
      </w:r>
      <w:r w:rsidR="00FF0931" w:rsidRPr="004B29A0">
        <w:rPr>
          <w:rFonts w:ascii="Simplified Arabic" w:hAnsi="Simplified Arabic" w:cs="Simplified Arabic"/>
          <w:b/>
          <w:bCs/>
          <w:sz w:val="28"/>
          <w:szCs w:val="28"/>
          <w:rtl/>
          <w:lang w:bidi="ar-JO"/>
        </w:rPr>
        <w:t>2022</w:t>
      </w:r>
    </w:p>
    <w:p w:rsidR="00E5735D" w:rsidRPr="008167FB" w:rsidRDefault="00E5735D" w:rsidP="00E5735D">
      <w:pPr>
        <w:tabs>
          <w:tab w:val="left" w:pos="-1"/>
        </w:tabs>
        <w:bidi/>
        <w:ind w:right="-1" w:firstLine="1"/>
        <w:jc w:val="both"/>
        <w:rPr>
          <w:rFonts w:ascii="Simplified Arabic" w:hAnsi="Simplified Arabic" w:cs="Simplified Arabic"/>
          <w:sz w:val="26"/>
          <w:szCs w:val="26"/>
        </w:rPr>
      </w:pPr>
      <w:r w:rsidRPr="008167FB">
        <w:rPr>
          <w:rFonts w:ascii="Simplified Arabic" w:hAnsi="Simplified Arabic" w:cs="Simplified Arabic"/>
          <w:sz w:val="26"/>
          <w:szCs w:val="26"/>
          <w:rtl/>
        </w:rPr>
        <w:t>أطلقت وزارة الثقافة خلال العام 2022 برنامج "ويكي فلسطين" و"كود الذاكرة" لحفظ وتوثيق الرواية الفلسطينية، من خلال المحتوى الرقمي،    و"كود الذاكرة" هو عبارة عن أفلام منحوتة على الحجر لشخصيات وأحداث فلسطينية. حيث تم تدريب 25 م</w:t>
      </w:r>
      <w:r w:rsidR="00F75574" w:rsidRPr="008167FB">
        <w:rPr>
          <w:rFonts w:ascii="Simplified Arabic" w:hAnsi="Simplified Arabic" w:cs="Simplified Arabic"/>
          <w:sz w:val="26"/>
          <w:szCs w:val="26"/>
          <w:rtl/>
        </w:rPr>
        <w:t>ُ</w:t>
      </w:r>
      <w:r w:rsidRPr="008167FB">
        <w:rPr>
          <w:rFonts w:ascii="Simplified Arabic" w:hAnsi="Simplified Arabic" w:cs="Simplified Arabic"/>
          <w:sz w:val="26"/>
          <w:szCs w:val="26"/>
          <w:rtl/>
        </w:rPr>
        <w:t>حرراً.</w:t>
      </w:r>
    </w:p>
    <w:p w:rsidR="00E5735D" w:rsidRPr="008167FB" w:rsidRDefault="00E5735D" w:rsidP="00E5735D">
      <w:pPr>
        <w:tabs>
          <w:tab w:val="left" w:pos="-1"/>
        </w:tabs>
        <w:bidi/>
        <w:ind w:right="-1" w:firstLine="1"/>
        <w:jc w:val="both"/>
        <w:rPr>
          <w:rFonts w:ascii="Simplified Arabic" w:hAnsi="Simplified Arabic" w:cs="Simplified Arabic"/>
          <w:sz w:val="16"/>
          <w:szCs w:val="16"/>
        </w:rPr>
      </w:pPr>
    </w:p>
    <w:p w:rsidR="00E5735D" w:rsidRPr="008167FB" w:rsidRDefault="00E5735D" w:rsidP="00F75574">
      <w:pPr>
        <w:tabs>
          <w:tab w:val="left" w:pos="-1"/>
        </w:tabs>
        <w:bidi/>
        <w:ind w:right="-1" w:firstLine="1"/>
        <w:jc w:val="both"/>
        <w:rPr>
          <w:rFonts w:ascii="Simplified Arabic" w:hAnsi="Simplified Arabic" w:cs="Simplified Arabic"/>
          <w:sz w:val="26"/>
          <w:szCs w:val="26"/>
        </w:rPr>
      </w:pPr>
      <w:r w:rsidRPr="008167FB">
        <w:rPr>
          <w:rFonts w:ascii="Simplified Arabic" w:hAnsi="Simplified Arabic" w:cs="Simplified Arabic"/>
          <w:sz w:val="26"/>
          <w:szCs w:val="26"/>
          <w:rtl/>
        </w:rPr>
        <w:t>في عام 2022 تم منح جوائز دولة فلسطين للآداب والفنون والعلوم الإنسانية 8 جوائز، والتي تمنحها الدولة تقديرا وعرفانا منها للمبدعين الفلسطينيين.</w:t>
      </w:r>
    </w:p>
    <w:p w:rsidR="00E5735D" w:rsidRPr="008167FB" w:rsidRDefault="00E5735D" w:rsidP="00E5735D">
      <w:pPr>
        <w:tabs>
          <w:tab w:val="left" w:pos="-1"/>
        </w:tabs>
        <w:bidi/>
        <w:ind w:right="-1" w:firstLine="1"/>
        <w:jc w:val="both"/>
        <w:rPr>
          <w:rFonts w:ascii="Simplified Arabic" w:hAnsi="Simplified Arabic" w:cs="Simplified Arabic"/>
          <w:sz w:val="16"/>
          <w:szCs w:val="16"/>
          <w:rtl/>
        </w:rPr>
      </w:pPr>
    </w:p>
    <w:p w:rsidR="00E5735D" w:rsidRPr="008167FB" w:rsidRDefault="008D40C7" w:rsidP="008D40C7">
      <w:pPr>
        <w:tabs>
          <w:tab w:val="left" w:pos="-1"/>
        </w:tabs>
        <w:bidi/>
        <w:ind w:right="-1" w:firstLine="1"/>
        <w:jc w:val="both"/>
        <w:rPr>
          <w:rFonts w:ascii="Simplified Arabic" w:hAnsi="Simplified Arabic" w:cs="Simplified Arabic"/>
          <w:sz w:val="26"/>
          <w:szCs w:val="26"/>
          <w:rtl/>
        </w:rPr>
      </w:pPr>
      <w:r w:rsidRPr="008167FB">
        <w:rPr>
          <w:rFonts w:ascii="Simplified Arabic" w:hAnsi="Simplified Arabic" w:cs="Simplified Arabic"/>
          <w:sz w:val="26"/>
          <w:szCs w:val="26"/>
          <w:rtl/>
        </w:rPr>
        <w:t>كما دعمت الوزارة</w:t>
      </w:r>
      <w:r w:rsidR="00E5735D" w:rsidRPr="008167FB">
        <w:rPr>
          <w:rFonts w:ascii="Simplified Arabic" w:hAnsi="Simplified Arabic" w:cs="Simplified Arabic"/>
          <w:sz w:val="26"/>
          <w:szCs w:val="26"/>
          <w:rtl/>
        </w:rPr>
        <w:t xml:space="preserve"> سبعين مشروعاً ثقافياً، وتنظيم 150 فعالية ثقافية من ندوات تراثية. </w:t>
      </w:r>
      <w:r w:rsidR="00A71724" w:rsidRPr="008167FB">
        <w:rPr>
          <w:rFonts w:ascii="Simplified Arabic" w:hAnsi="Simplified Arabic" w:cs="Simplified Arabic"/>
          <w:sz w:val="26"/>
          <w:szCs w:val="26"/>
          <w:rtl/>
        </w:rPr>
        <w:t>وإطلاق</w:t>
      </w:r>
      <w:r w:rsidR="00E5735D" w:rsidRPr="008167FB">
        <w:rPr>
          <w:rFonts w:ascii="Simplified Arabic" w:hAnsi="Simplified Arabic" w:cs="Simplified Arabic"/>
          <w:sz w:val="26"/>
          <w:szCs w:val="26"/>
          <w:rtl/>
        </w:rPr>
        <w:t xml:space="preserve"> المهرجان الوطني للمسرح بمشاركة 10 مسرحيات والمنافسة على 5 جوائز لأفضل مخرج وممثل وعرض مسرحي وكاتب مسرحي.</w:t>
      </w:r>
    </w:p>
    <w:p w:rsidR="00E5735D" w:rsidRPr="008167FB" w:rsidRDefault="00E5735D" w:rsidP="00E5735D">
      <w:pPr>
        <w:tabs>
          <w:tab w:val="left" w:pos="-1"/>
        </w:tabs>
        <w:bidi/>
        <w:ind w:right="-1" w:firstLine="1"/>
        <w:jc w:val="both"/>
        <w:rPr>
          <w:rFonts w:ascii="Simplified Arabic" w:hAnsi="Simplified Arabic" w:cs="Simplified Arabic"/>
          <w:sz w:val="16"/>
          <w:szCs w:val="16"/>
          <w:rtl/>
        </w:rPr>
      </w:pPr>
    </w:p>
    <w:p w:rsidR="00E5735D" w:rsidRPr="008167FB" w:rsidRDefault="00E5735D" w:rsidP="008D40C7">
      <w:pPr>
        <w:tabs>
          <w:tab w:val="left" w:pos="-1"/>
        </w:tabs>
        <w:bidi/>
        <w:ind w:right="-1" w:firstLine="1"/>
        <w:jc w:val="both"/>
        <w:rPr>
          <w:rFonts w:ascii="Simplified Arabic" w:hAnsi="Simplified Arabic" w:cs="Simplified Arabic"/>
          <w:sz w:val="26"/>
          <w:szCs w:val="26"/>
        </w:rPr>
      </w:pPr>
      <w:r w:rsidRPr="008167FB">
        <w:rPr>
          <w:rFonts w:ascii="Simplified Arabic" w:hAnsi="Simplified Arabic" w:cs="Simplified Arabic"/>
          <w:sz w:val="26"/>
          <w:szCs w:val="26"/>
          <w:rtl/>
        </w:rPr>
        <w:t xml:space="preserve">بمناسبة ذكرى استشهاد الروائي الفلسطيني غسان كنفاني أطلقت </w:t>
      </w:r>
      <w:r w:rsidR="008D40C7" w:rsidRPr="008167FB">
        <w:rPr>
          <w:rFonts w:ascii="Simplified Arabic" w:hAnsi="Simplified Arabic" w:cs="Simplified Arabic"/>
          <w:sz w:val="26"/>
          <w:szCs w:val="26"/>
          <w:rtl/>
        </w:rPr>
        <w:t>الوزارة</w:t>
      </w:r>
      <w:r w:rsidRPr="008167FB">
        <w:rPr>
          <w:rFonts w:ascii="Simplified Arabic" w:hAnsi="Simplified Arabic" w:cs="Simplified Arabic"/>
          <w:sz w:val="26"/>
          <w:szCs w:val="26"/>
          <w:rtl/>
        </w:rPr>
        <w:t xml:space="preserve"> جائزة غسان كنفان</w:t>
      </w:r>
      <w:r w:rsidR="008D40C7" w:rsidRPr="008167FB">
        <w:rPr>
          <w:rFonts w:ascii="Simplified Arabic" w:hAnsi="Simplified Arabic" w:cs="Simplified Arabic"/>
          <w:sz w:val="26"/>
          <w:szCs w:val="26"/>
          <w:rtl/>
        </w:rPr>
        <w:t xml:space="preserve">ي، حيث تم </w:t>
      </w:r>
      <w:r w:rsidRPr="008167FB">
        <w:rPr>
          <w:rFonts w:ascii="Simplified Arabic" w:hAnsi="Simplified Arabic" w:cs="Simplified Arabic"/>
          <w:sz w:val="26"/>
          <w:szCs w:val="26"/>
          <w:rtl/>
        </w:rPr>
        <w:t xml:space="preserve">منح أربعة جوائز لأدباء وكتّاب من دول عربية، </w:t>
      </w:r>
      <w:r w:rsidR="00F75574" w:rsidRPr="008167FB">
        <w:rPr>
          <w:rFonts w:ascii="Simplified Arabic" w:hAnsi="Simplified Arabic" w:cs="Simplified Arabic"/>
          <w:sz w:val="26"/>
          <w:szCs w:val="26"/>
          <w:rtl/>
        </w:rPr>
        <w:t xml:space="preserve">كما تم </w:t>
      </w:r>
      <w:r w:rsidRPr="008167FB">
        <w:rPr>
          <w:rFonts w:ascii="Simplified Arabic" w:hAnsi="Simplified Arabic" w:cs="Simplified Arabic"/>
          <w:sz w:val="26"/>
          <w:szCs w:val="26"/>
          <w:rtl/>
        </w:rPr>
        <w:t>تنظيم ملتقى فلسطين للراوية الفلسطينية بمشاركة 13 روائي</w:t>
      </w:r>
      <w:r w:rsidR="00F75574" w:rsidRPr="008167FB">
        <w:rPr>
          <w:rFonts w:ascii="Simplified Arabic" w:hAnsi="Simplified Arabic" w:cs="Simplified Arabic"/>
          <w:sz w:val="26"/>
          <w:szCs w:val="26"/>
          <w:rtl/>
        </w:rPr>
        <w:t>اً</w:t>
      </w:r>
      <w:r w:rsidRPr="008167FB">
        <w:rPr>
          <w:rFonts w:ascii="Simplified Arabic" w:hAnsi="Simplified Arabic" w:cs="Simplified Arabic"/>
          <w:sz w:val="26"/>
          <w:szCs w:val="26"/>
          <w:rtl/>
        </w:rPr>
        <w:t xml:space="preserve"> من الدول العربية، ومهرجان مسرح غسان</w:t>
      </w:r>
      <w:r w:rsidR="008D40C7" w:rsidRPr="008167FB">
        <w:rPr>
          <w:rFonts w:ascii="Simplified Arabic" w:hAnsi="Simplified Arabic" w:cs="Simplified Arabic"/>
          <w:sz w:val="26"/>
          <w:szCs w:val="26"/>
          <w:rtl/>
        </w:rPr>
        <w:t xml:space="preserve"> كنفاني</w:t>
      </w:r>
      <w:r w:rsidRPr="008167FB">
        <w:rPr>
          <w:rFonts w:ascii="Simplified Arabic" w:hAnsi="Simplified Arabic" w:cs="Simplified Arabic"/>
          <w:sz w:val="26"/>
          <w:szCs w:val="26"/>
          <w:rtl/>
        </w:rPr>
        <w:t xml:space="preserve"> و3 مؤتمرات علمية أدبية ونقدية، ومعرض فن تشكيلي بمشاركة 15 فنان من فلسطين والشتات. وملتقى بمناسبة ذكرى استشهاد الأديب ماجد أبو شرار للقصة العربية بمشاركة 35 قاص وأديب من فلسطين ودول عربية. </w:t>
      </w:r>
    </w:p>
    <w:p w:rsidR="00E5735D" w:rsidRPr="008167FB" w:rsidRDefault="00E5735D" w:rsidP="00F75574">
      <w:pPr>
        <w:tabs>
          <w:tab w:val="left" w:pos="-1"/>
        </w:tabs>
        <w:bidi/>
        <w:ind w:right="-1" w:firstLine="1"/>
        <w:jc w:val="both"/>
        <w:rPr>
          <w:rFonts w:ascii="Simplified Arabic" w:hAnsi="Simplified Arabic" w:cs="Simplified Arabic"/>
          <w:sz w:val="26"/>
          <w:szCs w:val="26"/>
        </w:rPr>
      </w:pPr>
      <w:r w:rsidRPr="008167FB">
        <w:rPr>
          <w:rFonts w:ascii="Simplified Arabic" w:hAnsi="Simplified Arabic" w:cs="Simplified Arabic"/>
          <w:sz w:val="26"/>
          <w:szCs w:val="26"/>
          <w:rtl/>
        </w:rPr>
        <w:t>نظمت</w:t>
      </w:r>
      <w:r w:rsidR="00F75574" w:rsidRPr="008167FB">
        <w:rPr>
          <w:rFonts w:ascii="Simplified Arabic" w:hAnsi="Simplified Arabic" w:cs="Simplified Arabic"/>
          <w:sz w:val="26"/>
          <w:szCs w:val="26"/>
          <w:rtl/>
        </w:rPr>
        <w:t xml:space="preserve"> الوزارة</w:t>
      </w:r>
      <w:r w:rsidRPr="008167FB">
        <w:rPr>
          <w:rFonts w:ascii="Simplified Arabic" w:hAnsi="Simplified Arabic" w:cs="Simplified Arabic"/>
          <w:sz w:val="26"/>
          <w:szCs w:val="26"/>
          <w:rtl/>
        </w:rPr>
        <w:t xml:space="preserve"> 3 ملتقيات أدبية </w:t>
      </w:r>
      <w:r w:rsidR="00F75574" w:rsidRPr="008167FB">
        <w:rPr>
          <w:rFonts w:ascii="Simplified Arabic" w:hAnsi="Simplified Arabic" w:cs="Simplified Arabic"/>
          <w:sz w:val="26"/>
          <w:szCs w:val="26"/>
          <w:rtl/>
        </w:rPr>
        <w:t>و20 فعالية</w:t>
      </w:r>
      <w:r w:rsidRPr="008167FB">
        <w:rPr>
          <w:rFonts w:ascii="Simplified Arabic" w:hAnsi="Simplified Arabic" w:cs="Simplified Arabic"/>
          <w:sz w:val="26"/>
          <w:szCs w:val="26"/>
          <w:rtl/>
        </w:rPr>
        <w:t xml:space="preserve"> في المخيمات بالشتات والداخل الفلسطيني ضمن تعزيز الرواية الوطنية في فلسطين.</w:t>
      </w:r>
    </w:p>
    <w:p w:rsidR="00E5735D" w:rsidRPr="008167FB" w:rsidRDefault="00E5735D" w:rsidP="00E5735D">
      <w:pPr>
        <w:tabs>
          <w:tab w:val="left" w:pos="-1"/>
        </w:tabs>
        <w:bidi/>
        <w:ind w:right="-1" w:firstLine="1"/>
        <w:jc w:val="both"/>
        <w:rPr>
          <w:rFonts w:ascii="Simplified Arabic" w:hAnsi="Simplified Arabic" w:cs="Simplified Arabic"/>
          <w:sz w:val="16"/>
          <w:szCs w:val="16"/>
          <w:rtl/>
        </w:rPr>
      </w:pPr>
    </w:p>
    <w:p w:rsidR="00E5735D" w:rsidRDefault="008D40C7" w:rsidP="008D40C7">
      <w:pPr>
        <w:tabs>
          <w:tab w:val="left" w:pos="-1"/>
        </w:tabs>
        <w:bidi/>
        <w:ind w:right="-1" w:firstLine="1"/>
        <w:jc w:val="both"/>
        <w:rPr>
          <w:rFonts w:ascii="Simplified Arabic" w:hAnsi="Simplified Arabic" w:cs="Simplified Arabic"/>
          <w:sz w:val="26"/>
          <w:szCs w:val="26"/>
          <w:rtl/>
        </w:rPr>
      </w:pPr>
      <w:r w:rsidRPr="008167FB">
        <w:rPr>
          <w:rFonts w:ascii="Simplified Arabic" w:hAnsi="Simplified Arabic" w:cs="Simplified Arabic"/>
          <w:sz w:val="26"/>
          <w:szCs w:val="26"/>
          <w:rtl/>
        </w:rPr>
        <w:t>نظمت الوزارة معرض فلسطين الدولي للكتاب للعام 2022 بمشاركة</w:t>
      </w:r>
      <w:r w:rsidR="00E5735D" w:rsidRPr="008167FB">
        <w:rPr>
          <w:rFonts w:ascii="Simplified Arabic" w:hAnsi="Simplified Arabic" w:cs="Simplified Arabic"/>
          <w:sz w:val="26"/>
          <w:szCs w:val="26"/>
          <w:rtl/>
        </w:rPr>
        <w:t xml:space="preserve"> 450 دار نشر عربية ومحلية ومؤسسة ومشاركة 150 كاتب </w:t>
      </w:r>
      <w:r w:rsidRPr="008167FB">
        <w:rPr>
          <w:rFonts w:ascii="Simplified Arabic" w:hAnsi="Simplified Arabic" w:cs="Simplified Arabic"/>
          <w:sz w:val="26"/>
          <w:szCs w:val="26"/>
          <w:rtl/>
        </w:rPr>
        <w:t>و</w:t>
      </w:r>
      <w:r w:rsidR="00E5735D" w:rsidRPr="008167FB">
        <w:rPr>
          <w:rFonts w:ascii="Simplified Arabic" w:hAnsi="Simplified Arabic" w:cs="Simplified Arabic"/>
          <w:sz w:val="26"/>
          <w:szCs w:val="26"/>
          <w:rtl/>
        </w:rPr>
        <w:t xml:space="preserve">أديب عربي. </w:t>
      </w:r>
      <w:r w:rsidRPr="008167FB">
        <w:rPr>
          <w:rFonts w:ascii="Simplified Arabic" w:hAnsi="Simplified Arabic" w:cs="Simplified Arabic"/>
          <w:sz w:val="26"/>
          <w:szCs w:val="26"/>
          <w:rtl/>
        </w:rPr>
        <w:t>قامت الوزارة ب</w:t>
      </w:r>
      <w:r w:rsidR="00E5735D" w:rsidRPr="008167FB">
        <w:rPr>
          <w:rFonts w:ascii="Simplified Arabic" w:hAnsi="Simplified Arabic" w:cs="Simplified Arabic"/>
          <w:sz w:val="26"/>
          <w:szCs w:val="26"/>
          <w:rtl/>
        </w:rPr>
        <w:t xml:space="preserve">طباعة 100 كتاب ما قبل النكبة، وتوزيع حوالي 250 ألف كتاب من إصدارات الوزارة على المدارس </w:t>
      </w:r>
      <w:r w:rsidR="00F75574" w:rsidRPr="008167FB">
        <w:rPr>
          <w:rFonts w:ascii="Simplified Arabic" w:hAnsi="Simplified Arabic" w:cs="Simplified Arabic"/>
          <w:sz w:val="26"/>
          <w:szCs w:val="26"/>
          <w:rtl/>
        </w:rPr>
        <w:t>والمراكز والمؤسسات</w:t>
      </w:r>
      <w:r w:rsidR="00E5735D" w:rsidRPr="008167FB">
        <w:rPr>
          <w:rFonts w:ascii="Simplified Arabic" w:hAnsi="Simplified Arabic" w:cs="Simplified Arabic"/>
          <w:sz w:val="26"/>
          <w:szCs w:val="26"/>
          <w:rtl/>
        </w:rPr>
        <w:t xml:space="preserve"> الثقافية</w:t>
      </w:r>
      <w:r w:rsidRPr="008167FB">
        <w:rPr>
          <w:rFonts w:ascii="Simplified Arabic" w:hAnsi="Simplified Arabic" w:cs="Simplified Arabic"/>
          <w:sz w:val="26"/>
          <w:szCs w:val="26"/>
          <w:rtl/>
        </w:rPr>
        <w:t>، و</w:t>
      </w:r>
      <w:r w:rsidR="00E5735D" w:rsidRPr="008167FB">
        <w:rPr>
          <w:rFonts w:ascii="Simplified Arabic" w:hAnsi="Simplified Arabic" w:cs="Simplified Arabic"/>
          <w:sz w:val="26"/>
          <w:szCs w:val="26"/>
          <w:rtl/>
        </w:rPr>
        <w:t xml:space="preserve">دعم حوالي 100 مكتبة من مكتبات المدارس والبلديات من إصدارات الوزارة، </w:t>
      </w:r>
      <w:r w:rsidRPr="008167FB">
        <w:rPr>
          <w:rFonts w:ascii="Simplified Arabic" w:hAnsi="Simplified Arabic" w:cs="Simplified Arabic"/>
          <w:sz w:val="26"/>
          <w:szCs w:val="26"/>
          <w:rtl/>
        </w:rPr>
        <w:t>و</w:t>
      </w:r>
      <w:r w:rsidR="00E5735D" w:rsidRPr="008167FB">
        <w:rPr>
          <w:rFonts w:ascii="Simplified Arabic" w:hAnsi="Simplified Arabic" w:cs="Simplified Arabic"/>
          <w:sz w:val="26"/>
          <w:szCs w:val="26"/>
          <w:rtl/>
        </w:rPr>
        <w:t>دعم 150 فعالية ونشاط ضمن يوم الثقافة الوطني.</w:t>
      </w:r>
    </w:p>
    <w:p w:rsidR="003D5012" w:rsidRPr="003D5012" w:rsidRDefault="003D5012" w:rsidP="003D5012">
      <w:pPr>
        <w:tabs>
          <w:tab w:val="left" w:pos="-1"/>
        </w:tabs>
        <w:bidi/>
        <w:ind w:right="-1" w:firstLine="1"/>
        <w:jc w:val="both"/>
        <w:rPr>
          <w:rFonts w:ascii="Simplified Arabic" w:hAnsi="Simplified Arabic" w:cs="Simplified Arabic"/>
          <w:sz w:val="16"/>
          <w:szCs w:val="16"/>
          <w:rtl/>
        </w:rPr>
      </w:pPr>
    </w:p>
    <w:p w:rsidR="00E5735D" w:rsidRPr="008167FB" w:rsidRDefault="00E5735D" w:rsidP="008D40C7">
      <w:pPr>
        <w:tabs>
          <w:tab w:val="left" w:pos="-1"/>
        </w:tabs>
        <w:bidi/>
        <w:ind w:right="-1" w:firstLine="1"/>
        <w:jc w:val="both"/>
        <w:rPr>
          <w:rFonts w:ascii="Simplified Arabic" w:hAnsi="Simplified Arabic" w:cs="Simplified Arabic"/>
          <w:sz w:val="26"/>
          <w:szCs w:val="26"/>
        </w:rPr>
      </w:pPr>
      <w:r w:rsidRPr="008167FB">
        <w:rPr>
          <w:rFonts w:ascii="Simplified Arabic" w:hAnsi="Simplified Arabic" w:cs="Simplified Arabic"/>
          <w:sz w:val="26"/>
          <w:szCs w:val="26"/>
          <w:rtl/>
        </w:rPr>
        <w:t>نظمت وزارة الثقافة مهرجان الدبكة الشعبية بمناسبة مرور 74 عاما على النكبة، بمشاركة 30 فرقة للدبكة الشعبية، وبهدف تسجيلها على القائمة التمثيلية لعناصر التراث الثقافي غير المادي في اليونسكو</w:t>
      </w:r>
    </w:p>
    <w:p w:rsidR="00E5735D" w:rsidRPr="008167FB" w:rsidRDefault="00E5735D" w:rsidP="00E5735D">
      <w:pPr>
        <w:tabs>
          <w:tab w:val="left" w:pos="-1"/>
        </w:tabs>
        <w:bidi/>
        <w:ind w:right="-1" w:firstLine="1"/>
        <w:jc w:val="both"/>
        <w:rPr>
          <w:rFonts w:ascii="Simplified Arabic" w:hAnsi="Simplified Arabic" w:cs="Simplified Arabic"/>
          <w:sz w:val="16"/>
          <w:szCs w:val="16"/>
          <w:rtl/>
        </w:rPr>
      </w:pPr>
    </w:p>
    <w:p w:rsidR="00E5735D" w:rsidRPr="008167FB" w:rsidRDefault="00E5735D" w:rsidP="008D40C7">
      <w:pPr>
        <w:tabs>
          <w:tab w:val="left" w:pos="-1"/>
        </w:tabs>
        <w:bidi/>
        <w:ind w:right="-1" w:firstLine="1"/>
        <w:jc w:val="both"/>
        <w:rPr>
          <w:rFonts w:ascii="Simplified Arabic" w:hAnsi="Simplified Arabic" w:cs="Simplified Arabic"/>
          <w:sz w:val="26"/>
          <w:szCs w:val="26"/>
          <w:rtl/>
        </w:rPr>
      </w:pPr>
      <w:r w:rsidRPr="008167FB">
        <w:rPr>
          <w:rFonts w:ascii="Simplified Arabic" w:hAnsi="Simplified Arabic" w:cs="Simplified Arabic"/>
          <w:sz w:val="26"/>
          <w:szCs w:val="26"/>
          <w:rtl/>
        </w:rPr>
        <w:t xml:space="preserve">نظمت وزارة الثقافة خلال العام </w:t>
      </w:r>
      <w:r w:rsidR="008D40C7" w:rsidRPr="008167FB">
        <w:rPr>
          <w:rFonts w:ascii="Simplified Arabic" w:hAnsi="Simplified Arabic" w:cs="Simplified Arabic"/>
          <w:sz w:val="26"/>
          <w:szCs w:val="26"/>
          <w:rtl/>
        </w:rPr>
        <w:t xml:space="preserve">2022، </w:t>
      </w:r>
      <w:r w:rsidRPr="008167FB">
        <w:rPr>
          <w:rFonts w:ascii="Simplified Arabic" w:hAnsi="Simplified Arabic" w:cs="Simplified Arabic"/>
          <w:sz w:val="26"/>
          <w:szCs w:val="26"/>
          <w:rtl/>
        </w:rPr>
        <w:t xml:space="preserve">30 دورة في مجال الصناعات التقليدية وأقامت 4 معارض لترويج الصناعات التقليدية. </w:t>
      </w:r>
    </w:p>
    <w:p w:rsidR="005A0F99" w:rsidRDefault="005A0F99" w:rsidP="005A0F99">
      <w:pPr>
        <w:bidi/>
        <w:jc w:val="both"/>
        <w:rPr>
          <w:rFonts w:ascii="Simplified Arabic" w:hAnsi="Simplified Arabic" w:cs="Simplified Arabic"/>
          <w:color w:val="FF0000"/>
          <w:sz w:val="16"/>
          <w:szCs w:val="16"/>
          <w:rtl/>
        </w:rPr>
      </w:pPr>
    </w:p>
    <w:p w:rsidR="004B29A0" w:rsidRPr="008167FB" w:rsidRDefault="004B29A0" w:rsidP="004B29A0">
      <w:pPr>
        <w:bidi/>
        <w:jc w:val="both"/>
        <w:rPr>
          <w:rFonts w:ascii="Simplified Arabic" w:hAnsi="Simplified Arabic" w:cs="Simplified Arabic"/>
          <w:color w:val="FF0000"/>
          <w:sz w:val="16"/>
          <w:szCs w:val="16"/>
          <w:rtl/>
        </w:rPr>
      </w:pPr>
      <w:bookmarkStart w:id="0" w:name="_GoBack"/>
      <w:bookmarkEnd w:id="0"/>
    </w:p>
    <w:p w:rsidR="00A03156" w:rsidRPr="003D5012" w:rsidRDefault="00A03156" w:rsidP="005A0F99">
      <w:pPr>
        <w:bidi/>
        <w:jc w:val="both"/>
        <w:rPr>
          <w:rFonts w:ascii="Simplified Arabic" w:hAnsi="Simplified Arabic" w:cs="Simplified Arabic"/>
          <w:b/>
          <w:bCs/>
          <w:sz w:val="24"/>
          <w:szCs w:val="24"/>
          <w:rtl/>
        </w:rPr>
      </w:pPr>
      <w:r w:rsidRPr="003D5012">
        <w:rPr>
          <w:rFonts w:ascii="Simplified Arabic" w:hAnsi="Simplified Arabic" w:cs="Simplified Arabic"/>
          <w:b/>
          <w:bCs/>
          <w:sz w:val="24"/>
          <w:szCs w:val="24"/>
          <w:rtl/>
        </w:rPr>
        <w:t>المص</w:t>
      </w:r>
      <w:r w:rsidR="005A0F99" w:rsidRPr="003D5012">
        <w:rPr>
          <w:rFonts w:ascii="Simplified Arabic" w:hAnsi="Simplified Arabic" w:cs="Simplified Arabic"/>
          <w:b/>
          <w:bCs/>
          <w:sz w:val="24"/>
          <w:szCs w:val="24"/>
          <w:rtl/>
          <w:lang w:bidi="ar-JO"/>
        </w:rPr>
        <w:t>ادر</w:t>
      </w:r>
      <w:r w:rsidR="005A0F99" w:rsidRPr="003D5012">
        <w:rPr>
          <w:rFonts w:ascii="Simplified Arabic" w:hAnsi="Simplified Arabic" w:cs="Simplified Arabic"/>
          <w:b/>
          <w:bCs/>
          <w:sz w:val="24"/>
          <w:szCs w:val="24"/>
          <w:rtl/>
        </w:rPr>
        <w:t>:</w:t>
      </w:r>
    </w:p>
    <w:p w:rsidR="00A03156" w:rsidRPr="003D5012" w:rsidRDefault="00C802BE" w:rsidP="008F2CD5">
      <w:pPr>
        <w:pStyle w:val="ListParagraph"/>
        <w:numPr>
          <w:ilvl w:val="0"/>
          <w:numId w:val="11"/>
        </w:numPr>
        <w:bidi/>
        <w:ind w:left="240" w:hanging="270"/>
        <w:jc w:val="both"/>
        <w:rPr>
          <w:rFonts w:ascii="Simplified Arabic" w:hAnsi="Simplified Arabic" w:cs="Simplified Arabic"/>
          <w:b/>
          <w:bCs/>
          <w:sz w:val="24"/>
          <w:szCs w:val="24"/>
        </w:rPr>
      </w:pPr>
      <w:r w:rsidRPr="003D5012">
        <w:rPr>
          <w:rFonts w:ascii="Simplified Arabic" w:hAnsi="Simplified Arabic" w:cs="Simplified Arabic"/>
          <w:b/>
          <w:bCs/>
          <w:sz w:val="24"/>
          <w:szCs w:val="24"/>
          <w:rtl/>
        </w:rPr>
        <w:t xml:space="preserve">الجهاز المركزي للإحصاء الفلسطيني، </w:t>
      </w:r>
      <w:r w:rsidR="008F2CD5" w:rsidRPr="003D5012">
        <w:rPr>
          <w:rFonts w:ascii="Simplified Arabic" w:hAnsi="Simplified Arabic" w:cs="Simplified Arabic"/>
          <w:b/>
          <w:bCs/>
          <w:sz w:val="24"/>
          <w:szCs w:val="24"/>
          <w:rtl/>
        </w:rPr>
        <w:t>2023</w:t>
      </w:r>
      <w:r w:rsidRPr="003D5012">
        <w:rPr>
          <w:rFonts w:ascii="Simplified Arabic" w:hAnsi="Simplified Arabic" w:cs="Simplified Arabic"/>
          <w:b/>
          <w:bCs/>
          <w:sz w:val="24"/>
          <w:szCs w:val="24"/>
          <w:rtl/>
        </w:rPr>
        <w:t xml:space="preserve">. </w:t>
      </w:r>
      <w:r w:rsidRPr="003D5012">
        <w:rPr>
          <w:rFonts w:ascii="Simplified Arabic" w:hAnsi="Simplified Arabic" w:cs="Simplified Arabic"/>
          <w:sz w:val="24"/>
          <w:szCs w:val="24"/>
          <w:rtl/>
        </w:rPr>
        <w:t xml:space="preserve">قاعدة بيانات المسح الشامل للمراكز الثقافية والمسارح والمتاحف، </w:t>
      </w:r>
      <w:r w:rsidR="008F2CD5" w:rsidRPr="003D5012">
        <w:rPr>
          <w:rFonts w:ascii="Simplified Arabic" w:hAnsi="Simplified Arabic" w:cs="Simplified Arabic"/>
          <w:sz w:val="24"/>
          <w:szCs w:val="24"/>
          <w:rtl/>
        </w:rPr>
        <w:t>2022</w:t>
      </w:r>
      <w:r w:rsidRPr="003D5012">
        <w:rPr>
          <w:rFonts w:ascii="Simplified Arabic" w:hAnsi="Simplified Arabic" w:cs="Simplified Arabic"/>
          <w:sz w:val="24"/>
          <w:szCs w:val="24"/>
          <w:rtl/>
        </w:rPr>
        <w:t xml:space="preserve">. رام الله </w:t>
      </w:r>
      <w:r w:rsidR="00175C9B" w:rsidRPr="003D5012">
        <w:rPr>
          <w:rFonts w:ascii="Simplified Arabic" w:hAnsi="Simplified Arabic" w:cs="Simplified Arabic"/>
          <w:sz w:val="24"/>
          <w:szCs w:val="24"/>
          <w:rtl/>
        </w:rPr>
        <w:t>–</w:t>
      </w:r>
      <w:r w:rsidRPr="003D5012">
        <w:rPr>
          <w:rFonts w:ascii="Simplified Arabic" w:hAnsi="Simplified Arabic" w:cs="Simplified Arabic"/>
          <w:sz w:val="24"/>
          <w:szCs w:val="24"/>
          <w:rtl/>
        </w:rPr>
        <w:t xml:space="preserve"> فلسطين</w:t>
      </w:r>
      <w:r w:rsidR="00E81B27" w:rsidRPr="003D5012">
        <w:rPr>
          <w:rFonts w:ascii="Simplified Arabic" w:hAnsi="Simplified Arabic" w:cs="Simplified Arabic"/>
          <w:b/>
          <w:bCs/>
          <w:sz w:val="24"/>
          <w:szCs w:val="24"/>
          <w:rtl/>
        </w:rPr>
        <w:t>.</w:t>
      </w:r>
    </w:p>
    <w:p w:rsidR="005A0F99" w:rsidRDefault="005A0F99" w:rsidP="008F2CD5">
      <w:pPr>
        <w:pStyle w:val="ListParagraph"/>
        <w:numPr>
          <w:ilvl w:val="0"/>
          <w:numId w:val="11"/>
        </w:numPr>
        <w:bidi/>
        <w:ind w:left="240" w:hanging="270"/>
        <w:jc w:val="both"/>
        <w:rPr>
          <w:rFonts w:ascii="Simplified Arabic" w:hAnsi="Simplified Arabic" w:cs="Simplified Arabic"/>
          <w:b/>
          <w:bCs/>
          <w:sz w:val="24"/>
          <w:szCs w:val="24"/>
        </w:rPr>
      </w:pPr>
      <w:r w:rsidRPr="003D5012">
        <w:rPr>
          <w:rFonts w:ascii="Simplified Arabic" w:hAnsi="Simplified Arabic" w:cs="Simplified Arabic"/>
          <w:b/>
          <w:bCs/>
          <w:sz w:val="24"/>
          <w:szCs w:val="24"/>
          <w:rtl/>
        </w:rPr>
        <w:t xml:space="preserve">وزارة الثقافة، </w:t>
      </w:r>
      <w:r w:rsidR="008F2CD5" w:rsidRPr="003D5012">
        <w:rPr>
          <w:rFonts w:ascii="Simplified Arabic" w:hAnsi="Simplified Arabic" w:cs="Simplified Arabic"/>
          <w:b/>
          <w:bCs/>
          <w:sz w:val="24"/>
          <w:szCs w:val="24"/>
        </w:rPr>
        <w:t>2023</w:t>
      </w:r>
      <w:r w:rsidRPr="003D5012">
        <w:rPr>
          <w:rFonts w:ascii="Simplified Arabic" w:hAnsi="Simplified Arabic" w:cs="Simplified Arabic"/>
          <w:b/>
          <w:bCs/>
          <w:sz w:val="24"/>
          <w:szCs w:val="24"/>
          <w:rtl/>
        </w:rPr>
        <w:t xml:space="preserve">. </w:t>
      </w:r>
      <w:r w:rsidRPr="003D5012">
        <w:rPr>
          <w:rFonts w:ascii="Simplified Arabic" w:hAnsi="Simplified Arabic" w:cs="Simplified Arabic"/>
          <w:sz w:val="24"/>
          <w:szCs w:val="24"/>
          <w:rtl/>
        </w:rPr>
        <w:t xml:space="preserve">الإدارة العامة للتخطيط وإدارة المشاريع، قاعدة بيانات السجلات الإدارية، </w:t>
      </w:r>
      <w:r w:rsidR="008F2CD5" w:rsidRPr="003D5012">
        <w:rPr>
          <w:rFonts w:ascii="Simplified Arabic" w:hAnsi="Simplified Arabic" w:cs="Simplified Arabic"/>
          <w:sz w:val="24"/>
          <w:szCs w:val="24"/>
        </w:rPr>
        <w:t>2022</w:t>
      </w:r>
      <w:r w:rsidRPr="003D5012">
        <w:rPr>
          <w:rFonts w:ascii="Simplified Arabic" w:hAnsi="Simplified Arabic" w:cs="Simplified Arabic"/>
          <w:sz w:val="24"/>
          <w:szCs w:val="24"/>
          <w:rtl/>
        </w:rPr>
        <w:t>. رام الله – فلسطين.</w:t>
      </w:r>
      <w:r w:rsidRPr="003D5012">
        <w:rPr>
          <w:rFonts w:ascii="Simplified Arabic" w:hAnsi="Simplified Arabic" w:cs="Simplified Arabic"/>
          <w:b/>
          <w:bCs/>
          <w:sz w:val="24"/>
          <w:szCs w:val="24"/>
        </w:rPr>
        <w:t> </w:t>
      </w:r>
    </w:p>
    <w:p w:rsidR="005E1B9A" w:rsidRPr="005E1B9A" w:rsidRDefault="005E1B9A" w:rsidP="005E1B9A">
      <w:pPr>
        <w:bidi/>
        <w:jc w:val="both"/>
        <w:rPr>
          <w:rFonts w:ascii="Simplified Arabic" w:hAnsi="Simplified Arabic" w:cs="Simplified Arabic"/>
          <w:b/>
          <w:bCs/>
          <w:sz w:val="24"/>
          <w:szCs w:val="24"/>
        </w:rPr>
      </w:pPr>
    </w:p>
    <w:p w:rsidR="005E1B9A" w:rsidRPr="005E1B9A" w:rsidRDefault="005E1B9A" w:rsidP="005E1B9A">
      <w:pPr>
        <w:bidi/>
        <w:jc w:val="both"/>
        <w:rPr>
          <w:rFonts w:ascii="Simplified Arabic" w:hAnsi="Simplified Arabic" w:cs="Simplified Arabic"/>
          <w:b/>
          <w:bCs/>
          <w:sz w:val="24"/>
          <w:szCs w:val="24"/>
        </w:rPr>
      </w:pPr>
    </w:p>
    <w:p w:rsidR="007B155F" w:rsidRPr="00856AB5" w:rsidRDefault="007B155F" w:rsidP="007B155F">
      <w:pPr>
        <w:bidi/>
        <w:ind w:left="-30"/>
        <w:jc w:val="both"/>
        <w:rPr>
          <w:rFonts w:cs="Simplified Arabic"/>
          <w:b/>
          <w:bCs/>
          <w:color w:val="FF0000"/>
          <w:sz w:val="12"/>
          <w:szCs w:val="12"/>
        </w:rPr>
      </w:pPr>
    </w:p>
    <w:sectPr w:rsidR="007B155F" w:rsidRPr="00856AB5" w:rsidSect="004B29A0">
      <w:headerReference w:type="default" r:id="rId9"/>
      <w:footerReference w:type="even" r:id="rId10"/>
      <w:footerReference w:type="default" r:id="rId11"/>
      <w:endnotePr>
        <w:numFmt w:val="lowerLetter"/>
      </w:endnotePr>
      <w:pgSz w:w="11909" w:h="16834" w:code="9"/>
      <w:pgMar w:top="284" w:right="624" w:bottom="510" w:left="624" w:header="0" w:footer="56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3C" w:rsidRDefault="00FB0F3C">
      <w:r>
        <w:separator/>
      </w:r>
    </w:p>
  </w:endnote>
  <w:endnote w:type="continuationSeparator" w:id="0">
    <w:p w:rsidR="00FB0F3C" w:rsidRDefault="00FB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B8" w:rsidRDefault="00E462B9">
    <w:pPr>
      <w:pStyle w:val="Footer"/>
      <w:framePr w:wrap="around" w:vAnchor="text" w:hAnchor="margin" w:xAlign="center" w:y="1"/>
      <w:rPr>
        <w:rStyle w:val="PageNumber"/>
      </w:rPr>
    </w:pPr>
    <w:r>
      <w:rPr>
        <w:rStyle w:val="PageNumber"/>
      </w:rPr>
      <w:fldChar w:fldCharType="begin"/>
    </w:r>
    <w:r w:rsidR="003B3EB8">
      <w:rPr>
        <w:rStyle w:val="PageNumber"/>
      </w:rPr>
      <w:instrText xml:space="preserve">PAGE  </w:instrText>
    </w:r>
    <w:r>
      <w:rPr>
        <w:rStyle w:val="PageNumber"/>
      </w:rPr>
      <w:fldChar w:fldCharType="end"/>
    </w:r>
  </w:p>
  <w:p w:rsidR="003B3EB8" w:rsidRDefault="003B3E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688185"/>
      <w:docPartObj>
        <w:docPartGallery w:val="Page Numbers (Bottom of Page)"/>
        <w:docPartUnique/>
      </w:docPartObj>
    </w:sdtPr>
    <w:sdtEndPr/>
    <w:sdtContent>
      <w:p w:rsidR="003D5012" w:rsidRDefault="003D5012">
        <w:pPr>
          <w:pStyle w:val="Footer"/>
          <w:jc w:val="center"/>
        </w:pPr>
        <w:r>
          <w:fldChar w:fldCharType="begin"/>
        </w:r>
        <w:r>
          <w:instrText xml:space="preserve"> PAGE   \* MERGEFORMAT </w:instrText>
        </w:r>
        <w:r>
          <w:fldChar w:fldCharType="separate"/>
        </w:r>
        <w:r w:rsidR="00365E76">
          <w:rPr>
            <w:noProof/>
          </w:rPr>
          <w:t>2</w:t>
        </w:r>
        <w:r>
          <w:rPr>
            <w:noProof/>
          </w:rPr>
          <w:fldChar w:fldCharType="end"/>
        </w:r>
      </w:p>
    </w:sdtContent>
  </w:sdt>
  <w:p w:rsidR="003D5012" w:rsidRDefault="003D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3C" w:rsidRDefault="00FB0F3C">
      <w:r>
        <w:separator/>
      </w:r>
    </w:p>
  </w:footnote>
  <w:footnote w:type="continuationSeparator" w:id="0">
    <w:p w:rsidR="00FB0F3C" w:rsidRDefault="00FB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EB8" w:rsidRDefault="003B3EB8" w:rsidP="00E60702">
    <w:pPr>
      <w:pStyle w:val="Header"/>
      <w:tabs>
        <w:tab w:val="left" w:pos="397"/>
        <w:tab w:val="center" w:pos="5103"/>
      </w:tabs>
      <w:bidi/>
      <w:rPr>
        <w:rFonts w:cs="Simplified Arabic"/>
        <w:b/>
        <w:bCs/>
        <w:rtl/>
      </w:rPr>
    </w:pPr>
    <w:r>
      <w:rPr>
        <w:rFonts w:cs="Simplified Arabic" w:hint="cs"/>
        <w:b/>
        <w:bCs/>
        <w:sz w:val="28"/>
        <w:szCs w:val="28"/>
        <w:rtl/>
      </w:rPr>
      <w:t xml:space="preserve">       </w:t>
    </w:r>
  </w:p>
  <w:p w:rsidR="003B3EB8" w:rsidRPr="00FF7478" w:rsidRDefault="003B3EB8" w:rsidP="00E60702">
    <w:pPr>
      <w:pStyle w:val="Header"/>
      <w:tabs>
        <w:tab w:val="clear" w:pos="8306"/>
        <w:tab w:val="left" w:pos="397"/>
        <w:tab w:val="center" w:pos="5103"/>
        <w:tab w:val="left" w:pos="7795"/>
      </w:tabs>
      <w:bidi/>
      <w:ind w:right="-426"/>
      <w:rPr>
        <w:rFonts w:cs="Simplified Arabic"/>
        <w:b/>
        <w:bCs/>
        <w:sz w:val="6"/>
        <w:szCs w:val="6"/>
        <w:rtl/>
      </w:rPr>
    </w:pPr>
    <w:r w:rsidRPr="00FF7478">
      <w:rPr>
        <w:rFonts w:cs="Simplified Arabic"/>
        <w:b/>
        <w:bCs/>
        <w:sz w:val="24"/>
        <w:szCs w:val="24"/>
        <w:rtl/>
      </w:rPr>
      <w:tab/>
    </w:r>
    <w:r w:rsidRPr="00FF7478">
      <w:rPr>
        <w:rFonts w:cs="Simplified Arabic"/>
        <w:b/>
        <w:bCs/>
        <w:sz w:val="24"/>
        <w:szCs w:val="24"/>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3B9B"/>
    <w:multiLevelType w:val="hybridMultilevel"/>
    <w:tmpl w:val="ADB0EEF6"/>
    <w:lvl w:ilvl="0" w:tplc="04090001">
      <w:start w:val="1"/>
      <w:numFmt w:val="bullet"/>
      <w:lvlText w:val=""/>
      <w:lvlJc w:val="left"/>
      <w:pPr>
        <w:tabs>
          <w:tab w:val="num" w:pos="720"/>
        </w:tabs>
        <w:ind w:left="720" w:right="720" w:hanging="360"/>
      </w:pPr>
      <w:rPr>
        <w:rFonts w:ascii="Symbol" w:hAnsi="Symbol" w:hint="default"/>
      </w:rPr>
    </w:lvl>
    <w:lvl w:ilvl="1" w:tplc="0401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177A5B99"/>
    <w:multiLevelType w:val="hybridMultilevel"/>
    <w:tmpl w:val="3ECC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A08F9"/>
    <w:multiLevelType w:val="hybridMultilevel"/>
    <w:tmpl w:val="BADE858A"/>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22AA0F0E"/>
    <w:multiLevelType w:val="hybridMultilevel"/>
    <w:tmpl w:val="990001FE"/>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4" w15:restartNumberingAfterBreak="0">
    <w:nsid w:val="275110AE"/>
    <w:multiLevelType w:val="hybridMultilevel"/>
    <w:tmpl w:val="9192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F62CC"/>
    <w:multiLevelType w:val="hybridMultilevel"/>
    <w:tmpl w:val="FD3EC5A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58F87AD8"/>
    <w:multiLevelType w:val="hybridMultilevel"/>
    <w:tmpl w:val="E63C509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60C079FC"/>
    <w:multiLevelType w:val="hybridMultilevel"/>
    <w:tmpl w:val="099AB984"/>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63DB2263"/>
    <w:multiLevelType w:val="hybridMultilevel"/>
    <w:tmpl w:val="1A8CEA94"/>
    <w:lvl w:ilvl="0" w:tplc="DDC215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C39D8"/>
    <w:multiLevelType w:val="hybridMultilevel"/>
    <w:tmpl w:val="AAC8636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abstractNum w:abstractNumId="10" w15:restartNumberingAfterBreak="0">
    <w:nsid w:val="7ED20902"/>
    <w:multiLevelType w:val="hybridMultilevel"/>
    <w:tmpl w:val="7B503B02"/>
    <w:lvl w:ilvl="0" w:tplc="04090001">
      <w:start w:val="1"/>
      <w:numFmt w:val="bullet"/>
      <w:lvlText w:val=""/>
      <w:lvlJc w:val="left"/>
      <w:pPr>
        <w:tabs>
          <w:tab w:val="num" w:pos="719"/>
        </w:tabs>
        <w:ind w:left="719" w:right="719" w:hanging="360"/>
      </w:pPr>
      <w:rPr>
        <w:rFonts w:ascii="Symbol" w:hAnsi="Symbol" w:hint="default"/>
      </w:rPr>
    </w:lvl>
    <w:lvl w:ilvl="1" w:tplc="04090003" w:tentative="1">
      <w:start w:val="1"/>
      <w:numFmt w:val="bullet"/>
      <w:lvlText w:val="o"/>
      <w:lvlJc w:val="left"/>
      <w:pPr>
        <w:tabs>
          <w:tab w:val="num" w:pos="1439"/>
        </w:tabs>
        <w:ind w:left="1439" w:right="1439" w:hanging="360"/>
      </w:pPr>
      <w:rPr>
        <w:rFonts w:ascii="Courier New" w:hAnsi="Courier New" w:hint="default"/>
      </w:rPr>
    </w:lvl>
    <w:lvl w:ilvl="2" w:tplc="04090005" w:tentative="1">
      <w:start w:val="1"/>
      <w:numFmt w:val="bullet"/>
      <w:lvlText w:val=""/>
      <w:lvlJc w:val="left"/>
      <w:pPr>
        <w:tabs>
          <w:tab w:val="num" w:pos="2159"/>
        </w:tabs>
        <w:ind w:left="2159" w:right="2159" w:hanging="360"/>
      </w:pPr>
      <w:rPr>
        <w:rFonts w:ascii="Wingdings" w:hAnsi="Wingdings" w:hint="default"/>
      </w:rPr>
    </w:lvl>
    <w:lvl w:ilvl="3" w:tplc="04090001" w:tentative="1">
      <w:start w:val="1"/>
      <w:numFmt w:val="bullet"/>
      <w:lvlText w:val=""/>
      <w:lvlJc w:val="left"/>
      <w:pPr>
        <w:tabs>
          <w:tab w:val="num" w:pos="2879"/>
        </w:tabs>
        <w:ind w:left="2879" w:right="2879" w:hanging="360"/>
      </w:pPr>
      <w:rPr>
        <w:rFonts w:ascii="Symbol" w:hAnsi="Symbol" w:hint="default"/>
      </w:rPr>
    </w:lvl>
    <w:lvl w:ilvl="4" w:tplc="04090003" w:tentative="1">
      <w:start w:val="1"/>
      <w:numFmt w:val="bullet"/>
      <w:lvlText w:val="o"/>
      <w:lvlJc w:val="left"/>
      <w:pPr>
        <w:tabs>
          <w:tab w:val="num" w:pos="3599"/>
        </w:tabs>
        <w:ind w:left="3599" w:right="3599" w:hanging="360"/>
      </w:pPr>
      <w:rPr>
        <w:rFonts w:ascii="Courier New" w:hAnsi="Courier New" w:hint="default"/>
      </w:rPr>
    </w:lvl>
    <w:lvl w:ilvl="5" w:tplc="04090005" w:tentative="1">
      <w:start w:val="1"/>
      <w:numFmt w:val="bullet"/>
      <w:lvlText w:val=""/>
      <w:lvlJc w:val="left"/>
      <w:pPr>
        <w:tabs>
          <w:tab w:val="num" w:pos="4319"/>
        </w:tabs>
        <w:ind w:left="4319" w:right="4319" w:hanging="360"/>
      </w:pPr>
      <w:rPr>
        <w:rFonts w:ascii="Wingdings" w:hAnsi="Wingdings" w:hint="default"/>
      </w:rPr>
    </w:lvl>
    <w:lvl w:ilvl="6" w:tplc="04090001" w:tentative="1">
      <w:start w:val="1"/>
      <w:numFmt w:val="bullet"/>
      <w:lvlText w:val=""/>
      <w:lvlJc w:val="left"/>
      <w:pPr>
        <w:tabs>
          <w:tab w:val="num" w:pos="5039"/>
        </w:tabs>
        <w:ind w:left="5039" w:right="5039" w:hanging="360"/>
      </w:pPr>
      <w:rPr>
        <w:rFonts w:ascii="Symbol" w:hAnsi="Symbol" w:hint="default"/>
      </w:rPr>
    </w:lvl>
    <w:lvl w:ilvl="7" w:tplc="04090003" w:tentative="1">
      <w:start w:val="1"/>
      <w:numFmt w:val="bullet"/>
      <w:lvlText w:val="o"/>
      <w:lvlJc w:val="left"/>
      <w:pPr>
        <w:tabs>
          <w:tab w:val="num" w:pos="5759"/>
        </w:tabs>
        <w:ind w:left="5759" w:right="5759" w:hanging="360"/>
      </w:pPr>
      <w:rPr>
        <w:rFonts w:ascii="Courier New" w:hAnsi="Courier New" w:hint="default"/>
      </w:rPr>
    </w:lvl>
    <w:lvl w:ilvl="8" w:tplc="04090005" w:tentative="1">
      <w:start w:val="1"/>
      <w:numFmt w:val="bullet"/>
      <w:lvlText w:val=""/>
      <w:lvlJc w:val="left"/>
      <w:pPr>
        <w:tabs>
          <w:tab w:val="num" w:pos="6479"/>
        </w:tabs>
        <w:ind w:left="6479" w:right="6479"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7"/>
  </w:num>
  <w:num w:numId="6">
    <w:abstractNumId w:val="5"/>
  </w:num>
  <w:num w:numId="7">
    <w:abstractNumId w:val="6"/>
  </w:num>
  <w:num w:numId="8">
    <w:abstractNumId w:val="2"/>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85"/>
    <w:rsid w:val="000006CC"/>
    <w:rsid w:val="000014BF"/>
    <w:rsid w:val="00004592"/>
    <w:rsid w:val="00007961"/>
    <w:rsid w:val="00010DEA"/>
    <w:rsid w:val="0001293E"/>
    <w:rsid w:val="000155AC"/>
    <w:rsid w:val="000160C6"/>
    <w:rsid w:val="000173A0"/>
    <w:rsid w:val="00021CA0"/>
    <w:rsid w:val="00021FB1"/>
    <w:rsid w:val="00024B89"/>
    <w:rsid w:val="00024DC4"/>
    <w:rsid w:val="000256AE"/>
    <w:rsid w:val="000309B2"/>
    <w:rsid w:val="000325A5"/>
    <w:rsid w:val="00032EB5"/>
    <w:rsid w:val="000372E4"/>
    <w:rsid w:val="00037F3F"/>
    <w:rsid w:val="00040345"/>
    <w:rsid w:val="00042C5D"/>
    <w:rsid w:val="00043A42"/>
    <w:rsid w:val="0004416E"/>
    <w:rsid w:val="00044FB1"/>
    <w:rsid w:val="00050F7A"/>
    <w:rsid w:val="00052713"/>
    <w:rsid w:val="00055750"/>
    <w:rsid w:val="00055F5D"/>
    <w:rsid w:val="00060396"/>
    <w:rsid w:val="00061E46"/>
    <w:rsid w:val="00061E57"/>
    <w:rsid w:val="00063D6B"/>
    <w:rsid w:val="00072429"/>
    <w:rsid w:val="000738E4"/>
    <w:rsid w:val="00080996"/>
    <w:rsid w:val="00082322"/>
    <w:rsid w:val="00082B83"/>
    <w:rsid w:val="000831D4"/>
    <w:rsid w:val="00084654"/>
    <w:rsid w:val="0008497B"/>
    <w:rsid w:val="00085502"/>
    <w:rsid w:val="00086825"/>
    <w:rsid w:val="00087016"/>
    <w:rsid w:val="00094E99"/>
    <w:rsid w:val="0009623F"/>
    <w:rsid w:val="000A1BB2"/>
    <w:rsid w:val="000A6978"/>
    <w:rsid w:val="000A72F0"/>
    <w:rsid w:val="000B115E"/>
    <w:rsid w:val="000B4759"/>
    <w:rsid w:val="000B623C"/>
    <w:rsid w:val="000B69AC"/>
    <w:rsid w:val="000B6CBB"/>
    <w:rsid w:val="000B7561"/>
    <w:rsid w:val="000C61B4"/>
    <w:rsid w:val="000D1EB5"/>
    <w:rsid w:val="000D5BD7"/>
    <w:rsid w:val="000E0705"/>
    <w:rsid w:val="000E1DA6"/>
    <w:rsid w:val="000E3CF4"/>
    <w:rsid w:val="000E61C9"/>
    <w:rsid w:val="000E7AC5"/>
    <w:rsid w:val="000F0897"/>
    <w:rsid w:val="000F485F"/>
    <w:rsid w:val="00104C2D"/>
    <w:rsid w:val="001050F5"/>
    <w:rsid w:val="00105244"/>
    <w:rsid w:val="00107643"/>
    <w:rsid w:val="001076EF"/>
    <w:rsid w:val="0010795A"/>
    <w:rsid w:val="001100CA"/>
    <w:rsid w:val="00112D33"/>
    <w:rsid w:val="00113A43"/>
    <w:rsid w:val="00116178"/>
    <w:rsid w:val="00132016"/>
    <w:rsid w:val="001321FA"/>
    <w:rsid w:val="001326AC"/>
    <w:rsid w:val="00132722"/>
    <w:rsid w:val="00134484"/>
    <w:rsid w:val="001420B2"/>
    <w:rsid w:val="00143516"/>
    <w:rsid w:val="00143A73"/>
    <w:rsid w:val="00147EB4"/>
    <w:rsid w:val="001600DB"/>
    <w:rsid w:val="00170336"/>
    <w:rsid w:val="0017078F"/>
    <w:rsid w:val="001713F1"/>
    <w:rsid w:val="001719F8"/>
    <w:rsid w:val="00172F2A"/>
    <w:rsid w:val="001730BD"/>
    <w:rsid w:val="00175805"/>
    <w:rsid w:val="00175C9B"/>
    <w:rsid w:val="001821C7"/>
    <w:rsid w:val="001824F5"/>
    <w:rsid w:val="00182FAF"/>
    <w:rsid w:val="00183511"/>
    <w:rsid w:val="00185576"/>
    <w:rsid w:val="00186269"/>
    <w:rsid w:val="001871C2"/>
    <w:rsid w:val="00190E4A"/>
    <w:rsid w:val="0019117F"/>
    <w:rsid w:val="001930A6"/>
    <w:rsid w:val="001956A8"/>
    <w:rsid w:val="00195C06"/>
    <w:rsid w:val="001A1AAE"/>
    <w:rsid w:val="001A2CE7"/>
    <w:rsid w:val="001A33C0"/>
    <w:rsid w:val="001B0255"/>
    <w:rsid w:val="001B6292"/>
    <w:rsid w:val="001C25E1"/>
    <w:rsid w:val="001C2E60"/>
    <w:rsid w:val="001C3A41"/>
    <w:rsid w:val="001C5ABF"/>
    <w:rsid w:val="001C73F4"/>
    <w:rsid w:val="001D2B6D"/>
    <w:rsid w:val="001E1035"/>
    <w:rsid w:val="001E2EEF"/>
    <w:rsid w:val="001F44A0"/>
    <w:rsid w:val="001F46A8"/>
    <w:rsid w:val="001F6319"/>
    <w:rsid w:val="001F6B10"/>
    <w:rsid w:val="001F7D75"/>
    <w:rsid w:val="002073D1"/>
    <w:rsid w:val="00210D04"/>
    <w:rsid w:val="002126E0"/>
    <w:rsid w:val="00215639"/>
    <w:rsid w:val="00215AED"/>
    <w:rsid w:val="00217FD3"/>
    <w:rsid w:val="0022551A"/>
    <w:rsid w:val="00225911"/>
    <w:rsid w:val="00226E31"/>
    <w:rsid w:val="00230799"/>
    <w:rsid w:val="00230BFA"/>
    <w:rsid w:val="00233ABC"/>
    <w:rsid w:val="002350BD"/>
    <w:rsid w:val="002405A8"/>
    <w:rsid w:val="00240B84"/>
    <w:rsid w:val="00243377"/>
    <w:rsid w:val="002451D5"/>
    <w:rsid w:val="002453DF"/>
    <w:rsid w:val="00254CB6"/>
    <w:rsid w:val="00255672"/>
    <w:rsid w:val="002577E7"/>
    <w:rsid w:val="00263DAA"/>
    <w:rsid w:val="002654E8"/>
    <w:rsid w:val="00274879"/>
    <w:rsid w:val="0027589B"/>
    <w:rsid w:val="002768D1"/>
    <w:rsid w:val="002779B4"/>
    <w:rsid w:val="00277AA3"/>
    <w:rsid w:val="0028002D"/>
    <w:rsid w:val="0028188C"/>
    <w:rsid w:val="002837C2"/>
    <w:rsid w:val="00292CF1"/>
    <w:rsid w:val="002956D0"/>
    <w:rsid w:val="002A1FE9"/>
    <w:rsid w:val="002A2972"/>
    <w:rsid w:val="002A3B29"/>
    <w:rsid w:val="002A4020"/>
    <w:rsid w:val="002A49D0"/>
    <w:rsid w:val="002A7859"/>
    <w:rsid w:val="002B1013"/>
    <w:rsid w:val="002B1415"/>
    <w:rsid w:val="002B27E2"/>
    <w:rsid w:val="002B2C30"/>
    <w:rsid w:val="002B2EE3"/>
    <w:rsid w:val="002C12C6"/>
    <w:rsid w:val="002C601E"/>
    <w:rsid w:val="002C6089"/>
    <w:rsid w:val="002C6C1C"/>
    <w:rsid w:val="002D2132"/>
    <w:rsid w:val="002D5B62"/>
    <w:rsid w:val="002D6502"/>
    <w:rsid w:val="002D70FD"/>
    <w:rsid w:val="002E189B"/>
    <w:rsid w:val="002E2276"/>
    <w:rsid w:val="002E6ADC"/>
    <w:rsid w:val="002E7F22"/>
    <w:rsid w:val="002F2467"/>
    <w:rsid w:val="002F3D47"/>
    <w:rsid w:val="002F72CB"/>
    <w:rsid w:val="003005E9"/>
    <w:rsid w:val="00300667"/>
    <w:rsid w:val="00304147"/>
    <w:rsid w:val="00317407"/>
    <w:rsid w:val="003174EF"/>
    <w:rsid w:val="00323A77"/>
    <w:rsid w:val="00324E05"/>
    <w:rsid w:val="003273B3"/>
    <w:rsid w:val="0032766C"/>
    <w:rsid w:val="00327ED7"/>
    <w:rsid w:val="00330E6B"/>
    <w:rsid w:val="003350DD"/>
    <w:rsid w:val="00335489"/>
    <w:rsid w:val="00335BCC"/>
    <w:rsid w:val="003430F3"/>
    <w:rsid w:val="0034412A"/>
    <w:rsid w:val="0034421A"/>
    <w:rsid w:val="0034559A"/>
    <w:rsid w:val="0035146E"/>
    <w:rsid w:val="00354D57"/>
    <w:rsid w:val="00354E87"/>
    <w:rsid w:val="00357223"/>
    <w:rsid w:val="00363682"/>
    <w:rsid w:val="00363F88"/>
    <w:rsid w:val="00364262"/>
    <w:rsid w:val="003655B7"/>
    <w:rsid w:val="00365E76"/>
    <w:rsid w:val="003733A6"/>
    <w:rsid w:val="003762E6"/>
    <w:rsid w:val="003769FD"/>
    <w:rsid w:val="0038058A"/>
    <w:rsid w:val="00385400"/>
    <w:rsid w:val="00387AE4"/>
    <w:rsid w:val="003925B6"/>
    <w:rsid w:val="003947AE"/>
    <w:rsid w:val="00395601"/>
    <w:rsid w:val="003979BF"/>
    <w:rsid w:val="00397A64"/>
    <w:rsid w:val="003A1871"/>
    <w:rsid w:val="003B176F"/>
    <w:rsid w:val="003B1DF1"/>
    <w:rsid w:val="003B3EB8"/>
    <w:rsid w:val="003B409B"/>
    <w:rsid w:val="003B4463"/>
    <w:rsid w:val="003B75E7"/>
    <w:rsid w:val="003C1022"/>
    <w:rsid w:val="003D34A4"/>
    <w:rsid w:val="003D5012"/>
    <w:rsid w:val="003E0989"/>
    <w:rsid w:val="003E15A6"/>
    <w:rsid w:val="003E3009"/>
    <w:rsid w:val="003E46B9"/>
    <w:rsid w:val="003F1AA6"/>
    <w:rsid w:val="003F1CF5"/>
    <w:rsid w:val="003F6144"/>
    <w:rsid w:val="003F7A17"/>
    <w:rsid w:val="0040302B"/>
    <w:rsid w:val="004204DE"/>
    <w:rsid w:val="00432D50"/>
    <w:rsid w:val="004334CF"/>
    <w:rsid w:val="004335D7"/>
    <w:rsid w:val="004367F2"/>
    <w:rsid w:val="00437A54"/>
    <w:rsid w:val="00440060"/>
    <w:rsid w:val="0044131A"/>
    <w:rsid w:val="00441559"/>
    <w:rsid w:val="0044182E"/>
    <w:rsid w:val="00442B7A"/>
    <w:rsid w:val="00444BD7"/>
    <w:rsid w:val="00444EEC"/>
    <w:rsid w:val="004528D2"/>
    <w:rsid w:val="004611AA"/>
    <w:rsid w:val="004628C9"/>
    <w:rsid w:val="00465E3A"/>
    <w:rsid w:val="00472705"/>
    <w:rsid w:val="004735A7"/>
    <w:rsid w:val="00480C9E"/>
    <w:rsid w:val="00481DC8"/>
    <w:rsid w:val="00482011"/>
    <w:rsid w:val="0048262E"/>
    <w:rsid w:val="004829F8"/>
    <w:rsid w:val="00490F57"/>
    <w:rsid w:val="00491B28"/>
    <w:rsid w:val="004943CA"/>
    <w:rsid w:val="004968CE"/>
    <w:rsid w:val="004A1453"/>
    <w:rsid w:val="004A71E3"/>
    <w:rsid w:val="004B29A0"/>
    <w:rsid w:val="004B2FBF"/>
    <w:rsid w:val="004B447E"/>
    <w:rsid w:val="004B44C7"/>
    <w:rsid w:val="004C0F7A"/>
    <w:rsid w:val="004C1539"/>
    <w:rsid w:val="004C1576"/>
    <w:rsid w:val="004C50C3"/>
    <w:rsid w:val="004C68A4"/>
    <w:rsid w:val="004C6FE7"/>
    <w:rsid w:val="004C726A"/>
    <w:rsid w:val="004D5344"/>
    <w:rsid w:val="004E2772"/>
    <w:rsid w:val="004E2AA7"/>
    <w:rsid w:val="004E3618"/>
    <w:rsid w:val="004E3CC2"/>
    <w:rsid w:val="004E5EC4"/>
    <w:rsid w:val="004E5F3D"/>
    <w:rsid w:val="004E6199"/>
    <w:rsid w:val="004F0A8D"/>
    <w:rsid w:val="004F13AC"/>
    <w:rsid w:val="004F2885"/>
    <w:rsid w:val="004F5510"/>
    <w:rsid w:val="004F560B"/>
    <w:rsid w:val="004F5855"/>
    <w:rsid w:val="004F59C5"/>
    <w:rsid w:val="004F6830"/>
    <w:rsid w:val="004F6FEB"/>
    <w:rsid w:val="0050005D"/>
    <w:rsid w:val="00504812"/>
    <w:rsid w:val="005104AB"/>
    <w:rsid w:val="00513A3E"/>
    <w:rsid w:val="0051480E"/>
    <w:rsid w:val="00517904"/>
    <w:rsid w:val="00521155"/>
    <w:rsid w:val="005230F4"/>
    <w:rsid w:val="00525E94"/>
    <w:rsid w:val="00526F70"/>
    <w:rsid w:val="00527813"/>
    <w:rsid w:val="005308B3"/>
    <w:rsid w:val="0053153E"/>
    <w:rsid w:val="00535462"/>
    <w:rsid w:val="0053694F"/>
    <w:rsid w:val="005447DF"/>
    <w:rsid w:val="00546CEF"/>
    <w:rsid w:val="005470AB"/>
    <w:rsid w:val="00547BF7"/>
    <w:rsid w:val="00551B4F"/>
    <w:rsid w:val="00553D46"/>
    <w:rsid w:val="00562332"/>
    <w:rsid w:val="005660B9"/>
    <w:rsid w:val="005671E3"/>
    <w:rsid w:val="005702DB"/>
    <w:rsid w:val="005721BB"/>
    <w:rsid w:val="00572801"/>
    <w:rsid w:val="00573C82"/>
    <w:rsid w:val="00574212"/>
    <w:rsid w:val="0057439E"/>
    <w:rsid w:val="00581391"/>
    <w:rsid w:val="005815B2"/>
    <w:rsid w:val="00582ACA"/>
    <w:rsid w:val="005838FC"/>
    <w:rsid w:val="00585D64"/>
    <w:rsid w:val="00590923"/>
    <w:rsid w:val="00591CD4"/>
    <w:rsid w:val="00594A95"/>
    <w:rsid w:val="005A03AF"/>
    <w:rsid w:val="005A0F99"/>
    <w:rsid w:val="005A1F59"/>
    <w:rsid w:val="005A31DF"/>
    <w:rsid w:val="005A3F21"/>
    <w:rsid w:val="005A5711"/>
    <w:rsid w:val="005A6013"/>
    <w:rsid w:val="005A715A"/>
    <w:rsid w:val="005B244F"/>
    <w:rsid w:val="005C0960"/>
    <w:rsid w:val="005C0C3C"/>
    <w:rsid w:val="005C5582"/>
    <w:rsid w:val="005C729C"/>
    <w:rsid w:val="005C76EE"/>
    <w:rsid w:val="005D0749"/>
    <w:rsid w:val="005D24F5"/>
    <w:rsid w:val="005D3784"/>
    <w:rsid w:val="005D6BCE"/>
    <w:rsid w:val="005D6BF0"/>
    <w:rsid w:val="005D79C8"/>
    <w:rsid w:val="005D7EA8"/>
    <w:rsid w:val="005E1B9A"/>
    <w:rsid w:val="005E5AEF"/>
    <w:rsid w:val="005E69F1"/>
    <w:rsid w:val="005F1C5D"/>
    <w:rsid w:val="00601C0B"/>
    <w:rsid w:val="0060216D"/>
    <w:rsid w:val="00605185"/>
    <w:rsid w:val="006076D6"/>
    <w:rsid w:val="0061170E"/>
    <w:rsid w:val="00615DA4"/>
    <w:rsid w:val="006175F5"/>
    <w:rsid w:val="00620BC6"/>
    <w:rsid w:val="00620E60"/>
    <w:rsid w:val="00622025"/>
    <w:rsid w:val="00622911"/>
    <w:rsid w:val="006243E6"/>
    <w:rsid w:val="006307FD"/>
    <w:rsid w:val="00631979"/>
    <w:rsid w:val="00633AAB"/>
    <w:rsid w:val="00633DBD"/>
    <w:rsid w:val="00633E54"/>
    <w:rsid w:val="00635747"/>
    <w:rsid w:val="006401C5"/>
    <w:rsid w:val="00640556"/>
    <w:rsid w:val="00640ADB"/>
    <w:rsid w:val="00642146"/>
    <w:rsid w:val="006426C7"/>
    <w:rsid w:val="006427C6"/>
    <w:rsid w:val="00642CF2"/>
    <w:rsid w:val="00642D45"/>
    <w:rsid w:val="0065002B"/>
    <w:rsid w:val="006502B8"/>
    <w:rsid w:val="00652169"/>
    <w:rsid w:val="00652484"/>
    <w:rsid w:val="00654065"/>
    <w:rsid w:val="006676D1"/>
    <w:rsid w:val="00667E14"/>
    <w:rsid w:val="00671203"/>
    <w:rsid w:val="0067133B"/>
    <w:rsid w:val="00675FC0"/>
    <w:rsid w:val="00677D86"/>
    <w:rsid w:val="006839AB"/>
    <w:rsid w:val="00694B08"/>
    <w:rsid w:val="006954BA"/>
    <w:rsid w:val="00696386"/>
    <w:rsid w:val="006A2B0F"/>
    <w:rsid w:val="006A31AE"/>
    <w:rsid w:val="006A423C"/>
    <w:rsid w:val="006A5465"/>
    <w:rsid w:val="006A6414"/>
    <w:rsid w:val="006A7B65"/>
    <w:rsid w:val="006B0089"/>
    <w:rsid w:val="006B14BC"/>
    <w:rsid w:val="006B2490"/>
    <w:rsid w:val="006B3189"/>
    <w:rsid w:val="006B4DF2"/>
    <w:rsid w:val="006B5EAC"/>
    <w:rsid w:val="006C7FBB"/>
    <w:rsid w:val="006D4C34"/>
    <w:rsid w:val="006D594C"/>
    <w:rsid w:val="006D5CBC"/>
    <w:rsid w:val="006E082F"/>
    <w:rsid w:val="006E1F6A"/>
    <w:rsid w:val="006E287A"/>
    <w:rsid w:val="006F2402"/>
    <w:rsid w:val="006F2D7E"/>
    <w:rsid w:val="006F310E"/>
    <w:rsid w:val="006F3620"/>
    <w:rsid w:val="006F5E42"/>
    <w:rsid w:val="00701914"/>
    <w:rsid w:val="00702D49"/>
    <w:rsid w:val="007031E9"/>
    <w:rsid w:val="00703693"/>
    <w:rsid w:val="00704134"/>
    <w:rsid w:val="007045F1"/>
    <w:rsid w:val="007075E5"/>
    <w:rsid w:val="00707664"/>
    <w:rsid w:val="00710A78"/>
    <w:rsid w:val="00715307"/>
    <w:rsid w:val="00715769"/>
    <w:rsid w:val="0071606B"/>
    <w:rsid w:val="00716F52"/>
    <w:rsid w:val="007170ED"/>
    <w:rsid w:val="0071767C"/>
    <w:rsid w:val="0072057E"/>
    <w:rsid w:val="00723DA7"/>
    <w:rsid w:val="00733F16"/>
    <w:rsid w:val="007351A5"/>
    <w:rsid w:val="00744176"/>
    <w:rsid w:val="007525A7"/>
    <w:rsid w:val="00752A29"/>
    <w:rsid w:val="00753FE7"/>
    <w:rsid w:val="00754003"/>
    <w:rsid w:val="00755DFE"/>
    <w:rsid w:val="00755EE1"/>
    <w:rsid w:val="0075693B"/>
    <w:rsid w:val="00756D44"/>
    <w:rsid w:val="00760336"/>
    <w:rsid w:val="00760F55"/>
    <w:rsid w:val="00762746"/>
    <w:rsid w:val="00762921"/>
    <w:rsid w:val="007673A1"/>
    <w:rsid w:val="007706E8"/>
    <w:rsid w:val="0077087F"/>
    <w:rsid w:val="007725FD"/>
    <w:rsid w:val="0077404C"/>
    <w:rsid w:val="0077507D"/>
    <w:rsid w:val="00783BF7"/>
    <w:rsid w:val="0078526A"/>
    <w:rsid w:val="00786991"/>
    <w:rsid w:val="0078794C"/>
    <w:rsid w:val="00793283"/>
    <w:rsid w:val="007939E2"/>
    <w:rsid w:val="007946E6"/>
    <w:rsid w:val="00794CF6"/>
    <w:rsid w:val="007A0ACB"/>
    <w:rsid w:val="007A1D08"/>
    <w:rsid w:val="007A2405"/>
    <w:rsid w:val="007A42B0"/>
    <w:rsid w:val="007A514B"/>
    <w:rsid w:val="007A56D3"/>
    <w:rsid w:val="007A7605"/>
    <w:rsid w:val="007B155F"/>
    <w:rsid w:val="007C02BD"/>
    <w:rsid w:val="007C2A3D"/>
    <w:rsid w:val="007C5459"/>
    <w:rsid w:val="007C5AEA"/>
    <w:rsid w:val="007C5D9D"/>
    <w:rsid w:val="007D03F2"/>
    <w:rsid w:val="007D1946"/>
    <w:rsid w:val="007D3670"/>
    <w:rsid w:val="007D5619"/>
    <w:rsid w:val="007D7557"/>
    <w:rsid w:val="007E0375"/>
    <w:rsid w:val="007E419A"/>
    <w:rsid w:val="007E5B79"/>
    <w:rsid w:val="007F11B5"/>
    <w:rsid w:val="007F1306"/>
    <w:rsid w:val="007F1710"/>
    <w:rsid w:val="007F513B"/>
    <w:rsid w:val="007F5465"/>
    <w:rsid w:val="007F7BB1"/>
    <w:rsid w:val="00802962"/>
    <w:rsid w:val="00804874"/>
    <w:rsid w:val="0081020F"/>
    <w:rsid w:val="00810573"/>
    <w:rsid w:val="00810AB8"/>
    <w:rsid w:val="00814F40"/>
    <w:rsid w:val="00815253"/>
    <w:rsid w:val="008166A1"/>
    <w:rsid w:val="008167FB"/>
    <w:rsid w:val="00816C1A"/>
    <w:rsid w:val="008177AB"/>
    <w:rsid w:val="00822F12"/>
    <w:rsid w:val="008230D0"/>
    <w:rsid w:val="00824AD5"/>
    <w:rsid w:val="00825235"/>
    <w:rsid w:val="00826D05"/>
    <w:rsid w:val="00832788"/>
    <w:rsid w:val="0083365D"/>
    <w:rsid w:val="00836185"/>
    <w:rsid w:val="00842135"/>
    <w:rsid w:val="00842CC8"/>
    <w:rsid w:val="00843076"/>
    <w:rsid w:val="00843353"/>
    <w:rsid w:val="00843433"/>
    <w:rsid w:val="00844380"/>
    <w:rsid w:val="00844581"/>
    <w:rsid w:val="00845A4E"/>
    <w:rsid w:val="008467D0"/>
    <w:rsid w:val="00847A8A"/>
    <w:rsid w:val="00847D89"/>
    <w:rsid w:val="0085304B"/>
    <w:rsid w:val="00856AB5"/>
    <w:rsid w:val="0085745B"/>
    <w:rsid w:val="00857888"/>
    <w:rsid w:val="0086440C"/>
    <w:rsid w:val="0086629F"/>
    <w:rsid w:val="0087180D"/>
    <w:rsid w:val="0087202C"/>
    <w:rsid w:val="0087345F"/>
    <w:rsid w:val="00875371"/>
    <w:rsid w:val="0087610A"/>
    <w:rsid w:val="008805A0"/>
    <w:rsid w:val="00883CE9"/>
    <w:rsid w:val="00886522"/>
    <w:rsid w:val="00887F14"/>
    <w:rsid w:val="008901B5"/>
    <w:rsid w:val="00890F40"/>
    <w:rsid w:val="008A18DC"/>
    <w:rsid w:val="008A75A5"/>
    <w:rsid w:val="008B1A8E"/>
    <w:rsid w:val="008B205A"/>
    <w:rsid w:val="008B2ED8"/>
    <w:rsid w:val="008B3A30"/>
    <w:rsid w:val="008B3CD2"/>
    <w:rsid w:val="008B44CE"/>
    <w:rsid w:val="008B6241"/>
    <w:rsid w:val="008C3C43"/>
    <w:rsid w:val="008C622D"/>
    <w:rsid w:val="008D24CE"/>
    <w:rsid w:val="008D2C5B"/>
    <w:rsid w:val="008D3FD1"/>
    <w:rsid w:val="008D40C7"/>
    <w:rsid w:val="008E0504"/>
    <w:rsid w:val="008E27C5"/>
    <w:rsid w:val="008E5313"/>
    <w:rsid w:val="008E579B"/>
    <w:rsid w:val="008F0EBB"/>
    <w:rsid w:val="008F2CD5"/>
    <w:rsid w:val="008F51A7"/>
    <w:rsid w:val="008F7D61"/>
    <w:rsid w:val="008F7EF4"/>
    <w:rsid w:val="009009BE"/>
    <w:rsid w:val="0090199B"/>
    <w:rsid w:val="00907150"/>
    <w:rsid w:val="00907B35"/>
    <w:rsid w:val="009101FD"/>
    <w:rsid w:val="00912957"/>
    <w:rsid w:val="00915243"/>
    <w:rsid w:val="009173FE"/>
    <w:rsid w:val="00921238"/>
    <w:rsid w:val="00926A7B"/>
    <w:rsid w:val="00926D25"/>
    <w:rsid w:val="009274E8"/>
    <w:rsid w:val="00932B1A"/>
    <w:rsid w:val="00935049"/>
    <w:rsid w:val="00935CEC"/>
    <w:rsid w:val="00936EB6"/>
    <w:rsid w:val="00937113"/>
    <w:rsid w:val="00940DD2"/>
    <w:rsid w:val="0094259D"/>
    <w:rsid w:val="009441F8"/>
    <w:rsid w:val="00944DF1"/>
    <w:rsid w:val="00946D5F"/>
    <w:rsid w:val="00947CB0"/>
    <w:rsid w:val="009536CF"/>
    <w:rsid w:val="00953B85"/>
    <w:rsid w:val="00955541"/>
    <w:rsid w:val="00956597"/>
    <w:rsid w:val="00962429"/>
    <w:rsid w:val="00962E02"/>
    <w:rsid w:val="0096654F"/>
    <w:rsid w:val="009704B0"/>
    <w:rsid w:val="009770A0"/>
    <w:rsid w:val="00977A74"/>
    <w:rsid w:val="00983322"/>
    <w:rsid w:val="009848BD"/>
    <w:rsid w:val="0098562B"/>
    <w:rsid w:val="0098589F"/>
    <w:rsid w:val="00986036"/>
    <w:rsid w:val="009868DE"/>
    <w:rsid w:val="00991A1B"/>
    <w:rsid w:val="009930DA"/>
    <w:rsid w:val="00993317"/>
    <w:rsid w:val="00995940"/>
    <w:rsid w:val="009965C3"/>
    <w:rsid w:val="009A2020"/>
    <w:rsid w:val="009A2E70"/>
    <w:rsid w:val="009A5868"/>
    <w:rsid w:val="009A761B"/>
    <w:rsid w:val="009B64C6"/>
    <w:rsid w:val="009C4A72"/>
    <w:rsid w:val="009C66B2"/>
    <w:rsid w:val="009C6A62"/>
    <w:rsid w:val="009D7850"/>
    <w:rsid w:val="009E2C7D"/>
    <w:rsid w:val="009F0385"/>
    <w:rsid w:val="009F340C"/>
    <w:rsid w:val="009F5450"/>
    <w:rsid w:val="009F7512"/>
    <w:rsid w:val="00A00929"/>
    <w:rsid w:val="00A028B7"/>
    <w:rsid w:val="00A02CB6"/>
    <w:rsid w:val="00A03156"/>
    <w:rsid w:val="00A03DFD"/>
    <w:rsid w:val="00A04AEA"/>
    <w:rsid w:val="00A04FB4"/>
    <w:rsid w:val="00A05F33"/>
    <w:rsid w:val="00A068E2"/>
    <w:rsid w:val="00A1196B"/>
    <w:rsid w:val="00A1277B"/>
    <w:rsid w:val="00A14F59"/>
    <w:rsid w:val="00A329B9"/>
    <w:rsid w:val="00A40238"/>
    <w:rsid w:val="00A413BC"/>
    <w:rsid w:val="00A42A6D"/>
    <w:rsid w:val="00A436C2"/>
    <w:rsid w:val="00A440B5"/>
    <w:rsid w:val="00A44BC4"/>
    <w:rsid w:val="00A464BC"/>
    <w:rsid w:val="00A465A4"/>
    <w:rsid w:val="00A524D9"/>
    <w:rsid w:val="00A535B6"/>
    <w:rsid w:val="00A550DC"/>
    <w:rsid w:val="00A61CAA"/>
    <w:rsid w:val="00A62FCB"/>
    <w:rsid w:val="00A67885"/>
    <w:rsid w:val="00A70691"/>
    <w:rsid w:val="00A70873"/>
    <w:rsid w:val="00A71724"/>
    <w:rsid w:val="00A71C5C"/>
    <w:rsid w:val="00A72053"/>
    <w:rsid w:val="00A72D47"/>
    <w:rsid w:val="00A774C2"/>
    <w:rsid w:val="00A8001D"/>
    <w:rsid w:val="00A8304C"/>
    <w:rsid w:val="00A833AC"/>
    <w:rsid w:val="00A85B09"/>
    <w:rsid w:val="00A86D20"/>
    <w:rsid w:val="00A873AA"/>
    <w:rsid w:val="00A920F2"/>
    <w:rsid w:val="00A941C3"/>
    <w:rsid w:val="00A95C48"/>
    <w:rsid w:val="00A974CB"/>
    <w:rsid w:val="00A97BFD"/>
    <w:rsid w:val="00AB2A3B"/>
    <w:rsid w:val="00AB6FC3"/>
    <w:rsid w:val="00AC064A"/>
    <w:rsid w:val="00AC2319"/>
    <w:rsid w:val="00AC3E33"/>
    <w:rsid w:val="00AC670C"/>
    <w:rsid w:val="00AD0CFC"/>
    <w:rsid w:val="00AD4188"/>
    <w:rsid w:val="00AD75E3"/>
    <w:rsid w:val="00AF107A"/>
    <w:rsid w:val="00AF51C1"/>
    <w:rsid w:val="00AF6C21"/>
    <w:rsid w:val="00AF7450"/>
    <w:rsid w:val="00B05673"/>
    <w:rsid w:val="00B06CD9"/>
    <w:rsid w:val="00B13459"/>
    <w:rsid w:val="00B1417F"/>
    <w:rsid w:val="00B173E1"/>
    <w:rsid w:val="00B20867"/>
    <w:rsid w:val="00B217E4"/>
    <w:rsid w:val="00B23C69"/>
    <w:rsid w:val="00B25C07"/>
    <w:rsid w:val="00B27158"/>
    <w:rsid w:val="00B27367"/>
    <w:rsid w:val="00B30D86"/>
    <w:rsid w:val="00B32B44"/>
    <w:rsid w:val="00B3564F"/>
    <w:rsid w:val="00B356E1"/>
    <w:rsid w:val="00B36303"/>
    <w:rsid w:val="00B36424"/>
    <w:rsid w:val="00B40F7E"/>
    <w:rsid w:val="00B42812"/>
    <w:rsid w:val="00B45F72"/>
    <w:rsid w:val="00B4627D"/>
    <w:rsid w:val="00B50D91"/>
    <w:rsid w:val="00B6142A"/>
    <w:rsid w:val="00B6146E"/>
    <w:rsid w:val="00B62FB9"/>
    <w:rsid w:val="00B6423A"/>
    <w:rsid w:val="00B6451F"/>
    <w:rsid w:val="00B64F08"/>
    <w:rsid w:val="00B65DCB"/>
    <w:rsid w:val="00B66B29"/>
    <w:rsid w:val="00B67F78"/>
    <w:rsid w:val="00B76EF7"/>
    <w:rsid w:val="00B77090"/>
    <w:rsid w:val="00B772B5"/>
    <w:rsid w:val="00B81B0A"/>
    <w:rsid w:val="00B840C1"/>
    <w:rsid w:val="00B8777A"/>
    <w:rsid w:val="00B94D0B"/>
    <w:rsid w:val="00B96DF5"/>
    <w:rsid w:val="00BB4E42"/>
    <w:rsid w:val="00BC0DE9"/>
    <w:rsid w:val="00BC5ECC"/>
    <w:rsid w:val="00BC5EEC"/>
    <w:rsid w:val="00BD2D86"/>
    <w:rsid w:val="00BD3615"/>
    <w:rsid w:val="00BD70F7"/>
    <w:rsid w:val="00BE09B4"/>
    <w:rsid w:val="00BE1D84"/>
    <w:rsid w:val="00BF2F8B"/>
    <w:rsid w:val="00BF38D6"/>
    <w:rsid w:val="00C01D0A"/>
    <w:rsid w:val="00C07A4D"/>
    <w:rsid w:val="00C109AF"/>
    <w:rsid w:val="00C1177B"/>
    <w:rsid w:val="00C13267"/>
    <w:rsid w:val="00C134CD"/>
    <w:rsid w:val="00C142F2"/>
    <w:rsid w:val="00C14C1B"/>
    <w:rsid w:val="00C1582B"/>
    <w:rsid w:val="00C22BF9"/>
    <w:rsid w:val="00C22F82"/>
    <w:rsid w:val="00C2366A"/>
    <w:rsid w:val="00C257F1"/>
    <w:rsid w:val="00C26C6B"/>
    <w:rsid w:val="00C30CCD"/>
    <w:rsid w:val="00C331ED"/>
    <w:rsid w:val="00C3331E"/>
    <w:rsid w:val="00C34104"/>
    <w:rsid w:val="00C36AD7"/>
    <w:rsid w:val="00C377F3"/>
    <w:rsid w:val="00C40119"/>
    <w:rsid w:val="00C40748"/>
    <w:rsid w:val="00C459D0"/>
    <w:rsid w:val="00C45DE6"/>
    <w:rsid w:val="00C47810"/>
    <w:rsid w:val="00C47E05"/>
    <w:rsid w:val="00C50BA8"/>
    <w:rsid w:val="00C517BA"/>
    <w:rsid w:val="00C55DBF"/>
    <w:rsid w:val="00C604E1"/>
    <w:rsid w:val="00C61DEF"/>
    <w:rsid w:val="00C63062"/>
    <w:rsid w:val="00C64B19"/>
    <w:rsid w:val="00C6555D"/>
    <w:rsid w:val="00C65571"/>
    <w:rsid w:val="00C70991"/>
    <w:rsid w:val="00C715E8"/>
    <w:rsid w:val="00C77419"/>
    <w:rsid w:val="00C802BE"/>
    <w:rsid w:val="00C83E80"/>
    <w:rsid w:val="00C84AF1"/>
    <w:rsid w:val="00C86F15"/>
    <w:rsid w:val="00C97078"/>
    <w:rsid w:val="00CA113C"/>
    <w:rsid w:val="00CA3041"/>
    <w:rsid w:val="00CA327E"/>
    <w:rsid w:val="00CA6962"/>
    <w:rsid w:val="00CA69B4"/>
    <w:rsid w:val="00CA6DD1"/>
    <w:rsid w:val="00CB1E0E"/>
    <w:rsid w:val="00CC321B"/>
    <w:rsid w:val="00CC7F1C"/>
    <w:rsid w:val="00CD47A8"/>
    <w:rsid w:val="00CD485D"/>
    <w:rsid w:val="00CD4EE6"/>
    <w:rsid w:val="00CD5E62"/>
    <w:rsid w:val="00CE010E"/>
    <w:rsid w:val="00CE35A6"/>
    <w:rsid w:val="00CE4769"/>
    <w:rsid w:val="00CE53C4"/>
    <w:rsid w:val="00CF28A4"/>
    <w:rsid w:val="00CF5B04"/>
    <w:rsid w:val="00CF702D"/>
    <w:rsid w:val="00CF7F5F"/>
    <w:rsid w:val="00D00F1C"/>
    <w:rsid w:val="00D010B0"/>
    <w:rsid w:val="00D01BE8"/>
    <w:rsid w:val="00D0536E"/>
    <w:rsid w:val="00D116E1"/>
    <w:rsid w:val="00D13950"/>
    <w:rsid w:val="00D15F75"/>
    <w:rsid w:val="00D2394D"/>
    <w:rsid w:val="00D25B64"/>
    <w:rsid w:val="00D27548"/>
    <w:rsid w:val="00D41F4F"/>
    <w:rsid w:val="00D444F8"/>
    <w:rsid w:val="00D470C1"/>
    <w:rsid w:val="00D50A66"/>
    <w:rsid w:val="00D50BA3"/>
    <w:rsid w:val="00D57316"/>
    <w:rsid w:val="00D61D5F"/>
    <w:rsid w:val="00D62C65"/>
    <w:rsid w:val="00D63B22"/>
    <w:rsid w:val="00D65101"/>
    <w:rsid w:val="00D65F64"/>
    <w:rsid w:val="00D66DBB"/>
    <w:rsid w:val="00D66E73"/>
    <w:rsid w:val="00D67DD6"/>
    <w:rsid w:val="00D74E80"/>
    <w:rsid w:val="00D7621E"/>
    <w:rsid w:val="00D7631E"/>
    <w:rsid w:val="00D76772"/>
    <w:rsid w:val="00D7684E"/>
    <w:rsid w:val="00D81150"/>
    <w:rsid w:val="00D825CF"/>
    <w:rsid w:val="00D8645E"/>
    <w:rsid w:val="00D91F6E"/>
    <w:rsid w:val="00DB01D0"/>
    <w:rsid w:val="00DB1602"/>
    <w:rsid w:val="00DB49BF"/>
    <w:rsid w:val="00DB58AA"/>
    <w:rsid w:val="00DC1BC8"/>
    <w:rsid w:val="00DC4604"/>
    <w:rsid w:val="00DC7F28"/>
    <w:rsid w:val="00DD5FFB"/>
    <w:rsid w:val="00DD75F6"/>
    <w:rsid w:val="00DD7907"/>
    <w:rsid w:val="00DE13C9"/>
    <w:rsid w:val="00DE25DE"/>
    <w:rsid w:val="00DE2D01"/>
    <w:rsid w:val="00DE3025"/>
    <w:rsid w:val="00DE4CD6"/>
    <w:rsid w:val="00DE7C16"/>
    <w:rsid w:val="00DF4615"/>
    <w:rsid w:val="00DF5582"/>
    <w:rsid w:val="00DF5CD1"/>
    <w:rsid w:val="00DF6C04"/>
    <w:rsid w:val="00E00392"/>
    <w:rsid w:val="00E00E6E"/>
    <w:rsid w:val="00E01AC4"/>
    <w:rsid w:val="00E043B2"/>
    <w:rsid w:val="00E0494F"/>
    <w:rsid w:val="00E05DD7"/>
    <w:rsid w:val="00E108FA"/>
    <w:rsid w:val="00E11718"/>
    <w:rsid w:val="00E219BA"/>
    <w:rsid w:val="00E312AB"/>
    <w:rsid w:val="00E35405"/>
    <w:rsid w:val="00E3632A"/>
    <w:rsid w:val="00E37B3C"/>
    <w:rsid w:val="00E403DA"/>
    <w:rsid w:val="00E462B9"/>
    <w:rsid w:val="00E50C24"/>
    <w:rsid w:val="00E50F2F"/>
    <w:rsid w:val="00E51C13"/>
    <w:rsid w:val="00E52C41"/>
    <w:rsid w:val="00E53A0F"/>
    <w:rsid w:val="00E540B1"/>
    <w:rsid w:val="00E54BE6"/>
    <w:rsid w:val="00E55995"/>
    <w:rsid w:val="00E5735D"/>
    <w:rsid w:val="00E57B23"/>
    <w:rsid w:val="00E601A6"/>
    <w:rsid w:val="00E60702"/>
    <w:rsid w:val="00E61DBC"/>
    <w:rsid w:val="00E64B3A"/>
    <w:rsid w:val="00E7267E"/>
    <w:rsid w:val="00E7330A"/>
    <w:rsid w:val="00E73C85"/>
    <w:rsid w:val="00E768E4"/>
    <w:rsid w:val="00E81B27"/>
    <w:rsid w:val="00E83B44"/>
    <w:rsid w:val="00E8566F"/>
    <w:rsid w:val="00E864D9"/>
    <w:rsid w:val="00E9351D"/>
    <w:rsid w:val="00E942EA"/>
    <w:rsid w:val="00E95CB7"/>
    <w:rsid w:val="00EA0880"/>
    <w:rsid w:val="00EA2460"/>
    <w:rsid w:val="00EA3DBD"/>
    <w:rsid w:val="00EA4282"/>
    <w:rsid w:val="00EA598C"/>
    <w:rsid w:val="00EB202E"/>
    <w:rsid w:val="00EB3D9D"/>
    <w:rsid w:val="00EB47DA"/>
    <w:rsid w:val="00EB6BE4"/>
    <w:rsid w:val="00EC0BFA"/>
    <w:rsid w:val="00EC7F74"/>
    <w:rsid w:val="00ED08E8"/>
    <w:rsid w:val="00ED1A64"/>
    <w:rsid w:val="00ED2FF6"/>
    <w:rsid w:val="00ED7F1F"/>
    <w:rsid w:val="00EE3400"/>
    <w:rsid w:val="00EE4825"/>
    <w:rsid w:val="00EE6500"/>
    <w:rsid w:val="00EE74BC"/>
    <w:rsid w:val="00EF0017"/>
    <w:rsid w:val="00EF5A77"/>
    <w:rsid w:val="00F00C0B"/>
    <w:rsid w:val="00F02DB1"/>
    <w:rsid w:val="00F03143"/>
    <w:rsid w:val="00F04A18"/>
    <w:rsid w:val="00F055A2"/>
    <w:rsid w:val="00F06DCB"/>
    <w:rsid w:val="00F07DCF"/>
    <w:rsid w:val="00F1157C"/>
    <w:rsid w:val="00F12C91"/>
    <w:rsid w:val="00F14008"/>
    <w:rsid w:val="00F154C8"/>
    <w:rsid w:val="00F15C81"/>
    <w:rsid w:val="00F22F3A"/>
    <w:rsid w:val="00F25138"/>
    <w:rsid w:val="00F2534D"/>
    <w:rsid w:val="00F3145B"/>
    <w:rsid w:val="00F31B62"/>
    <w:rsid w:val="00F31BA6"/>
    <w:rsid w:val="00F33192"/>
    <w:rsid w:val="00F3507B"/>
    <w:rsid w:val="00F3549A"/>
    <w:rsid w:val="00F36641"/>
    <w:rsid w:val="00F40607"/>
    <w:rsid w:val="00F41BFC"/>
    <w:rsid w:val="00F42DC6"/>
    <w:rsid w:val="00F43DFF"/>
    <w:rsid w:val="00F502C2"/>
    <w:rsid w:val="00F50DE5"/>
    <w:rsid w:val="00F525BF"/>
    <w:rsid w:val="00F53313"/>
    <w:rsid w:val="00F53BBE"/>
    <w:rsid w:val="00F60D56"/>
    <w:rsid w:val="00F6209E"/>
    <w:rsid w:val="00F624FB"/>
    <w:rsid w:val="00F62BF0"/>
    <w:rsid w:val="00F636AC"/>
    <w:rsid w:val="00F64561"/>
    <w:rsid w:val="00F657CB"/>
    <w:rsid w:val="00F671D1"/>
    <w:rsid w:val="00F67A4F"/>
    <w:rsid w:val="00F70FD5"/>
    <w:rsid w:val="00F75574"/>
    <w:rsid w:val="00F76D39"/>
    <w:rsid w:val="00F77803"/>
    <w:rsid w:val="00F77C8D"/>
    <w:rsid w:val="00F809D8"/>
    <w:rsid w:val="00F85C03"/>
    <w:rsid w:val="00F91AE5"/>
    <w:rsid w:val="00F91FE8"/>
    <w:rsid w:val="00F95CE6"/>
    <w:rsid w:val="00F97302"/>
    <w:rsid w:val="00FA000C"/>
    <w:rsid w:val="00FA0A04"/>
    <w:rsid w:val="00FA1398"/>
    <w:rsid w:val="00FA4B82"/>
    <w:rsid w:val="00FA51CE"/>
    <w:rsid w:val="00FA66CB"/>
    <w:rsid w:val="00FA788B"/>
    <w:rsid w:val="00FB0F3C"/>
    <w:rsid w:val="00FB298D"/>
    <w:rsid w:val="00FB496A"/>
    <w:rsid w:val="00FB523C"/>
    <w:rsid w:val="00FC10EC"/>
    <w:rsid w:val="00FC2236"/>
    <w:rsid w:val="00FC28A6"/>
    <w:rsid w:val="00FC3D14"/>
    <w:rsid w:val="00FD13E8"/>
    <w:rsid w:val="00FD154B"/>
    <w:rsid w:val="00FD45B5"/>
    <w:rsid w:val="00FD6034"/>
    <w:rsid w:val="00FD723A"/>
    <w:rsid w:val="00FE0FA4"/>
    <w:rsid w:val="00FE107A"/>
    <w:rsid w:val="00FE1127"/>
    <w:rsid w:val="00FE2574"/>
    <w:rsid w:val="00FE70C9"/>
    <w:rsid w:val="00FE7E8A"/>
    <w:rsid w:val="00FF01F8"/>
    <w:rsid w:val="00FF0931"/>
    <w:rsid w:val="00FF1C54"/>
    <w:rsid w:val="00FF21AD"/>
    <w:rsid w:val="00FF3252"/>
    <w:rsid w:val="00FF42F1"/>
    <w:rsid w:val="00FF7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46823"/>
  <w15:docId w15:val="{1CA20556-0D48-4249-8492-DDD01245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ABF"/>
    <w:pPr>
      <w:overflowPunct w:val="0"/>
      <w:autoSpaceDE w:val="0"/>
      <w:autoSpaceDN w:val="0"/>
      <w:adjustRightInd w:val="0"/>
      <w:textAlignment w:val="baseline"/>
    </w:pPr>
  </w:style>
  <w:style w:type="paragraph" w:styleId="Heading1">
    <w:name w:val="heading 1"/>
    <w:basedOn w:val="Normal"/>
    <w:next w:val="Normal"/>
    <w:qFormat/>
    <w:rsid w:val="001C5ABF"/>
    <w:pPr>
      <w:keepNext/>
      <w:bidi/>
      <w:outlineLvl w:val="0"/>
    </w:pPr>
    <w:rPr>
      <w:rFonts w:cs="Simplified Arabic"/>
      <w:sz w:val="24"/>
      <w:szCs w:val="24"/>
    </w:rPr>
  </w:style>
  <w:style w:type="paragraph" w:styleId="Heading2">
    <w:name w:val="heading 2"/>
    <w:basedOn w:val="Normal"/>
    <w:next w:val="Normal"/>
    <w:qFormat/>
    <w:rsid w:val="001C5ABF"/>
    <w:pPr>
      <w:keepNext/>
      <w:bidi/>
      <w:jc w:val="both"/>
      <w:outlineLvl w:val="1"/>
    </w:pPr>
    <w:rPr>
      <w:rFonts w:cs="Simplified Arabic"/>
      <w:b/>
      <w:bCs/>
      <w:i/>
      <w:iCs/>
      <w:sz w:val="32"/>
      <w:szCs w:val="32"/>
    </w:rPr>
  </w:style>
  <w:style w:type="paragraph" w:styleId="Heading3">
    <w:name w:val="heading 3"/>
    <w:basedOn w:val="Normal"/>
    <w:next w:val="Normal"/>
    <w:qFormat/>
    <w:rsid w:val="001C5ABF"/>
    <w:pPr>
      <w:keepNext/>
      <w:bidi/>
      <w:jc w:val="both"/>
      <w:outlineLvl w:val="2"/>
    </w:pPr>
    <w:rPr>
      <w:rFonts w:cs="Simplified Arabic"/>
      <w:b/>
      <w:bCs/>
      <w:sz w:val="32"/>
      <w:szCs w:val="32"/>
    </w:rPr>
  </w:style>
  <w:style w:type="paragraph" w:styleId="Heading4">
    <w:name w:val="heading 4"/>
    <w:basedOn w:val="Normal"/>
    <w:next w:val="Normal"/>
    <w:qFormat/>
    <w:rsid w:val="001C5ABF"/>
    <w:pPr>
      <w:keepNext/>
      <w:bidi/>
      <w:jc w:val="both"/>
      <w:outlineLvl w:val="3"/>
    </w:pPr>
    <w:rPr>
      <w:rFonts w:cs="Simplified Arabic"/>
      <w:b/>
      <w:bCs/>
      <w:sz w:val="36"/>
      <w:szCs w:val="36"/>
    </w:rPr>
  </w:style>
  <w:style w:type="paragraph" w:styleId="Heading5">
    <w:name w:val="heading 5"/>
    <w:basedOn w:val="Normal"/>
    <w:next w:val="Normal"/>
    <w:qFormat/>
    <w:rsid w:val="001C5ABF"/>
    <w:pPr>
      <w:keepNext/>
      <w:bidi/>
      <w:jc w:val="both"/>
      <w:outlineLvl w:val="4"/>
    </w:pPr>
    <w:rPr>
      <w:rFonts w:cs="Simplified Arabic"/>
      <w:b/>
      <w:bCs/>
      <w:i/>
      <w:iCs/>
      <w:sz w:val="36"/>
      <w:szCs w:val="36"/>
    </w:rPr>
  </w:style>
  <w:style w:type="paragraph" w:styleId="Heading6">
    <w:name w:val="heading 6"/>
    <w:basedOn w:val="Normal"/>
    <w:next w:val="Normal"/>
    <w:qFormat/>
    <w:rsid w:val="001C5ABF"/>
    <w:pPr>
      <w:keepNext/>
      <w:jc w:val="center"/>
      <w:outlineLvl w:val="5"/>
    </w:pPr>
    <w:rPr>
      <w:rFonts w:cs="Simplified Arabic"/>
      <w:b/>
      <w:bCs/>
      <w:i/>
      <w:iCs/>
      <w:sz w:val="28"/>
      <w:szCs w:val="28"/>
    </w:rPr>
  </w:style>
  <w:style w:type="paragraph" w:styleId="Heading7">
    <w:name w:val="heading 7"/>
    <w:basedOn w:val="Normal"/>
    <w:next w:val="Normal"/>
    <w:qFormat/>
    <w:rsid w:val="001C5ABF"/>
    <w:pPr>
      <w:keepNext/>
      <w:overflowPunct/>
      <w:autoSpaceDE/>
      <w:autoSpaceDN/>
      <w:bidi/>
      <w:adjustRightInd/>
      <w:jc w:val="center"/>
      <w:textAlignment w:val="auto"/>
      <w:outlineLvl w:val="6"/>
    </w:pPr>
    <w:rPr>
      <w:rFonts w:cs="Simplified Arabic"/>
      <w:b/>
      <w:bCs/>
      <w:noProof/>
      <w:szCs w:val="32"/>
    </w:rPr>
  </w:style>
  <w:style w:type="paragraph" w:styleId="Heading8">
    <w:name w:val="heading 8"/>
    <w:basedOn w:val="Normal"/>
    <w:next w:val="Normal"/>
    <w:qFormat/>
    <w:rsid w:val="001C5ABF"/>
    <w:pPr>
      <w:keepNext/>
      <w:overflowPunct/>
      <w:autoSpaceDE/>
      <w:autoSpaceDN/>
      <w:adjustRightInd/>
      <w:jc w:val="center"/>
      <w:textAlignment w:val="auto"/>
      <w:outlineLvl w:val="7"/>
    </w:pPr>
    <w:rPr>
      <w:rFonts w:cs="Traditional Arabic"/>
      <w:b/>
      <w:bCs/>
      <w:noProof/>
      <w:sz w:val="28"/>
      <w:szCs w:val="22"/>
    </w:rPr>
  </w:style>
  <w:style w:type="paragraph" w:styleId="Heading9">
    <w:name w:val="heading 9"/>
    <w:basedOn w:val="Normal"/>
    <w:next w:val="Normal"/>
    <w:qFormat/>
    <w:rsid w:val="001C5ABF"/>
    <w:pPr>
      <w:keepNext/>
      <w:overflowPunct/>
      <w:autoSpaceDE/>
      <w:autoSpaceDN/>
      <w:bidi/>
      <w:adjustRightInd/>
      <w:spacing w:line="480" w:lineRule="exact"/>
      <w:ind w:left="318"/>
      <w:jc w:val="center"/>
      <w:textAlignment w:val="auto"/>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5ABF"/>
    <w:pPr>
      <w:tabs>
        <w:tab w:val="center" w:pos="4153"/>
        <w:tab w:val="right" w:pos="8306"/>
      </w:tabs>
    </w:pPr>
  </w:style>
  <w:style w:type="paragraph" w:styleId="Footer">
    <w:name w:val="footer"/>
    <w:basedOn w:val="Normal"/>
    <w:link w:val="FooterChar"/>
    <w:uiPriority w:val="99"/>
    <w:rsid w:val="001C5ABF"/>
    <w:pPr>
      <w:tabs>
        <w:tab w:val="center" w:pos="4153"/>
        <w:tab w:val="right" w:pos="8306"/>
      </w:tabs>
    </w:pPr>
  </w:style>
  <w:style w:type="paragraph" w:styleId="BodyText">
    <w:name w:val="Body Text"/>
    <w:basedOn w:val="Normal"/>
    <w:link w:val="BodyTextChar"/>
    <w:semiHidden/>
    <w:rsid w:val="001C5ABF"/>
    <w:pPr>
      <w:bidi/>
      <w:jc w:val="center"/>
    </w:pPr>
    <w:rPr>
      <w:rFonts w:cs="Simplified Arabic"/>
      <w:b/>
      <w:bCs/>
      <w:sz w:val="36"/>
      <w:szCs w:val="36"/>
    </w:rPr>
  </w:style>
  <w:style w:type="paragraph" w:styleId="FootnoteText">
    <w:name w:val="footnote text"/>
    <w:basedOn w:val="Normal"/>
    <w:semiHidden/>
    <w:rsid w:val="001C5ABF"/>
  </w:style>
  <w:style w:type="character" w:styleId="FootnoteReference">
    <w:name w:val="footnote reference"/>
    <w:basedOn w:val="DefaultParagraphFont"/>
    <w:semiHidden/>
    <w:rsid w:val="001C5ABF"/>
    <w:rPr>
      <w:vertAlign w:val="superscript"/>
    </w:rPr>
  </w:style>
  <w:style w:type="paragraph" w:styleId="Title">
    <w:name w:val="Title"/>
    <w:basedOn w:val="Normal"/>
    <w:qFormat/>
    <w:rsid w:val="001C5ABF"/>
    <w:pPr>
      <w:overflowPunct/>
      <w:autoSpaceDE/>
      <w:autoSpaceDN/>
      <w:bidi/>
      <w:adjustRightInd/>
      <w:jc w:val="center"/>
      <w:textAlignment w:val="auto"/>
    </w:pPr>
    <w:rPr>
      <w:rFonts w:cs="Simplified Arabic"/>
      <w:b/>
      <w:bCs/>
      <w:noProof/>
      <w:sz w:val="32"/>
      <w:szCs w:val="28"/>
    </w:rPr>
  </w:style>
  <w:style w:type="character" w:styleId="PageNumber">
    <w:name w:val="page number"/>
    <w:basedOn w:val="DefaultParagraphFont"/>
    <w:semiHidden/>
    <w:rsid w:val="001C5ABF"/>
  </w:style>
  <w:style w:type="paragraph" w:styleId="BodyText2">
    <w:name w:val="Body Text 2"/>
    <w:basedOn w:val="Normal"/>
    <w:semiHidden/>
    <w:rsid w:val="001C5ABF"/>
    <w:pPr>
      <w:bidi/>
    </w:pPr>
    <w:rPr>
      <w:rFonts w:cs="Simplified Arabic"/>
      <w:b/>
      <w:bCs/>
      <w:i/>
      <w:iCs/>
      <w:sz w:val="28"/>
      <w:szCs w:val="28"/>
    </w:rPr>
  </w:style>
  <w:style w:type="paragraph" w:styleId="BodyText3">
    <w:name w:val="Body Text 3"/>
    <w:basedOn w:val="Normal"/>
    <w:semiHidden/>
    <w:rsid w:val="001C5ABF"/>
    <w:pPr>
      <w:bidi/>
      <w:jc w:val="lowKashida"/>
    </w:pPr>
    <w:rPr>
      <w:rFonts w:cs="Simplified Arabic"/>
      <w:sz w:val="26"/>
      <w:szCs w:val="26"/>
    </w:rPr>
  </w:style>
  <w:style w:type="paragraph" w:styleId="BodyTextIndent">
    <w:name w:val="Body Text Indent"/>
    <w:basedOn w:val="Normal"/>
    <w:semiHidden/>
    <w:rsid w:val="001C5ABF"/>
    <w:pPr>
      <w:overflowPunct/>
      <w:autoSpaceDE/>
      <w:autoSpaceDN/>
      <w:bidi/>
      <w:adjustRightInd/>
      <w:jc w:val="lowKashida"/>
      <w:textAlignment w:val="auto"/>
    </w:pPr>
    <w:rPr>
      <w:rFonts w:cs="Simplified Arabic"/>
      <w:snapToGrid w:val="0"/>
      <w:sz w:val="24"/>
    </w:rPr>
  </w:style>
  <w:style w:type="paragraph" w:styleId="Subtitle">
    <w:name w:val="Subtitle"/>
    <w:basedOn w:val="Normal"/>
    <w:qFormat/>
    <w:rsid w:val="001C5ABF"/>
    <w:pPr>
      <w:bidi/>
      <w:jc w:val="center"/>
    </w:pPr>
    <w:rPr>
      <w:rFonts w:cs="Simplified Arabic"/>
      <w:i/>
      <w:iCs/>
      <w:sz w:val="24"/>
      <w:szCs w:val="24"/>
    </w:rPr>
  </w:style>
  <w:style w:type="paragraph" w:styleId="NormalWeb">
    <w:name w:val="Normal (Web)"/>
    <w:basedOn w:val="Normal"/>
    <w:semiHidden/>
    <w:rsid w:val="001C5ABF"/>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ar-SA"/>
    </w:rPr>
  </w:style>
  <w:style w:type="paragraph" w:styleId="BalloonText">
    <w:name w:val="Balloon Text"/>
    <w:basedOn w:val="Normal"/>
    <w:link w:val="BalloonTextChar"/>
    <w:uiPriority w:val="99"/>
    <w:semiHidden/>
    <w:unhideWhenUsed/>
    <w:rsid w:val="00BE1D84"/>
    <w:rPr>
      <w:rFonts w:ascii="Tahoma" w:hAnsi="Tahoma" w:cs="Tahoma"/>
      <w:sz w:val="16"/>
      <w:szCs w:val="16"/>
    </w:rPr>
  </w:style>
  <w:style w:type="character" w:customStyle="1" w:styleId="BalloonTextChar">
    <w:name w:val="Balloon Text Char"/>
    <w:basedOn w:val="DefaultParagraphFont"/>
    <w:link w:val="BalloonText"/>
    <w:uiPriority w:val="99"/>
    <w:semiHidden/>
    <w:rsid w:val="00BE1D84"/>
    <w:rPr>
      <w:rFonts w:ascii="Tahoma" w:hAnsi="Tahoma" w:cs="Tahoma"/>
      <w:sz w:val="16"/>
      <w:szCs w:val="16"/>
    </w:rPr>
  </w:style>
  <w:style w:type="character" w:customStyle="1" w:styleId="HeaderChar">
    <w:name w:val="Header Char"/>
    <w:basedOn w:val="DefaultParagraphFont"/>
    <w:link w:val="Header"/>
    <w:rsid w:val="003430F3"/>
  </w:style>
  <w:style w:type="table" w:styleId="TableGrid">
    <w:name w:val="Table Grid"/>
    <w:basedOn w:val="TableNormal"/>
    <w:uiPriority w:val="59"/>
    <w:rsid w:val="00E60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08497B"/>
    <w:rPr>
      <w:rFonts w:cs="Simplified Arabic"/>
      <w:b/>
      <w:bCs/>
      <w:sz w:val="36"/>
      <w:szCs w:val="36"/>
    </w:rPr>
  </w:style>
  <w:style w:type="paragraph" w:styleId="ListParagraph">
    <w:name w:val="List Paragraph"/>
    <w:basedOn w:val="Normal"/>
    <w:link w:val="ListParagraphChar"/>
    <w:uiPriority w:val="34"/>
    <w:qFormat/>
    <w:rsid w:val="00C802BE"/>
    <w:pPr>
      <w:ind w:left="720"/>
      <w:contextualSpacing/>
    </w:pPr>
  </w:style>
  <w:style w:type="character" w:styleId="Hyperlink">
    <w:name w:val="Hyperlink"/>
    <w:basedOn w:val="DefaultParagraphFont"/>
    <w:uiPriority w:val="99"/>
    <w:unhideWhenUsed/>
    <w:rsid w:val="00912957"/>
    <w:rPr>
      <w:color w:val="0000FF" w:themeColor="hyperlink"/>
      <w:u w:val="single"/>
    </w:rPr>
  </w:style>
  <w:style w:type="character" w:styleId="FollowedHyperlink">
    <w:name w:val="FollowedHyperlink"/>
    <w:basedOn w:val="DefaultParagraphFont"/>
    <w:uiPriority w:val="99"/>
    <w:semiHidden/>
    <w:unhideWhenUsed/>
    <w:rsid w:val="003B3EB8"/>
    <w:rPr>
      <w:color w:val="800080" w:themeColor="followedHyperlink"/>
      <w:u w:val="single"/>
    </w:rPr>
  </w:style>
  <w:style w:type="paragraph" w:styleId="Revision">
    <w:name w:val="Revision"/>
    <w:hidden/>
    <w:uiPriority w:val="99"/>
    <w:semiHidden/>
    <w:rsid w:val="00274879"/>
  </w:style>
  <w:style w:type="character" w:customStyle="1" w:styleId="UnresolvedMention">
    <w:name w:val="Unresolved Mention"/>
    <w:basedOn w:val="DefaultParagraphFont"/>
    <w:uiPriority w:val="99"/>
    <w:semiHidden/>
    <w:unhideWhenUsed/>
    <w:rsid w:val="007F513B"/>
    <w:rPr>
      <w:color w:val="605E5C"/>
      <w:shd w:val="clear" w:color="auto" w:fill="E1DFDD"/>
    </w:rPr>
  </w:style>
  <w:style w:type="character" w:styleId="CommentReference">
    <w:name w:val="annotation reference"/>
    <w:basedOn w:val="DefaultParagraphFont"/>
    <w:uiPriority w:val="99"/>
    <w:semiHidden/>
    <w:unhideWhenUsed/>
    <w:rsid w:val="00230799"/>
    <w:rPr>
      <w:sz w:val="16"/>
      <w:szCs w:val="16"/>
    </w:rPr>
  </w:style>
  <w:style w:type="paragraph" w:styleId="CommentText">
    <w:name w:val="annotation text"/>
    <w:basedOn w:val="Normal"/>
    <w:link w:val="CommentTextChar"/>
    <w:uiPriority w:val="99"/>
    <w:semiHidden/>
    <w:unhideWhenUsed/>
    <w:rsid w:val="00230799"/>
  </w:style>
  <w:style w:type="character" w:customStyle="1" w:styleId="CommentTextChar">
    <w:name w:val="Comment Text Char"/>
    <w:basedOn w:val="DefaultParagraphFont"/>
    <w:link w:val="CommentText"/>
    <w:uiPriority w:val="99"/>
    <w:semiHidden/>
    <w:rsid w:val="00230799"/>
  </w:style>
  <w:style w:type="paragraph" w:styleId="CommentSubject">
    <w:name w:val="annotation subject"/>
    <w:basedOn w:val="CommentText"/>
    <w:next w:val="CommentText"/>
    <w:link w:val="CommentSubjectChar"/>
    <w:uiPriority w:val="99"/>
    <w:semiHidden/>
    <w:unhideWhenUsed/>
    <w:rsid w:val="00230799"/>
    <w:rPr>
      <w:b/>
      <w:bCs/>
    </w:rPr>
  </w:style>
  <w:style w:type="character" w:customStyle="1" w:styleId="CommentSubjectChar">
    <w:name w:val="Comment Subject Char"/>
    <w:basedOn w:val="CommentTextChar"/>
    <w:link w:val="CommentSubject"/>
    <w:uiPriority w:val="99"/>
    <w:semiHidden/>
    <w:rsid w:val="00230799"/>
    <w:rPr>
      <w:b/>
      <w:bCs/>
    </w:rPr>
  </w:style>
  <w:style w:type="paragraph" w:customStyle="1" w:styleId="xmsonormal">
    <w:name w:val="x_msonormal"/>
    <w:basedOn w:val="Normal"/>
    <w:rsid w:val="009009BE"/>
    <w:pPr>
      <w:overflowPunct/>
      <w:autoSpaceDE/>
      <w:autoSpaceDN/>
      <w:adjustRightInd/>
      <w:spacing w:before="100" w:beforeAutospacing="1" w:after="100" w:afterAutospacing="1"/>
      <w:textAlignment w:val="auto"/>
    </w:pPr>
    <w:rPr>
      <w:sz w:val="24"/>
      <w:szCs w:val="24"/>
    </w:rPr>
  </w:style>
  <w:style w:type="character" w:customStyle="1" w:styleId="ListParagraphChar">
    <w:name w:val="List Paragraph Char"/>
    <w:link w:val="ListParagraph"/>
    <w:uiPriority w:val="34"/>
    <w:locked/>
    <w:rsid w:val="00FF0931"/>
  </w:style>
  <w:style w:type="character" w:customStyle="1" w:styleId="FooterChar">
    <w:name w:val="Footer Char"/>
    <w:basedOn w:val="DefaultParagraphFont"/>
    <w:link w:val="Footer"/>
    <w:uiPriority w:val="99"/>
    <w:rsid w:val="003D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5220">
      <w:bodyDiv w:val="1"/>
      <w:marLeft w:val="0"/>
      <w:marRight w:val="0"/>
      <w:marTop w:val="0"/>
      <w:marBottom w:val="0"/>
      <w:divBdr>
        <w:top w:val="none" w:sz="0" w:space="0" w:color="auto"/>
        <w:left w:val="none" w:sz="0" w:space="0" w:color="auto"/>
        <w:bottom w:val="none" w:sz="0" w:space="0" w:color="auto"/>
        <w:right w:val="none" w:sz="0" w:space="0" w:color="auto"/>
      </w:divBdr>
    </w:div>
    <w:div w:id="12224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Pt>
            <c:idx val="0"/>
            <c:bubble3D val="0"/>
            <c:explosion val="14"/>
            <c:spPr>
              <a:solidFill>
                <a:schemeClr val="lt1"/>
              </a:solidFill>
              <a:ln w="25400" cap="flat" cmpd="sng" algn="ctr">
                <a:solidFill>
                  <a:schemeClr val="accent2"/>
                </a:solidFill>
                <a:prstDash val="solid"/>
              </a:ln>
              <a:effectLst/>
            </c:spPr>
            <c:extLst>
              <c:ext xmlns:c16="http://schemas.microsoft.com/office/drawing/2014/chart" uri="{C3380CC4-5D6E-409C-BE32-E72D297353CC}">
                <c16:uniqueId val="{00000000-2E5D-49A0-9CF9-929CAC1EDE2F}"/>
              </c:ext>
            </c:extLst>
          </c:dPt>
          <c:dLbls>
            <c:dLbl>
              <c:idx val="0"/>
              <c:layout>
                <c:manualLayout>
                  <c:x val="-5.0621926004567767E-2"/>
                  <c:y val="-0.1932510599636580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E5D-49A0-9CF9-929CAC1EDE2F}"/>
                </c:ext>
              </c:extLst>
            </c:dLbl>
            <c:dLbl>
              <c:idx val="1"/>
              <c:layout>
                <c:manualLayout>
                  <c:x val="5.6512364793352095E-2"/>
                  <c:y val="-0.42054714314556835"/>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5D-49A0-9CF9-929CAC1EDE2F}"/>
                </c:ext>
              </c:extLst>
            </c:dLbl>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extLst>
          </c:dLbls>
          <c:cat>
            <c:strRef>
              <c:f>Sheet1!$A$2:$A$3</c:f>
              <c:strCache>
                <c:ptCount val="2"/>
                <c:pt idx="0">
                  <c:v>عن بعد</c:v>
                </c:pt>
                <c:pt idx="1">
                  <c:v>وجاهي</c:v>
                </c:pt>
              </c:strCache>
            </c:strRef>
          </c:cat>
          <c:val>
            <c:numRef>
              <c:f>Sheet1!$B$2:$B$3</c:f>
              <c:numCache>
                <c:formatCode>#,##0</c:formatCode>
                <c:ptCount val="2"/>
                <c:pt idx="0">
                  <c:v>256720</c:v>
                </c:pt>
                <c:pt idx="1">
                  <c:v>331357</c:v>
                </c:pt>
              </c:numCache>
            </c:numRef>
          </c:val>
          <c:extLst>
            <c:ext xmlns:c16="http://schemas.microsoft.com/office/drawing/2014/chart" uri="{C3380CC4-5D6E-409C-BE32-E72D297353CC}">
              <c16:uniqueId val="{00000000-ACC7-41D2-A689-21B60930E2D2}"/>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عن بعد</c:v>
                </c:pt>
                <c:pt idx="1">
                  <c:v>وجاهي</c:v>
                </c:pt>
              </c:strCache>
            </c:strRef>
          </c:cat>
          <c:val>
            <c:numRef>
              <c:f>Sheet1!$C$2:$C$3</c:f>
              <c:numCache>
                <c:formatCode>General</c:formatCode>
                <c:ptCount val="2"/>
                <c:pt idx="0">
                  <c:v>48</c:v>
                </c:pt>
                <c:pt idx="1">
                  <c:v>52</c:v>
                </c:pt>
              </c:numCache>
            </c:numRef>
          </c:val>
          <c:extLst>
            <c:ext xmlns:c16="http://schemas.microsoft.com/office/drawing/2014/chart" uri="{C3380CC4-5D6E-409C-BE32-E72D297353CC}">
              <c16:uniqueId val="{00000001-571D-4881-AA53-2078D0F4A503}"/>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6679380433251565"/>
          <c:y val="0.38408388855239395"/>
          <c:w val="0.20823740665375629"/>
          <c:h val="0.23183222289521521"/>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3F3C-C01F-479D-9D9B-EE7A08C2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الجهاز المركزي للاحصاء الفلسطيني</vt:lpstr>
    </vt:vector>
  </TitlesOfParts>
  <Company>company</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المركزي للاحصاء الفلسطيني</dc:title>
  <dc:creator>safad</dc:creator>
  <cp:lastModifiedBy>Hadeel Badran</cp:lastModifiedBy>
  <cp:revision>4</cp:revision>
  <cp:lastPrinted>2023-03-12T11:42:00Z</cp:lastPrinted>
  <dcterms:created xsi:type="dcterms:W3CDTF">2023-03-12T11:43:00Z</dcterms:created>
  <dcterms:modified xsi:type="dcterms:W3CDTF">2023-03-12T11:45:00Z</dcterms:modified>
</cp:coreProperties>
</file>