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29" w:rsidRDefault="008D6D29" w:rsidP="007663A4">
      <w:pPr>
        <w:pStyle w:val="Header"/>
        <w:tabs>
          <w:tab w:val="left" w:pos="5925"/>
        </w:tabs>
        <w:jc w:val="both"/>
        <w:rPr>
          <w:rFonts w:cs="Simplified Arabic" w:hint="cs"/>
          <w:b/>
          <w:bCs/>
          <w:color w:val="000000"/>
          <w:sz w:val="32"/>
          <w:szCs w:val="32"/>
          <w:rtl/>
        </w:rPr>
      </w:pPr>
    </w:p>
    <w:p w:rsidR="007663A4" w:rsidRDefault="007663A4" w:rsidP="007663A4">
      <w:pPr>
        <w:pStyle w:val="Header"/>
        <w:tabs>
          <w:tab w:val="left" w:pos="5925"/>
        </w:tabs>
        <w:jc w:val="both"/>
        <w:rPr>
          <w:rFonts w:cs="Simplified Arabic"/>
          <w:b/>
          <w:bCs/>
          <w:color w:val="000000"/>
          <w:sz w:val="32"/>
          <w:szCs w:val="32"/>
          <w:rtl/>
        </w:rPr>
      </w:pPr>
    </w:p>
    <w:p w:rsidR="008D6D29" w:rsidRPr="007663A4" w:rsidRDefault="008D6D29" w:rsidP="007663A4">
      <w:pPr>
        <w:pStyle w:val="Header"/>
        <w:tabs>
          <w:tab w:val="left" w:pos="5925"/>
        </w:tabs>
        <w:jc w:val="center"/>
        <w:rPr>
          <w:rFonts w:cs="Simplified Arabic"/>
          <w:b/>
          <w:bCs/>
          <w:color w:val="000000"/>
          <w:sz w:val="32"/>
          <w:szCs w:val="32"/>
          <w:rtl/>
        </w:rPr>
      </w:pPr>
      <w:r w:rsidRPr="007663A4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الإحصاء الفلسطيني </w:t>
      </w:r>
      <w:r w:rsidR="007663A4" w:rsidRPr="007663A4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يستعرض واقع المؤسسات الثقافية في فلسطين بمناسبة يوم الثقافة الفلسطيني</w:t>
      </w:r>
      <w:r w:rsidR="007663A4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</w:t>
      </w:r>
    </w:p>
    <w:p w:rsidR="007663A4" w:rsidRPr="00B4627D" w:rsidRDefault="007663A4" w:rsidP="007663A4">
      <w:pPr>
        <w:jc w:val="both"/>
        <w:rPr>
          <w:rFonts w:cs="Simplified Arabic"/>
          <w:color w:val="000000" w:themeColor="text1"/>
          <w:sz w:val="8"/>
          <w:szCs w:val="8"/>
          <w:rtl/>
        </w:rPr>
      </w:pPr>
    </w:p>
    <w:p w:rsidR="007663A4" w:rsidRPr="007663A4" w:rsidRDefault="008578A1" w:rsidP="008578A1">
      <w:pPr>
        <w:jc w:val="both"/>
        <w:rPr>
          <w:rFonts w:ascii="Simplified Arabic" w:hAnsi="Simplified Arabic" w:cs="Simplified Arabic"/>
          <w:color w:val="000000" w:themeColor="text1"/>
          <w:sz w:val="23"/>
          <w:szCs w:val="23"/>
          <w:rtl/>
        </w:rPr>
      </w:pPr>
      <w:r w:rsidRPr="007663A4">
        <w:rPr>
          <w:rFonts w:cs="Simplified Arabic" w:hint="cs"/>
          <w:color w:val="000000" w:themeColor="text1"/>
          <w:sz w:val="24"/>
          <w:szCs w:val="24"/>
          <w:rtl/>
        </w:rPr>
        <w:t>بمناسبة يوم الثقافة الفلسطيني الذي يصادف الثالث عشر من آذار من كل عام،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استعرض الإحصاء الفلسطيني واقع المؤسسات الثقافية في فلسطين لعام </w:t>
      </w:r>
      <w:proofErr w:type="spellStart"/>
      <w:r w:rsidRPr="007663A4">
        <w:rPr>
          <w:rFonts w:cs="Simplified Arabic" w:hint="cs"/>
          <w:color w:val="000000" w:themeColor="text1"/>
          <w:sz w:val="24"/>
          <w:szCs w:val="24"/>
          <w:rtl/>
        </w:rPr>
        <w:t>2015،</w:t>
      </w:r>
      <w:proofErr w:type="spellEnd"/>
      <w:r>
        <w:rPr>
          <w:rFonts w:cs="Simplified Arabic" w:hint="cs"/>
          <w:color w:val="000000" w:themeColor="text1"/>
          <w:sz w:val="24"/>
          <w:szCs w:val="24"/>
          <w:rtl/>
        </w:rPr>
        <w:t xml:space="preserve"> و</w:t>
      </w:r>
      <w:r w:rsidR="007663A4" w:rsidRPr="007663A4">
        <w:rPr>
          <w:rFonts w:cs="Simplified Arabic" w:hint="cs"/>
          <w:color w:val="000000" w:themeColor="text1"/>
          <w:sz w:val="24"/>
          <w:szCs w:val="24"/>
          <w:rtl/>
        </w:rPr>
        <w:t>يقصد بالمؤسسة الثقافية هي ال</w:t>
      </w:r>
      <w:r w:rsidR="007663A4" w:rsidRPr="007663A4">
        <w:rPr>
          <w:rFonts w:cs="Simplified Arabic"/>
          <w:color w:val="000000" w:themeColor="text1"/>
          <w:sz w:val="24"/>
          <w:szCs w:val="24"/>
          <w:rtl/>
        </w:rPr>
        <w:t xml:space="preserve">مؤسسة </w:t>
      </w:r>
      <w:r w:rsidR="007663A4"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التي </w:t>
      </w:r>
      <w:r w:rsidR="007663A4" w:rsidRPr="007663A4">
        <w:rPr>
          <w:rFonts w:cs="Simplified Arabic"/>
          <w:color w:val="000000" w:themeColor="text1"/>
          <w:sz w:val="24"/>
          <w:szCs w:val="24"/>
          <w:rtl/>
        </w:rPr>
        <w:t>تتضمن السلع (الأدوات والمعدات</w:t>
      </w:r>
      <w:proofErr w:type="spellStart"/>
      <w:r w:rsidR="007663A4" w:rsidRPr="007663A4">
        <w:rPr>
          <w:rFonts w:cs="Simplified Arabic"/>
          <w:color w:val="000000" w:themeColor="text1"/>
          <w:sz w:val="24"/>
          <w:szCs w:val="24"/>
          <w:rtl/>
        </w:rPr>
        <w:t>)</w:t>
      </w:r>
      <w:proofErr w:type="spellEnd"/>
      <w:r w:rsidR="007663A4" w:rsidRPr="007663A4">
        <w:rPr>
          <w:rFonts w:cs="Simplified Arabic"/>
          <w:color w:val="000000" w:themeColor="text1"/>
          <w:sz w:val="24"/>
          <w:szCs w:val="24"/>
          <w:rtl/>
        </w:rPr>
        <w:t xml:space="preserve"> المستخدمة في أنشطة الفنون والحرف وفي أنشطة اللعب والرياضة والتي تسهل القيام بأنشطة الثقافة بالمعنى الواسع</w:t>
      </w:r>
      <w:r w:rsidR="007663A4" w:rsidRPr="00E7267E">
        <w:rPr>
          <w:rFonts w:cs="Simplified Arabic"/>
          <w:color w:val="000000" w:themeColor="text1"/>
          <w:sz w:val="23"/>
          <w:szCs w:val="23"/>
          <w:rtl/>
        </w:rPr>
        <w:t>.</w:t>
      </w:r>
    </w:p>
    <w:p w:rsidR="007663A4" w:rsidRPr="007663A4" w:rsidRDefault="007663A4" w:rsidP="008578A1">
      <w:pPr>
        <w:spacing w:after="0"/>
        <w:ind w:left="-2"/>
        <w:jc w:val="both"/>
        <w:rPr>
          <w:rFonts w:asciiTheme="majorBidi" w:hAnsiTheme="majorBidi" w:cs="Simplified Arabic"/>
          <w:b/>
          <w:bCs/>
          <w:color w:val="000000" w:themeColor="text1"/>
          <w:sz w:val="26"/>
          <w:szCs w:val="26"/>
          <w:rtl/>
        </w:rPr>
      </w:pPr>
      <w:r w:rsidRPr="007663A4">
        <w:rPr>
          <w:rFonts w:asciiTheme="majorBidi" w:hAnsiTheme="majorBidi" w:cs="Simplified Arabic"/>
          <w:b/>
          <w:bCs/>
          <w:color w:val="000000" w:themeColor="text1"/>
          <w:sz w:val="26"/>
          <w:szCs w:val="26"/>
          <w:rtl/>
        </w:rPr>
        <w:t>596 مركزاً ثقافياً عاملاً في فلسطين عام 2015</w:t>
      </w:r>
    </w:p>
    <w:p w:rsidR="008578A1" w:rsidRPr="008578A1" w:rsidRDefault="007663A4" w:rsidP="008578A1">
      <w:pPr>
        <w:spacing w:after="0"/>
        <w:ind w:left="-2"/>
        <w:jc w:val="both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بلغ عدد المراكز الثقافية العاملة في فلسطين 596 مركزاً في عام 2015 (549 مركز أدلوا بالبيانات </w:t>
      </w:r>
      <w:proofErr w:type="spellStart"/>
      <w:r w:rsidRPr="007663A4">
        <w:rPr>
          <w:rFonts w:cs="Simplified Arabic" w:hint="cs"/>
          <w:color w:val="000000" w:themeColor="text1"/>
          <w:sz w:val="24"/>
          <w:szCs w:val="24"/>
          <w:rtl/>
        </w:rPr>
        <w:t>و47</w:t>
      </w:r>
      <w:proofErr w:type="spellEnd"/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 مركز رفضوا الإدلاء بالبيانات</w:t>
      </w:r>
      <w:proofErr w:type="spellStart"/>
      <w:r w:rsidRPr="007663A4">
        <w:rPr>
          <w:rFonts w:cs="Simplified Arabic" w:hint="cs"/>
          <w:color w:val="000000" w:themeColor="text1"/>
          <w:sz w:val="24"/>
          <w:szCs w:val="24"/>
          <w:rtl/>
        </w:rPr>
        <w:t>)؛</w:t>
      </w:r>
      <w:proofErr w:type="spellEnd"/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 515 مركزاً في الضفة الغربية (470 مركز أدلوا بالبيانات </w:t>
      </w:r>
      <w:proofErr w:type="spellStart"/>
      <w:r w:rsidRPr="007663A4">
        <w:rPr>
          <w:rFonts w:cs="Simplified Arabic" w:hint="cs"/>
          <w:color w:val="000000" w:themeColor="text1"/>
          <w:sz w:val="24"/>
          <w:szCs w:val="24"/>
          <w:rtl/>
        </w:rPr>
        <w:t>و45</w:t>
      </w:r>
      <w:proofErr w:type="spellEnd"/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 مركز رفضوا الإدلاء بالبيانات</w:t>
      </w:r>
      <w:proofErr w:type="spellStart"/>
      <w:r w:rsidRPr="007663A4">
        <w:rPr>
          <w:rFonts w:cs="Simplified Arabic" w:hint="cs"/>
          <w:color w:val="000000" w:themeColor="text1"/>
          <w:sz w:val="24"/>
          <w:szCs w:val="24"/>
          <w:rtl/>
        </w:rPr>
        <w:t>)،</w:t>
      </w:r>
      <w:proofErr w:type="spellEnd"/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Pr="007663A4">
        <w:rPr>
          <w:rFonts w:cs="Simplified Arabic" w:hint="cs"/>
          <w:color w:val="000000" w:themeColor="text1"/>
          <w:sz w:val="24"/>
          <w:szCs w:val="24"/>
          <w:rtl/>
        </w:rPr>
        <w:t>و81</w:t>
      </w:r>
      <w:proofErr w:type="spellEnd"/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 مركزاً في قطاع غزة (79 مركز أدلوا بالبيانات ومركزين رفضوا الإدلاء بالبيانات</w:t>
      </w:r>
      <w:proofErr w:type="spellStart"/>
      <w:r w:rsidRPr="007663A4">
        <w:rPr>
          <w:rFonts w:cs="Simplified Arabic" w:hint="cs"/>
          <w:color w:val="000000" w:themeColor="text1"/>
          <w:sz w:val="24"/>
          <w:szCs w:val="24"/>
          <w:rtl/>
        </w:rPr>
        <w:t>)،</w:t>
      </w:r>
      <w:proofErr w:type="spellEnd"/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 وبلغ أعلى عدد مراكز ثقافية عاملة في محافظة نابلس بواقع 89 مركز </w:t>
      </w:r>
      <w:proofErr w:type="spellStart"/>
      <w:r w:rsidRPr="007663A4">
        <w:rPr>
          <w:rFonts w:cs="Simplified Arabic" w:hint="cs"/>
          <w:color w:val="000000" w:themeColor="text1"/>
          <w:sz w:val="24"/>
          <w:szCs w:val="24"/>
          <w:rtl/>
        </w:rPr>
        <w:t>ثقافي،</w:t>
      </w:r>
      <w:proofErr w:type="spellEnd"/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 يليها محافظة الخليل 83 مركزاً ثقافياً عاملاً. </w:t>
      </w:r>
    </w:p>
    <w:p w:rsidR="007663A4" w:rsidRPr="007663A4" w:rsidRDefault="007663A4" w:rsidP="007663A4">
      <w:pPr>
        <w:pStyle w:val="BodyText"/>
        <w:jc w:val="both"/>
        <w:rPr>
          <w:b w:val="0"/>
          <w:bCs w:val="0"/>
          <w:color w:val="000000" w:themeColor="text1"/>
          <w:sz w:val="24"/>
          <w:szCs w:val="24"/>
          <w:rtl/>
        </w:rPr>
      </w:pPr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قدمت المراكز الثقافية التي أدلت بالبيانات خلال عام 2015 حوالي 9 آلاف نشاط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ثقافي؛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10.9%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من هذه الأنشطة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ندوات،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و8.1%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محاضرات،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65.5%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دورات،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و13.5%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عروض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فنية،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و2.0%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معارض. كما بلغ عدد الأنشطة الثقافية المنعقدة في المراكز الثقافية </w:t>
      </w:r>
    </w:p>
    <w:p w:rsidR="007663A4" w:rsidRPr="007663A4" w:rsidRDefault="007663A4" w:rsidP="007663A4">
      <w:pPr>
        <w:pStyle w:val="BodyText"/>
        <w:jc w:val="both"/>
        <w:rPr>
          <w:b w:val="0"/>
          <w:bCs w:val="0"/>
          <w:color w:val="000000" w:themeColor="text1"/>
          <w:sz w:val="24"/>
          <w:szCs w:val="24"/>
        </w:rPr>
      </w:pPr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حوالي 9 آلاف نشاط ثقافي في عام 2014. </w:t>
      </w:r>
    </w:p>
    <w:p w:rsidR="007663A4" w:rsidRPr="008578A1" w:rsidRDefault="007663A4" w:rsidP="007663A4">
      <w:pPr>
        <w:pStyle w:val="BodyText"/>
        <w:jc w:val="both"/>
        <w:rPr>
          <w:b w:val="0"/>
          <w:bCs w:val="0"/>
          <w:color w:val="000000" w:themeColor="text1"/>
          <w:sz w:val="16"/>
          <w:szCs w:val="16"/>
          <w:rtl/>
        </w:rPr>
      </w:pPr>
    </w:p>
    <w:p w:rsidR="007663A4" w:rsidRPr="007663A4" w:rsidRDefault="007663A4" w:rsidP="007663A4">
      <w:pPr>
        <w:pStyle w:val="BodyText"/>
        <w:jc w:val="both"/>
        <w:rPr>
          <w:color w:val="000000" w:themeColor="text1"/>
          <w:sz w:val="26"/>
          <w:szCs w:val="26"/>
          <w:rtl/>
        </w:rPr>
      </w:pPr>
      <w:r w:rsidRPr="007663A4">
        <w:rPr>
          <w:rFonts w:hint="cs"/>
          <w:color w:val="000000" w:themeColor="text1"/>
          <w:sz w:val="26"/>
          <w:szCs w:val="26"/>
          <w:rtl/>
        </w:rPr>
        <w:t>حوالي 405 آلاف مشارك في الأنشطة الثقافية للمراكز الثقافية في فلسطين عام 2015</w:t>
      </w:r>
    </w:p>
    <w:p w:rsidR="007663A4" w:rsidRDefault="007663A4" w:rsidP="007663A4">
      <w:pPr>
        <w:pStyle w:val="BodyText"/>
        <w:jc w:val="both"/>
        <w:rPr>
          <w:b w:val="0"/>
          <w:bCs w:val="0"/>
          <w:color w:val="000000" w:themeColor="text1"/>
          <w:sz w:val="24"/>
          <w:szCs w:val="24"/>
          <w:rtl/>
        </w:rPr>
      </w:pPr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فيما يتعلق بعدد المشاركين في الأنشطة الثقافية للمراكز التي أدلت بالبيانات في عام 2015 فقد بلغ حوالي 405 آلاف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مشارك،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منهم حوالي 310 آلاف مشارك في الضفة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الغربية،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وحوالي 95 ألف مشارك في قطاع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غزة،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حيث كان أكبر عدد من المشاركين في الأنشطة الثقافية في محافظة بيت لحم حوالي 86 ألف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مشارك،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يليها محافظة نابلس حوالي 45 ألف مشارك في حين احتلت محافظة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طوباس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أقل عدد من المشاركين في الأنشطة الثقافية وقد بلغ عدد المشاركين فيها حوالي 5 آلاف مشارك. فيما بلغ عدد المشاركين في الأنشطة الثقافية حوالي 456 ألف مشارك عام 2014.</w:t>
      </w:r>
    </w:p>
    <w:p w:rsidR="007663A4" w:rsidRPr="008578A1" w:rsidRDefault="007663A4" w:rsidP="007663A4">
      <w:pPr>
        <w:pStyle w:val="BodyText"/>
        <w:jc w:val="both"/>
        <w:rPr>
          <w:b w:val="0"/>
          <w:bCs w:val="0"/>
          <w:color w:val="000000" w:themeColor="text1"/>
          <w:sz w:val="16"/>
          <w:szCs w:val="16"/>
          <w:rtl/>
        </w:rPr>
      </w:pPr>
    </w:p>
    <w:p w:rsidR="007663A4" w:rsidRPr="007663A4" w:rsidRDefault="007663A4" w:rsidP="007663A4">
      <w:pPr>
        <w:spacing w:after="0" w:line="240" w:lineRule="auto"/>
        <w:ind w:left="-2"/>
        <w:jc w:val="both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r w:rsidRPr="007663A4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حوالي 185 ألف زائر زاروا المتاحف في فلسطين عام 2015 </w:t>
      </w:r>
    </w:p>
    <w:p w:rsidR="007663A4" w:rsidRPr="007663A4" w:rsidRDefault="007663A4" w:rsidP="007663A4">
      <w:pPr>
        <w:tabs>
          <w:tab w:val="left" w:pos="-1"/>
        </w:tabs>
        <w:spacing w:after="0" w:line="240" w:lineRule="auto"/>
        <w:ind w:right="-1" w:firstLine="1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بلغ عدد المتاحف العاملة في فلسطين خلال عام </w:t>
      </w:r>
      <w:proofErr w:type="spellStart"/>
      <w:r w:rsidRPr="007663A4">
        <w:rPr>
          <w:rFonts w:cs="Simplified Arabic" w:hint="cs"/>
          <w:color w:val="000000" w:themeColor="text1"/>
          <w:sz w:val="24"/>
          <w:szCs w:val="24"/>
          <w:rtl/>
        </w:rPr>
        <w:t>2015؛</w:t>
      </w:r>
      <w:proofErr w:type="spellEnd"/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 31 متحفاً. 26 متاحف في الضفة </w:t>
      </w:r>
      <w:proofErr w:type="spellStart"/>
      <w:r w:rsidRPr="007663A4">
        <w:rPr>
          <w:rFonts w:cs="Simplified Arabic" w:hint="cs"/>
          <w:color w:val="000000" w:themeColor="text1"/>
          <w:sz w:val="24"/>
          <w:szCs w:val="24"/>
          <w:rtl/>
        </w:rPr>
        <w:t>الغربية،</w:t>
      </w:r>
      <w:proofErr w:type="spellEnd"/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Pr="007663A4">
        <w:rPr>
          <w:rFonts w:cs="Simplified Arabic" w:hint="cs"/>
          <w:color w:val="000000" w:themeColor="text1"/>
          <w:sz w:val="24"/>
          <w:szCs w:val="24"/>
          <w:rtl/>
        </w:rPr>
        <w:t>و5</w:t>
      </w:r>
      <w:proofErr w:type="spellEnd"/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 متاحف في قطاع غزة. علماً بأن هناك متحف في الضفة الغربية رفض الإدلاء بالبيانات.</w:t>
      </w:r>
    </w:p>
    <w:p w:rsidR="007663A4" w:rsidRDefault="007663A4" w:rsidP="008578A1">
      <w:pPr>
        <w:spacing w:after="0"/>
        <w:jc w:val="both"/>
        <w:rPr>
          <w:rFonts w:cs="Simplified Arabic" w:hint="cs"/>
          <w:color w:val="000000" w:themeColor="text1"/>
          <w:sz w:val="23"/>
          <w:szCs w:val="23"/>
          <w:rtl/>
        </w:rPr>
      </w:pPr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أما بخصوص الزوار للمتاحف التي أدلت بالبيانات فقد بلغ عددهم حوالي 185 ألف زائر عام </w:t>
      </w:r>
      <w:proofErr w:type="spellStart"/>
      <w:r w:rsidRPr="007663A4">
        <w:rPr>
          <w:rFonts w:cs="Simplified Arabic" w:hint="cs"/>
          <w:color w:val="000000" w:themeColor="text1"/>
          <w:sz w:val="24"/>
          <w:szCs w:val="24"/>
          <w:rtl/>
        </w:rPr>
        <w:t>2015؛</w:t>
      </w:r>
      <w:proofErr w:type="spellEnd"/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Pr="007663A4">
        <w:rPr>
          <w:rFonts w:cs="Simplified Arabic" w:hint="cs"/>
          <w:color w:val="000000" w:themeColor="text1"/>
          <w:sz w:val="24"/>
          <w:szCs w:val="24"/>
          <w:rtl/>
        </w:rPr>
        <w:t>82.7%</w:t>
      </w:r>
      <w:proofErr w:type="spellEnd"/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 فلسطينيون </w:t>
      </w:r>
      <w:proofErr w:type="spellStart"/>
      <w:r w:rsidRPr="007663A4">
        <w:rPr>
          <w:rFonts w:cs="Simplified Arabic" w:hint="cs"/>
          <w:color w:val="000000" w:themeColor="text1"/>
          <w:sz w:val="24"/>
          <w:szCs w:val="24"/>
          <w:rtl/>
        </w:rPr>
        <w:t>و17.3%</w:t>
      </w:r>
      <w:proofErr w:type="spellEnd"/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 من جنسيات أخرى. وتفيد</w:t>
      </w:r>
      <w:r w:rsidRPr="007663A4">
        <w:rPr>
          <w:rFonts w:cs="Simplified Arabic"/>
          <w:color w:val="000000" w:themeColor="text1"/>
          <w:sz w:val="24"/>
          <w:szCs w:val="24"/>
          <w:rtl/>
        </w:rPr>
        <w:t xml:space="preserve"> </w:t>
      </w:r>
      <w:r w:rsidRPr="007663A4">
        <w:rPr>
          <w:rFonts w:cs="Simplified Arabic" w:hint="cs"/>
          <w:color w:val="000000" w:themeColor="text1"/>
          <w:sz w:val="24"/>
          <w:szCs w:val="24"/>
          <w:rtl/>
        </w:rPr>
        <w:t>البيانات</w:t>
      </w:r>
      <w:r w:rsidRPr="007663A4">
        <w:rPr>
          <w:rFonts w:cs="Simplified Arabic"/>
          <w:color w:val="000000" w:themeColor="text1"/>
          <w:sz w:val="24"/>
          <w:szCs w:val="24"/>
          <w:rtl/>
        </w:rPr>
        <w:t xml:space="preserve"> </w:t>
      </w:r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بأن أكبر عدد للزائرين كان في شهر نيسان حيث بلغ عددهم حوالي 56 ألف </w:t>
      </w:r>
      <w:proofErr w:type="spellStart"/>
      <w:r w:rsidRPr="007663A4">
        <w:rPr>
          <w:rFonts w:cs="Simplified Arabic" w:hint="cs"/>
          <w:color w:val="000000" w:themeColor="text1"/>
          <w:sz w:val="24"/>
          <w:szCs w:val="24"/>
          <w:rtl/>
        </w:rPr>
        <w:t>زائر،</w:t>
      </w:r>
      <w:proofErr w:type="spellEnd"/>
      <w:r w:rsidRPr="007663A4">
        <w:rPr>
          <w:rFonts w:cs="Simplified Arabic" w:hint="cs"/>
          <w:color w:val="000000" w:themeColor="text1"/>
          <w:sz w:val="24"/>
          <w:szCs w:val="24"/>
          <w:rtl/>
        </w:rPr>
        <w:t xml:space="preserve"> في حين بلغ أقل عدد للزائرين في شهر تشرين أول بحوالي 5 آلاف زائر. وكان عدد زوار المتاحف في العام 2014 هو نفس عدد الزوار في العام 2015</w:t>
      </w:r>
      <w:r>
        <w:rPr>
          <w:rFonts w:cs="Simplified Arabic" w:hint="cs"/>
          <w:color w:val="000000" w:themeColor="text1"/>
          <w:sz w:val="23"/>
          <w:szCs w:val="23"/>
          <w:rtl/>
        </w:rPr>
        <w:t>.</w:t>
      </w:r>
    </w:p>
    <w:p w:rsidR="008578A1" w:rsidRPr="008578A1" w:rsidRDefault="008578A1" w:rsidP="008578A1">
      <w:pPr>
        <w:spacing w:after="0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7663A4" w:rsidRPr="007663A4" w:rsidRDefault="007663A4" w:rsidP="007663A4">
      <w:pPr>
        <w:spacing w:after="0" w:line="240" w:lineRule="auto"/>
        <w:ind w:left="-2"/>
        <w:jc w:val="both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proofErr w:type="spellStart"/>
      <w:r w:rsidRPr="007663A4">
        <w:rPr>
          <w:rFonts w:cs="Simplified Arabic" w:hint="cs"/>
          <w:b/>
          <w:bCs/>
          <w:color w:val="000000" w:themeColor="text1"/>
          <w:sz w:val="26"/>
          <w:szCs w:val="26"/>
          <w:rtl/>
        </w:rPr>
        <w:t>57.1%</w:t>
      </w:r>
      <w:proofErr w:type="spellEnd"/>
      <w:r w:rsidRPr="007663A4">
        <w:rPr>
          <w:rFonts w:cs="Simplified Arabic" w:hint="cs"/>
          <w:b/>
          <w:bCs/>
          <w:color w:val="000000" w:themeColor="text1"/>
          <w:sz w:val="26"/>
          <w:szCs w:val="26"/>
          <w:rtl/>
        </w:rPr>
        <w:t xml:space="preserve"> من المسرحيات المعروضة عام 2015 عرضت للأطفال</w:t>
      </w:r>
    </w:p>
    <w:p w:rsidR="00622416" w:rsidRPr="008578A1" w:rsidRDefault="007663A4" w:rsidP="008578A1">
      <w:pPr>
        <w:pStyle w:val="BodyText"/>
        <w:jc w:val="both"/>
        <w:rPr>
          <w:b w:val="0"/>
          <w:bCs w:val="0"/>
          <w:color w:val="000000" w:themeColor="text1"/>
          <w:sz w:val="24"/>
          <w:szCs w:val="24"/>
          <w:rtl/>
        </w:rPr>
      </w:pPr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12 مسرح عامل في فلسطين عام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2015،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منها 9 مسارح عاملة في الضفة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الغربية،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و3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مسارح في </w:t>
      </w:r>
      <w:r w:rsidRPr="007663A4">
        <w:rPr>
          <w:b w:val="0"/>
          <w:bCs w:val="0"/>
          <w:color w:val="000000" w:themeColor="text1"/>
          <w:sz w:val="24"/>
          <w:szCs w:val="24"/>
          <w:rtl/>
        </w:rPr>
        <w:t>قطاع غزة</w:t>
      </w:r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. 154 مسرحية عرضت في المسارح في فلسطين عام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2015؛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52 مسرحية في الضفة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الغربية،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و102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مسرحية في قطاع غزة.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57.1%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من المسرحيات المعروضة للأطفال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و24.7%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عرضت للكبار في حين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18.2%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عرضت للصغار والكبار. وبلغت نسبة المسرحيات التي قدمها ممثلون فلسطينيون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98.7%،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و1.3%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قدمها ممثلون من جنسيات مختلفة.  أما بخصوص عدد الزوار</w:t>
      </w:r>
      <w:r w:rsidRPr="007663A4">
        <w:rPr>
          <w:b w:val="0"/>
          <w:bCs w:val="0"/>
          <w:color w:val="000000" w:themeColor="text1"/>
          <w:sz w:val="24"/>
          <w:szCs w:val="24"/>
          <w:rtl/>
        </w:rPr>
        <w:t xml:space="preserve"> </w:t>
      </w:r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للمسارح فقد بلغ عددهم حوالي 72 ألف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زائر،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وقد بلغ أعلى عدد للزائرين في شهر تشرين أول حيث بلغ عددهم حوالي 20 ألف </w:t>
      </w:r>
      <w:proofErr w:type="spellStart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>زائر،</w:t>
      </w:r>
      <w:proofErr w:type="spellEnd"/>
      <w:r w:rsidRPr="007663A4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ثم شهر كانون أول حوالي 11 ألف زائر.</w:t>
      </w:r>
    </w:p>
    <w:sectPr w:rsidR="00622416" w:rsidRPr="008578A1" w:rsidSect="007663A4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D6D29"/>
    <w:rsid w:val="00151BBE"/>
    <w:rsid w:val="005E7849"/>
    <w:rsid w:val="00622416"/>
    <w:rsid w:val="007663A4"/>
    <w:rsid w:val="008578A1"/>
    <w:rsid w:val="008D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29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6D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raditional Arabic"/>
      <w:snapToGrid w:val="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D6D29"/>
    <w:rPr>
      <w:rFonts w:ascii="Times New Roman" w:eastAsia="Times New Roman" w:hAnsi="Times New Roman" w:cs="Traditional Arabic"/>
      <w:snapToGrid w:val="0"/>
      <w:sz w:val="20"/>
      <w:szCs w:val="20"/>
    </w:rPr>
  </w:style>
  <w:style w:type="paragraph" w:styleId="BodyText">
    <w:name w:val="Body Text"/>
    <w:basedOn w:val="Normal"/>
    <w:link w:val="BodyTextChar"/>
    <w:semiHidden/>
    <w:rsid w:val="007663A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Simplified Arabic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semiHidden/>
    <w:rsid w:val="007663A4"/>
    <w:rPr>
      <w:rFonts w:ascii="Times New Roman" w:eastAsia="Times New Roman" w:hAnsi="Times New Roman" w:cs="Simplified Arabic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2</cp:revision>
  <cp:lastPrinted>2016-03-13T07:28:00Z</cp:lastPrinted>
  <dcterms:created xsi:type="dcterms:W3CDTF">2016-03-13T06:44:00Z</dcterms:created>
  <dcterms:modified xsi:type="dcterms:W3CDTF">2016-03-13T07:30:00Z</dcterms:modified>
</cp:coreProperties>
</file>