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C9F98" w14:textId="77777777" w:rsidR="005D41E3" w:rsidRDefault="005D41E3" w:rsidP="00B87E2B">
      <w:pPr>
        <w:pStyle w:val="Header"/>
        <w:bidi/>
        <w:jc w:val="center"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</w:p>
    <w:p w14:paraId="245311EB" w14:textId="358E2C49" w:rsidR="0008497B" w:rsidRPr="005D41E3" w:rsidRDefault="0008497B" w:rsidP="005D41E3">
      <w:pPr>
        <w:pStyle w:val="Header"/>
        <w:bidi/>
        <w:jc w:val="center"/>
        <w:rPr>
          <w:rFonts w:cs="Simplified Arabic"/>
          <w:sz w:val="32"/>
          <w:szCs w:val="32"/>
          <w:rtl/>
        </w:rPr>
      </w:pPr>
      <w:r w:rsidRPr="005D41E3">
        <w:rPr>
          <w:rFonts w:cs="Simplified Arabic" w:hint="cs"/>
          <w:b/>
          <w:bCs/>
          <w:sz w:val="32"/>
          <w:szCs w:val="32"/>
          <w:rtl/>
        </w:rPr>
        <w:t>الإحصاء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5D41E3">
        <w:rPr>
          <w:rFonts w:cs="Simplified Arabic" w:hint="cs"/>
          <w:b/>
          <w:bCs/>
          <w:sz w:val="32"/>
          <w:szCs w:val="32"/>
          <w:rtl/>
        </w:rPr>
        <w:t>الفلسطيني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5A0F99" w:rsidRPr="005D41E3">
        <w:rPr>
          <w:rFonts w:cs="Simplified Arabic" w:hint="cs"/>
          <w:b/>
          <w:bCs/>
          <w:sz w:val="32"/>
          <w:szCs w:val="32"/>
          <w:rtl/>
        </w:rPr>
        <w:t>ووزارة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5A0F99" w:rsidRPr="005D41E3">
        <w:rPr>
          <w:rFonts w:cs="Simplified Arabic" w:hint="cs"/>
          <w:b/>
          <w:bCs/>
          <w:sz w:val="32"/>
          <w:szCs w:val="32"/>
          <w:rtl/>
        </w:rPr>
        <w:t>الثقافة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12D33" w:rsidRPr="005D41E3">
        <w:rPr>
          <w:rFonts w:cs="Simplified Arabic" w:hint="cs"/>
          <w:b/>
          <w:bCs/>
          <w:sz w:val="32"/>
          <w:szCs w:val="32"/>
          <w:rtl/>
        </w:rPr>
        <w:t>يصدر</w:t>
      </w:r>
      <w:r w:rsidR="005A0F99" w:rsidRPr="005D41E3">
        <w:rPr>
          <w:rFonts w:cs="Simplified Arabic" w:hint="cs"/>
          <w:b/>
          <w:bCs/>
          <w:sz w:val="32"/>
          <w:szCs w:val="32"/>
          <w:rtl/>
        </w:rPr>
        <w:t>ان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12D33" w:rsidRPr="005D41E3">
        <w:rPr>
          <w:rFonts w:cs="Simplified Arabic" w:hint="cs"/>
          <w:b/>
          <w:bCs/>
          <w:sz w:val="32"/>
          <w:szCs w:val="32"/>
          <w:rtl/>
        </w:rPr>
        <w:t>بياناً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12D33" w:rsidRPr="005D41E3">
        <w:rPr>
          <w:rFonts w:cs="Simplified Arabic" w:hint="cs"/>
          <w:b/>
          <w:bCs/>
          <w:sz w:val="32"/>
          <w:szCs w:val="32"/>
          <w:rtl/>
        </w:rPr>
        <w:t>صحفياً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5D41E3">
        <w:rPr>
          <w:rFonts w:cs="Simplified Arabic" w:hint="cs"/>
          <w:b/>
          <w:bCs/>
          <w:sz w:val="32"/>
          <w:szCs w:val="32"/>
          <w:rtl/>
        </w:rPr>
        <w:t>بمناسبة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5D41E3">
        <w:rPr>
          <w:rFonts w:cs="Simplified Arabic" w:hint="cs"/>
          <w:b/>
          <w:bCs/>
          <w:sz w:val="32"/>
          <w:szCs w:val="32"/>
          <w:rtl/>
        </w:rPr>
        <w:t>يوم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5D41E3">
        <w:rPr>
          <w:rFonts w:cs="Simplified Arabic" w:hint="cs"/>
          <w:b/>
          <w:bCs/>
          <w:sz w:val="32"/>
          <w:szCs w:val="32"/>
          <w:rtl/>
        </w:rPr>
        <w:t>الثقافة</w:t>
      </w:r>
      <w:r w:rsidR="00055EFB" w:rsidRPr="005D41E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5D41E3">
        <w:rPr>
          <w:rFonts w:cs="Simplified Arabic" w:hint="cs"/>
          <w:b/>
          <w:bCs/>
          <w:sz w:val="32"/>
          <w:szCs w:val="32"/>
          <w:rtl/>
        </w:rPr>
        <w:t>الفلسطيني</w:t>
      </w:r>
    </w:p>
    <w:p w14:paraId="21E33B37" w14:textId="77777777" w:rsidR="0008497B" w:rsidRPr="005838FC" w:rsidRDefault="0008497B" w:rsidP="0008497B">
      <w:pPr>
        <w:bidi/>
        <w:jc w:val="both"/>
        <w:rPr>
          <w:rFonts w:cs="Simplified Arabic"/>
          <w:color w:val="FF0000"/>
          <w:sz w:val="8"/>
          <w:szCs w:val="8"/>
          <w:rtl/>
        </w:rPr>
      </w:pPr>
    </w:p>
    <w:p w14:paraId="25637477" w14:textId="4874BFBC" w:rsidR="00DB76AC" w:rsidRPr="005D41E3" w:rsidRDefault="00B6146E" w:rsidP="00DB76AC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D41E3">
        <w:rPr>
          <w:rFonts w:cs="Simplified Arabic" w:hint="cs"/>
          <w:sz w:val="26"/>
          <w:szCs w:val="26"/>
          <w:rtl/>
        </w:rPr>
        <w:t>بمناسبة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يوم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الثقافة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الفلسطيني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الذي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يصادف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الثالث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عشر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من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آذار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من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كل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عام،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انطلاقاً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إطار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توثيق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انتهاكات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بحق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الموروث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الثقافي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الفلسطيني،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وتأكيداً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ضرورة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حماية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التراث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الإنساني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أعمال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التدمير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والإبادة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تستهدف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طمس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هوية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الشعب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وتاريخه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العريق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93514E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استعرض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الإحصاء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الفلسطيني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ووزارة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الثقافة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واقع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المؤسسات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الثقافية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في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cs="Simplified Arabic" w:hint="cs"/>
          <w:sz w:val="26"/>
          <w:szCs w:val="26"/>
          <w:rtl/>
        </w:rPr>
        <w:t>فلسطين</w:t>
      </w:r>
      <w:r w:rsidR="0093514E" w:rsidRPr="005D41E3">
        <w:rPr>
          <w:rFonts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أشكال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استهداف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للتراث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الثقافي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والحضاري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الفلسطيني،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بما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ذلك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المواقع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الدينية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والأثرية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والتاريخية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والمؤسسات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الثقافية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والأفراد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العاملين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الثقافي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ومواقع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التراث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B76AC" w:rsidRPr="005D41E3">
        <w:rPr>
          <w:rFonts w:ascii="Simplified Arabic" w:hAnsi="Simplified Arabic" w:cs="Simplified Arabic"/>
          <w:sz w:val="26"/>
          <w:szCs w:val="26"/>
          <w:rtl/>
        </w:rPr>
        <w:t>العالمي.</w:t>
      </w:r>
    </w:p>
    <w:p w14:paraId="7377B7A5" w14:textId="77777777" w:rsidR="00DB76AC" w:rsidRPr="00DB76AC" w:rsidRDefault="00DB76AC" w:rsidP="00DB76AC">
      <w:pPr>
        <w:bidi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14:paraId="52CD1A8B" w14:textId="26DD6621" w:rsidR="00335489" w:rsidRPr="005D41E3" w:rsidRDefault="00335489" w:rsidP="00335489">
      <w:pPr>
        <w:bidi/>
        <w:jc w:val="both"/>
        <w:rPr>
          <w:rFonts w:cs="Simplified Arabic"/>
          <w:sz w:val="26"/>
          <w:szCs w:val="26"/>
          <w:rtl/>
        </w:rPr>
      </w:pPr>
      <w:r w:rsidRPr="005D41E3">
        <w:rPr>
          <w:rFonts w:cs="Simplified Arabic" w:hint="cs"/>
          <w:sz w:val="26"/>
          <w:szCs w:val="26"/>
          <w:rtl/>
        </w:rPr>
        <w:t>يقصد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بالمؤسسة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الثقافية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="0093514E" w:rsidRPr="005D41E3">
        <w:rPr>
          <w:rFonts w:cs="Simplified Arabic" w:hint="cs"/>
          <w:sz w:val="26"/>
          <w:szCs w:val="26"/>
          <w:rtl/>
        </w:rPr>
        <w:t xml:space="preserve">أنها </w:t>
      </w:r>
      <w:r w:rsidRPr="005D41E3">
        <w:rPr>
          <w:rFonts w:cs="Simplified Arabic" w:hint="cs"/>
          <w:sz w:val="26"/>
          <w:szCs w:val="26"/>
          <w:rtl/>
        </w:rPr>
        <w:t>ال</w:t>
      </w:r>
      <w:r w:rsidRPr="005D41E3">
        <w:rPr>
          <w:rFonts w:cs="Simplified Arabic"/>
          <w:sz w:val="26"/>
          <w:szCs w:val="26"/>
          <w:rtl/>
        </w:rPr>
        <w:t>مؤسسة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 w:hint="cs"/>
          <w:sz w:val="26"/>
          <w:szCs w:val="26"/>
          <w:rtl/>
        </w:rPr>
        <w:t>التي</w:t>
      </w:r>
      <w:r w:rsidR="00055EFB" w:rsidRPr="005D41E3">
        <w:rPr>
          <w:rFonts w:cs="Simplified Arabic" w:hint="cs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تتضمن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السلع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(الأدوات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والمعدات)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المستخدمة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في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أنشطة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الفنون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والحرف</w:t>
      </w:r>
      <w:r w:rsidR="0093514E" w:rsidRPr="005D41E3">
        <w:rPr>
          <w:rFonts w:cs="Simplified Arabic" w:hint="cs"/>
          <w:sz w:val="26"/>
          <w:szCs w:val="26"/>
          <w:rtl/>
        </w:rPr>
        <w:t>،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وفي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أنشطة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اللعب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والرياضة</w:t>
      </w:r>
      <w:r w:rsidR="0093514E" w:rsidRPr="005D41E3">
        <w:rPr>
          <w:rFonts w:cs="Simplified Arabic" w:hint="cs"/>
          <w:sz w:val="26"/>
          <w:szCs w:val="26"/>
          <w:rtl/>
        </w:rPr>
        <w:t>،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والتي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تسهل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القيام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بأنشطة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الثقافة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بالمعنى</w:t>
      </w:r>
      <w:r w:rsidR="00055EFB" w:rsidRPr="005D41E3">
        <w:rPr>
          <w:rFonts w:cs="Simplified Arabic"/>
          <w:sz w:val="26"/>
          <w:szCs w:val="26"/>
          <w:rtl/>
        </w:rPr>
        <w:t xml:space="preserve"> </w:t>
      </w:r>
      <w:r w:rsidRPr="005D41E3">
        <w:rPr>
          <w:rFonts w:cs="Simplified Arabic"/>
          <w:sz w:val="26"/>
          <w:szCs w:val="26"/>
          <w:rtl/>
        </w:rPr>
        <w:t>الواسع.</w:t>
      </w:r>
    </w:p>
    <w:p w14:paraId="21802C07" w14:textId="77777777" w:rsidR="00DB76AC" w:rsidRPr="005D41E3" w:rsidRDefault="00DB76AC" w:rsidP="00DB76AC">
      <w:pPr>
        <w:bidi/>
        <w:jc w:val="both"/>
        <w:rPr>
          <w:rFonts w:cs="Simplified Arabic"/>
          <w:sz w:val="16"/>
          <w:szCs w:val="16"/>
          <w:rtl/>
        </w:rPr>
      </w:pPr>
    </w:p>
    <w:p w14:paraId="4D25C0BD" w14:textId="6DCA45D6" w:rsidR="00DB76AC" w:rsidRPr="005D41E3" w:rsidRDefault="00DB76AC" w:rsidP="00DB76A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D41E3">
        <w:rPr>
          <w:rFonts w:cs="Simplified Arabic" w:hint="cs"/>
          <w:b/>
          <w:bCs/>
          <w:sz w:val="28"/>
          <w:szCs w:val="28"/>
          <w:rtl/>
        </w:rPr>
        <w:t>استشهاد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118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من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العاملين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في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القطاع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الثقافي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في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قطاع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غزة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خلال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العام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2024</w:t>
      </w:r>
    </w:p>
    <w:p w14:paraId="3C5FF557" w14:textId="6C94F76B" w:rsidR="00DB76AC" w:rsidRPr="005D41E3" w:rsidRDefault="00DB76AC" w:rsidP="001B57B1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D41E3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العام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2024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تعرض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القطاع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الثقافي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غزة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عملية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إبادة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وتدمير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 xml:space="preserve"> نفذها ولا يزال ينفذها الاحتلال الإسرائيلي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حيث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استهدف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معالم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الوجود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شخصيات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 w:hint="cs"/>
          <w:sz w:val="26"/>
          <w:szCs w:val="26"/>
          <w:rtl/>
        </w:rPr>
        <w:t>أدبية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وفنية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ومعالم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 w:hint="cs"/>
          <w:sz w:val="26"/>
          <w:szCs w:val="26"/>
          <w:rtl/>
        </w:rPr>
        <w:t>وأماكن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ثقافية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وتراثية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ومراكز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ومكتبات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ومتاحف،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كما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قام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الاحتلال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بتدمير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المواقع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الثقافية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المسجلة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عالمياً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على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اللائحة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العالمية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للمواقع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التراثية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ومنها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موقع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البلاخية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وموقع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تل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93514E" w:rsidRPr="005D41E3">
        <w:rPr>
          <w:rFonts w:ascii="Simplified Arabic" w:hAnsi="Simplified Arabic" w:cs="Simplified Arabic"/>
          <w:sz w:val="26"/>
          <w:szCs w:val="26"/>
          <w:rtl/>
        </w:rPr>
        <w:t xml:space="preserve">م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عام</w:t>
      </w:r>
      <w:r w:rsidR="0050608C" w:rsidRPr="005D41E3">
        <w:rPr>
          <w:rFonts w:ascii="Simplified Arabic" w:hAnsi="Simplified Arabic" w:cs="Simplified Arabic" w:hint="cs"/>
          <w:sz w:val="26"/>
          <w:szCs w:val="26"/>
          <w:rtl/>
        </w:rPr>
        <w:t>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يشتهر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بالأرضية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المكونة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الفسيفساء.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3514E" w:rsidRPr="005D41E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أدناه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59F6" w:rsidRPr="005D41E3">
        <w:rPr>
          <w:rFonts w:ascii="Simplified Arabic" w:hAnsi="Simplified Arabic" w:cs="Simplified Arabic" w:hint="cs"/>
          <w:sz w:val="26"/>
          <w:szCs w:val="26"/>
          <w:rtl/>
        </w:rPr>
        <w:t>ن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ستعرض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واقع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بعض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مؤشرات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الواقع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الثقافي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غزة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قبل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B57B1" w:rsidRPr="005D41E3">
        <w:rPr>
          <w:rFonts w:ascii="Simplified Arabic" w:hAnsi="Simplified Arabic" w:cs="Simplified Arabic" w:hint="cs"/>
          <w:sz w:val="26"/>
          <w:szCs w:val="26"/>
          <w:rtl/>
        </w:rPr>
        <w:t>العدوان الإسرائيلي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والخسائر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لحقت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به:</w:t>
      </w:r>
    </w:p>
    <w:p w14:paraId="4853ECE9" w14:textId="77777777" w:rsidR="00DD0D1A" w:rsidRPr="005D41E3" w:rsidRDefault="00DD0D1A" w:rsidP="00DD0D1A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6B48C79" w14:textId="1BF51E16" w:rsidR="00C20976" w:rsidRPr="005D41E3" w:rsidRDefault="00C20976" w:rsidP="001B57B1">
      <w:pPr>
        <w:bidi/>
        <w:jc w:val="center"/>
        <w:rPr>
          <w:rFonts w:cs="Simplified Arabic"/>
          <w:b/>
          <w:bCs/>
          <w:sz w:val="26"/>
          <w:szCs w:val="26"/>
          <w:rtl/>
        </w:rPr>
      </w:pPr>
      <w:r w:rsidRPr="005D41E3">
        <w:rPr>
          <w:rFonts w:cs="Simplified Arabic" w:hint="cs"/>
          <w:b/>
          <w:bCs/>
          <w:sz w:val="26"/>
          <w:szCs w:val="26"/>
          <w:rtl/>
        </w:rPr>
        <w:t>واقع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العاملين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في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القطاع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الثقافي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في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قطاع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غزة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قبل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B57B1" w:rsidRPr="005D41E3">
        <w:rPr>
          <w:rFonts w:cs="Simplified Arabic" w:hint="cs"/>
          <w:b/>
          <w:bCs/>
          <w:sz w:val="26"/>
          <w:szCs w:val="26"/>
          <w:rtl/>
        </w:rPr>
        <w:t>العدوان الاسرائيلي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والخسائر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خلال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العام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2024</w:t>
      </w:r>
    </w:p>
    <w:tbl>
      <w:tblPr>
        <w:bidiVisual/>
        <w:tblW w:w="6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1036"/>
        <w:gridCol w:w="2865"/>
      </w:tblGrid>
      <w:tr w:rsidR="00C20976" w:rsidRPr="005D41E3" w14:paraId="1B69B2F9" w14:textId="77777777" w:rsidTr="005D41E3">
        <w:trPr>
          <w:trHeight w:hRule="exact" w:val="265"/>
          <w:jc w:val="center"/>
        </w:trPr>
        <w:tc>
          <w:tcPr>
            <w:tcW w:w="3022" w:type="dxa"/>
          </w:tcPr>
          <w:p w14:paraId="677DD206" w14:textId="77777777" w:rsidR="00C20976" w:rsidRPr="005D41E3" w:rsidRDefault="00C20976" w:rsidP="007347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1036" w:type="dxa"/>
          </w:tcPr>
          <w:p w14:paraId="60EF28BD" w14:textId="30A068B8" w:rsidR="00C20976" w:rsidRPr="005D41E3" w:rsidRDefault="00C20976" w:rsidP="001B57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الواقع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قبل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B57B1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العدوان</w:t>
            </w:r>
          </w:p>
        </w:tc>
        <w:tc>
          <w:tcPr>
            <w:tcW w:w="2865" w:type="dxa"/>
          </w:tcPr>
          <w:p w14:paraId="51FABE77" w14:textId="3F6C08B9" w:rsidR="00C20976" w:rsidRPr="005D41E3" w:rsidRDefault="00C20976" w:rsidP="001B57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الخسائر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خلال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B57B1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العدوان</w:t>
            </w:r>
          </w:p>
        </w:tc>
      </w:tr>
      <w:tr w:rsidR="00C20976" w:rsidRPr="005D41E3" w14:paraId="2B23D210" w14:textId="77777777" w:rsidTr="005D41E3">
        <w:trPr>
          <w:trHeight w:hRule="exact" w:val="614"/>
          <w:jc w:val="center"/>
        </w:trPr>
        <w:tc>
          <w:tcPr>
            <w:tcW w:w="3022" w:type="dxa"/>
          </w:tcPr>
          <w:p w14:paraId="4103C8D5" w14:textId="17369017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الكتّاب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المسجلين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في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اتحاد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الكتّاب</w:t>
            </w:r>
          </w:p>
        </w:tc>
        <w:tc>
          <w:tcPr>
            <w:tcW w:w="1036" w:type="dxa"/>
          </w:tcPr>
          <w:p w14:paraId="493C6D11" w14:textId="7C804F33" w:rsidR="00C20976" w:rsidRPr="005D41E3" w:rsidRDefault="00C20976" w:rsidP="005D41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2865" w:type="dxa"/>
          </w:tcPr>
          <w:p w14:paraId="2E310F47" w14:textId="51648114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استشهاد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كاتباً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والباقي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نزحوا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خارج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القطاع</w:t>
            </w:r>
          </w:p>
        </w:tc>
      </w:tr>
      <w:tr w:rsidR="00C20976" w:rsidRPr="005D41E3" w14:paraId="5365B268" w14:textId="77777777" w:rsidTr="005D41E3">
        <w:trPr>
          <w:trHeight w:hRule="exact" w:val="556"/>
          <w:jc w:val="center"/>
        </w:trPr>
        <w:tc>
          <w:tcPr>
            <w:tcW w:w="3022" w:type="dxa"/>
          </w:tcPr>
          <w:p w14:paraId="183E7D4B" w14:textId="66E26639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المسجلين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في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اتحاد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الفنانين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التشكيليين</w:t>
            </w:r>
          </w:p>
        </w:tc>
        <w:tc>
          <w:tcPr>
            <w:tcW w:w="1036" w:type="dxa"/>
          </w:tcPr>
          <w:p w14:paraId="305952AE" w14:textId="77777777" w:rsidR="00C20976" w:rsidRPr="005D41E3" w:rsidRDefault="00C20976" w:rsidP="005D41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185</w:t>
            </w:r>
          </w:p>
        </w:tc>
        <w:tc>
          <w:tcPr>
            <w:tcW w:w="2865" w:type="dxa"/>
          </w:tcPr>
          <w:p w14:paraId="6DC5AC08" w14:textId="79D35ADE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استشهاد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فناناً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والباقي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نزحوا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خارج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القطاع</w:t>
            </w:r>
          </w:p>
        </w:tc>
      </w:tr>
      <w:tr w:rsidR="00C20976" w:rsidRPr="005D41E3" w14:paraId="58439CBC" w14:textId="77777777" w:rsidTr="005D41E3">
        <w:trPr>
          <w:trHeight w:hRule="exact" w:val="564"/>
          <w:jc w:val="center"/>
        </w:trPr>
        <w:tc>
          <w:tcPr>
            <w:tcW w:w="3022" w:type="dxa"/>
          </w:tcPr>
          <w:p w14:paraId="7F7A113A" w14:textId="7FECCE29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الموسيقيين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المسجلين</w:t>
            </w:r>
          </w:p>
        </w:tc>
        <w:tc>
          <w:tcPr>
            <w:tcW w:w="1036" w:type="dxa"/>
          </w:tcPr>
          <w:p w14:paraId="08F3C8EC" w14:textId="616B57BA" w:rsidR="00C20976" w:rsidRPr="005D41E3" w:rsidRDefault="00C20976" w:rsidP="005D41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107</w:t>
            </w:r>
          </w:p>
        </w:tc>
        <w:tc>
          <w:tcPr>
            <w:tcW w:w="2865" w:type="dxa"/>
          </w:tcPr>
          <w:p w14:paraId="0B6FBA1D" w14:textId="6E1172AE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استشهاد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موسيقي</w:t>
            </w:r>
            <w:r w:rsidR="0093514E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ين</w:t>
            </w:r>
          </w:p>
        </w:tc>
      </w:tr>
      <w:tr w:rsidR="00C20976" w:rsidRPr="005D41E3" w14:paraId="7D4D36DF" w14:textId="77777777" w:rsidTr="005D41E3">
        <w:trPr>
          <w:trHeight w:hRule="exact" w:val="558"/>
          <w:jc w:val="center"/>
        </w:trPr>
        <w:tc>
          <w:tcPr>
            <w:tcW w:w="3022" w:type="dxa"/>
          </w:tcPr>
          <w:p w14:paraId="34E0CCF6" w14:textId="183FC36F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العاملين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في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الفنون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المسرحية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والأدائية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والسينمائيين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36" w:type="dxa"/>
          </w:tcPr>
          <w:p w14:paraId="2F23CC17" w14:textId="2E695D92" w:rsidR="00C20976" w:rsidRPr="005D41E3" w:rsidRDefault="00C20976" w:rsidP="005D41E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463</w:t>
            </w:r>
          </w:p>
        </w:tc>
        <w:tc>
          <w:tcPr>
            <w:tcW w:w="2865" w:type="dxa"/>
          </w:tcPr>
          <w:p w14:paraId="0B595637" w14:textId="78E9694B" w:rsidR="00C20976" w:rsidRPr="005D41E3" w:rsidRDefault="00C20976" w:rsidP="007347D9">
            <w:pPr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استشهاد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</w:rPr>
              <w:t>58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فنان</w:t>
            </w:r>
            <w:r w:rsidR="0093514E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اً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والباقي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نزحوا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خارج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القطاع</w:t>
            </w:r>
          </w:p>
        </w:tc>
      </w:tr>
    </w:tbl>
    <w:p w14:paraId="75B774D4" w14:textId="6C582ADA" w:rsidR="0062034B" w:rsidRPr="005D41E3" w:rsidRDefault="0062034B" w:rsidP="0062034B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A09D3A4" w14:textId="5D55E6AD" w:rsidR="00480240" w:rsidRPr="005D41E3" w:rsidRDefault="00480240" w:rsidP="001B57B1">
      <w:pPr>
        <w:bidi/>
        <w:jc w:val="center"/>
        <w:rPr>
          <w:rFonts w:cs="Simplified Arabic"/>
          <w:b/>
          <w:bCs/>
          <w:sz w:val="26"/>
          <w:szCs w:val="26"/>
          <w:rtl/>
        </w:rPr>
      </w:pPr>
      <w:r w:rsidRPr="005D41E3">
        <w:rPr>
          <w:rFonts w:cs="Simplified Arabic" w:hint="cs"/>
          <w:b/>
          <w:bCs/>
          <w:sz w:val="26"/>
          <w:szCs w:val="26"/>
          <w:rtl/>
        </w:rPr>
        <w:t>واقع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المؤسسات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الثقافية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في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قطاع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غزة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قبل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1B57B1" w:rsidRPr="005D41E3">
        <w:rPr>
          <w:rFonts w:cs="Simplified Arabic" w:hint="cs"/>
          <w:b/>
          <w:bCs/>
          <w:sz w:val="26"/>
          <w:szCs w:val="26"/>
          <w:rtl/>
        </w:rPr>
        <w:t xml:space="preserve">العدوان الاسرائيلي </w:t>
      </w:r>
      <w:r w:rsidRPr="005D41E3">
        <w:rPr>
          <w:rFonts w:cs="Simplified Arabic" w:hint="cs"/>
          <w:b/>
          <w:bCs/>
          <w:sz w:val="26"/>
          <w:szCs w:val="26"/>
          <w:rtl/>
        </w:rPr>
        <w:t>والخسائر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خلال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العام</w:t>
      </w:r>
      <w:r w:rsidR="00055EFB" w:rsidRPr="005D41E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5D41E3">
        <w:rPr>
          <w:rFonts w:cs="Simplified Arabic" w:hint="cs"/>
          <w:b/>
          <w:bCs/>
          <w:sz w:val="26"/>
          <w:szCs w:val="26"/>
          <w:rtl/>
        </w:rPr>
        <w:t>2024</w:t>
      </w:r>
    </w:p>
    <w:p w14:paraId="06090057" w14:textId="77777777" w:rsidR="00C20976" w:rsidRPr="00480240" w:rsidRDefault="00C20976" w:rsidP="00DB76AC">
      <w:pPr>
        <w:bidi/>
        <w:jc w:val="both"/>
        <w:rPr>
          <w:rFonts w:cs="Simplified Arabic"/>
          <w:sz w:val="6"/>
          <w:szCs w:val="6"/>
          <w:rtl/>
        </w:rPr>
      </w:pPr>
    </w:p>
    <w:tbl>
      <w:tblPr>
        <w:bidiVisual/>
        <w:tblW w:w="6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8"/>
        <w:gridCol w:w="1276"/>
        <w:gridCol w:w="2251"/>
      </w:tblGrid>
      <w:tr w:rsidR="00480240" w:rsidRPr="005D41E3" w14:paraId="0F73902A" w14:textId="77777777" w:rsidTr="005D41E3">
        <w:trPr>
          <w:trHeight w:hRule="exact" w:val="265"/>
          <w:jc w:val="center"/>
        </w:trPr>
        <w:tc>
          <w:tcPr>
            <w:tcW w:w="3298" w:type="dxa"/>
          </w:tcPr>
          <w:p w14:paraId="225EC134" w14:textId="77777777" w:rsidR="00480240" w:rsidRPr="005D41E3" w:rsidRDefault="00480240" w:rsidP="007347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1276" w:type="dxa"/>
          </w:tcPr>
          <w:p w14:paraId="2826B931" w14:textId="5BA06861" w:rsidR="00480240" w:rsidRPr="005D41E3" w:rsidRDefault="00480240" w:rsidP="009610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الواقع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قبل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61060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العدوان</w:t>
            </w:r>
          </w:p>
        </w:tc>
        <w:tc>
          <w:tcPr>
            <w:tcW w:w="2251" w:type="dxa"/>
          </w:tcPr>
          <w:p w14:paraId="709B4359" w14:textId="6307FE36" w:rsidR="00480240" w:rsidRPr="005D41E3" w:rsidRDefault="00480240" w:rsidP="009610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الخسائر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خلال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61060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العدوان</w:t>
            </w:r>
          </w:p>
        </w:tc>
      </w:tr>
      <w:tr w:rsidR="00480240" w:rsidRPr="005D41E3" w14:paraId="7339A219" w14:textId="77777777" w:rsidTr="005D41E3">
        <w:trPr>
          <w:trHeight w:hRule="exact" w:val="658"/>
          <w:jc w:val="center"/>
        </w:trPr>
        <w:tc>
          <w:tcPr>
            <w:tcW w:w="3298" w:type="dxa"/>
          </w:tcPr>
          <w:p w14:paraId="5F6E6536" w14:textId="1B37744C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الجمعيات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والمراكز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الثقافية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المسجلة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لدى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وزارة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الثقافة</w:t>
            </w:r>
          </w:p>
        </w:tc>
        <w:tc>
          <w:tcPr>
            <w:tcW w:w="1276" w:type="dxa"/>
          </w:tcPr>
          <w:p w14:paraId="292DAD2C" w14:textId="39753B50" w:rsidR="00480240" w:rsidRPr="005D41E3" w:rsidRDefault="00480240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251" w:type="dxa"/>
          </w:tcPr>
          <w:p w14:paraId="585941AE" w14:textId="61712C46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جميعها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تعرضت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لضرر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كلي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أو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جزئي</w:t>
            </w:r>
          </w:p>
        </w:tc>
      </w:tr>
      <w:tr w:rsidR="00480240" w:rsidRPr="005D41E3" w14:paraId="16EDB5A7" w14:textId="77777777" w:rsidTr="005D41E3">
        <w:trPr>
          <w:trHeight w:hRule="exact" w:val="836"/>
          <w:jc w:val="center"/>
        </w:trPr>
        <w:tc>
          <w:tcPr>
            <w:tcW w:w="3298" w:type="dxa"/>
          </w:tcPr>
          <w:p w14:paraId="050C9CE3" w14:textId="2EF036B6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الجمعيات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والمراكز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الثقافية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غير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المسجلة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لدى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وزارة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الثقافة</w:t>
            </w:r>
          </w:p>
        </w:tc>
        <w:tc>
          <w:tcPr>
            <w:tcW w:w="1276" w:type="dxa"/>
          </w:tcPr>
          <w:p w14:paraId="4FEB510F" w14:textId="4DBC6CD2" w:rsidR="00480240" w:rsidRPr="005D41E3" w:rsidRDefault="00480240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2251" w:type="dxa"/>
          </w:tcPr>
          <w:p w14:paraId="119186D1" w14:textId="0EA3DD92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مؤسسة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تم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تدميرها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بشكل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كامل</w:t>
            </w:r>
          </w:p>
        </w:tc>
      </w:tr>
      <w:tr w:rsidR="00480240" w:rsidRPr="005D41E3" w14:paraId="0ACB73DC" w14:textId="77777777" w:rsidTr="005D41E3">
        <w:trPr>
          <w:jc w:val="center"/>
        </w:trPr>
        <w:tc>
          <w:tcPr>
            <w:tcW w:w="3298" w:type="dxa"/>
          </w:tcPr>
          <w:p w14:paraId="385E8436" w14:textId="50A783A3" w:rsidR="00480240" w:rsidRPr="005D41E3" w:rsidRDefault="00480240" w:rsidP="00DF50A4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المكتبات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العامة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F50A4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والمؤسسات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F50A4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التابعة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F50A4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لها</w:t>
            </w:r>
          </w:p>
        </w:tc>
        <w:tc>
          <w:tcPr>
            <w:tcW w:w="1276" w:type="dxa"/>
          </w:tcPr>
          <w:p w14:paraId="1D02DC78" w14:textId="27EA1B84" w:rsidR="00480240" w:rsidRPr="005D41E3" w:rsidRDefault="00480240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87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مكتبة</w:t>
            </w:r>
          </w:p>
        </w:tc>
        <w:tc>
          <w:tcPr>
            <w:tcW w:w="2251" w:type="dxa"/>
          </w:tcPr>
          <w:p w14:paraId="11D09AB3" w14:textId="4E29B0AC" w:rsidR="00480240" w:rsidRPr="005D41E3" w:rsidRDefault="00480240" w:rsidP="00AF4476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87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مكتبة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تعرضت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لتدمير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بشكل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كامل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أو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جزئي</w:t>
            </w:r>
          </w:p>
        </w:tc>
      </w:tr>
      <w:tr w:rsidR="00480240" w:rsidRPr="005D41E3" w14:paraId="1B996E24" w14:textId="77777777" w:rsidTr="005D41E3">
        <w:trPr>
          <w:trHeight w:hRule="exact" w:val="397"/>
          <w:jc w:val="center"/>
        </w:trPr>
        <w:tc>
          <w:tcPr>
            <w:tcW w:w="3298" w:type="dxa"/>
          </w:tcPr>
          <w:p w14:paraId="3A28868E" w14:textId="4571EBC4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دور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النشر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والمطابع</w:t>
            </w:r>
          </w:p>
        </w:tc>
        <w:tc>
          <w:tcPr>
            <w:tcW w:w="1276" w:type="dxa"/>
          </w:tcPr>
          <w:p w14:paraId="575BA314" w14:textId="3E6E9917" w:rsidR="00480240" w:rsidRPr="005D41E3" w:rsidRDefault="00480240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  <w:p w14:paraId="06B59BD5" w14:textId="77777777" w:rsidR="0093514E" w:rsidRPr="005D41E3" w:rsidRDefault="0093514E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94CE933" w14:textId="77777777" w:rsidR="0093514E" w:rsidRPr="005D41E3" w:rsidRDefault="0093514E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3FBEC1F0" w14:textId="304D0630" w:rsidR="0093514E" w:rsidRPr="005D41E3" w:rsidRDefault="0093514E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1" w:type="dxa"/>
          </w:tcPr>
          <w:p w14:paraId="1422F18D" w14:textId="33F3EDDC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تدمير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دور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نشر</w:t>
            </w:r>
            <w:r w:rsidR="005E41E0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ومطابع</w:t>
            </w:r>
          </w:p>
        </w:tc>
      </w:tr>
      <w:tr w:rsidR="00480240" w:rsidRPr="005D41E3" w14:paraId="0307BE18" w14:textId="77777777" w:rsidTr="005D41E3">
        <w:trPr>
          <w:trHeight w:hRule="exact" w:val="564"/>
          <w:jc w:val="center"/>
        </w:trPr>
        <w:tc>
          <w:tcPr>
            <w:tcW w:w="3298" w:type="dxa"/>
          </w:tcPr>
          <w:p w14:paraId="68230C3B" w14:textId="2FF8D6FB" w:rsidR="00480240" w:rsidRPr="005D41E3" w:rsidRDefault="00480240" w:rsidP="0093514E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المواقع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الأثرية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والتراثية</w:t>
            </w:r>
          </w:p>
        </w:tc>
        <w:tc>
          <w:tcPr>
            <w:tcW w:w="1276" w:type="dxa"/>
          </w:tcPr>
          <w:p w14:paraId="23991345" w14:textId="797873F3" w:rsidR="0093514E" w:rsidRPr="005D41E3" w:rsidRDefault="0093514E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325</w:t>
            </w:r>
          </w:p>
        </w:tc>
        <w:tc>
          <w:tcPr>
            <w:tcW w:w="2251" w:type="dxa"/>
          </w:tcPr>
          <w:p w14:paraId="4284FDC1" w14:textId="1D05335B" w:rsidR="00480240" w:rsidRPr="005D41E3" w:rsidRDefault="00480240" w:rsidP="0093514E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تدمير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</w:rPr>
              <w:t>200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موقع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93514E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أثرى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وتراثي</w:t>
            </w:r>
          </w:p>
        </w:tc>
      </w:tr>
      <w:tr w:rsidR="00480240" w:rsidRPr="005D41E3" w14:paraId="27DAB8BD" w14:textId="77777777" w:rsidTr="005D41E3">
        <w:trPr>
          <w:trHeight w:hRule="exact" w:val="558"/>
          <w:jc w:val="center"/>
        </w:trPr>
        <w:tc>
          <w:tcPr>
            <w:tcW w:w="3298" w:type="dxa"/>
          </w:tcPr>
          <w:p w14:paraId="5B143E30" w14:textId="32BC7F86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عدد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الأثواب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القديمة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وقطع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التطريز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من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مقتنيات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المتاحف</w:t>
            </w:r>
          </w:p>
        </w:tc>
        <w:tc>
          <w:tcPr>
            <w:tcW w:w="1276" w:type="dxa"/>
          </w:tcPr>
          <w:p w14:paraId="32A29C5F" w14:textId="1434653F" w:rsidR="00480240" w:rsidRPr="005D41E3" w:rsidRDefault="00480240" w:rsidP="005D5ABF">
            <w:pPr>
              <w:tabs>
                <w:tab w:val="left" w:pos="8641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3,500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ثوب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وقطعة</w:t>
            </w:r>
          </w:p>
        </w:tc>
        <w:tc>
          <w:tcPr>
            <w:tcW w:w="2251" w:type="dxa"/>
          </w:tcPr>
          <w:p w14:paraId="2355A654" w14:textId="0FBAE382" w:rsidR="00480240" w:rsidRPr="005D41E3" w:rsidRDefault="00480240" w:rsidP="007347D9">
            <w:pPr>
              <w:tabs>
                <w:tab w:val="left" w:pos="8641"/>
              </w:tabs>
              <w:bidi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تدمير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</w:rPr>
              <w:t>2,100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ثوب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وقطعة</w:t>
            </w:r>
          </w:p>
        </w:tc>
      </w:tr>
    </w:tbl>
    <w:p w14:paraId="0CEDE46F" w14:textId="77777777" w:rsidR="00480240" w:rsidRPr="001B57B1" w:rsidRDefault="00480240" w:rsidP="00480240">
      <w:pPr>
        <w:bidi/>
        <w:jc w:val="both"/>
        <w:rPr>
          <w:rFonts w:cs="Simplified Arabic"/>
          <w:sz w:val="12"/>
          <w:szCs w:val="12"/>
          <w:rtl/>
        </w:rPr>
      </w:pPr>
    </w:p>
    <w:p w14:paraId="769C3453" w14:textId="77777777" w:rsidR="005D41E3" w:rsidRDefault="005D41E3" w:rsidP="00FD50EB">
      <w:pPr>
        <w:bidi/>
        <w:jc w:val="both"/>
        <w:rPr>
          <w:rFonts w:cs="Simplified Arabic"/>
          <w:sz w:val="22"/>
          <w:szCs w:val="22"/>
          <w:rtl/>
        </w:rPr>
      </w:pPr>
    </w:p>
    <w:p w14:paraId="753E040D" w14:textId="77777777" w:rsidR="005D41E3" w:rsidRDefault="005D41E3" w:rsidP="005D41E3">
      <w:pPr>
        <w:bidi/>
        <w:jc w:val="both"/>
        <w:rPr>
          <w:rFonts w:cs="Simplified Arabic"/>
          <w:sz w:val="22"/>
          <w:szCs w:val="22"/>
          <w:rtl/>
        </w:rPr>
      </w:pPr>
    </w:p>
    <w:p w14:paraId="7A0A0599" w14:textId="77777777" w:rsidR="005D41E3" w:rsidRDefault="005D41E3" w:rsidP="005D41E3">
      <w:pPr>
        <w:bidi/>
        <w:jc w:val="both"/>
        <w:rPr>
          <w:rFonts w:cs="Simplified Arabic"/>
          <w:sz w:val="22"/>
          <w:szCs w:val="22"/>
          <w:rtl/>
        </w:rPr>
      </w:pPr>
    </w:p>
    <w:p w14:paraId="1D612B87" w14:textId="391CCC4C" w:rsidR="00DB76AC" w:rsidRDefault="00DB76AC" w:rsidP="005D41E3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D41E3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تشهد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محافظات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تصاعداً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ملحوظاً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الاعتداءات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تستهدف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الثقافية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والعاملين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فيها،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ما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أدى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إلغاء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العديد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الفعاليات</w:t>
      </w:r>
      <w:r w:rsidR="00EB46DD" w:rsidRPr="005D41E3">
        <w:rPr>
          <w:rFonts w:ascii="Simplified Arabic" w:hAnsi="Simplified Arabic" w:cs="Simplified Arabic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وإلحاق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أضرار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جسيمة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بالبنية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التحتية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الثقافية.</w:t>
      </w:r>
      <w:r w:rsidR="00EB46DD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أدناه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نستعرض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الانخفاض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الملحوظ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D50EB" w:rsidRPr="005D41E3">
        <w:rPr>
          <w:rFonts w:ascii="Simplified Arabic" w:hAnsi="Simplified Arabic" w:cs="Simplified Arabic"/>
          <w:sz w:val="26"/>
          <w:szCs w:val="26"/>
          <w:rtl/>
        </w:rPr>
        <w:t>عدد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D50EB" w:rsidRPr="005D41E3">
        <w:rPr>
          <w:rFonts w:ascii="Simplified Arabic" w:hAnsi="Simplified Arabic" w:cs="Simplified Arabic"/>
          <w:sz w:val="26"/>
          <w:szCs w:val="26"/>
          <w:rtl/>
        </w:rPr>
        <w:t>المراكز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D50EB" w:rsidRPr="005D41E3">
        <w:rPr>
          <w:rFonts w:ascii="Simplified Arabic" w:hAnsi="Simplified Arabic" w:cs="Simplified Arabic"/>
          <w:sz w:val="26"/>
          <w:szCs w:val="26"/>
          <w:rtl/>
        </w:rPr>
        <w:t>الثقافية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D50EB" w:rsidRPr="005D41E3">
        <w:rPr>
          <w:rFonts w:ascii="Simplified Arabic" w:hAnsi="Simplified Arabic" w:cs="Simplified Arabic"/>
          <w:sz w:val="26"/>
          <w:szCs w:val="26"/>
          <w:rtl/>
        </w:rPr>
        <w:t>العاملة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عام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2024</w:t>
      </w:r>
      <w:r w:rsidR="00EB46DD" w:rsidRPr="005D41E3">
        <w:rPr>
          <w:rFonts w:ascii="Simplified Arabic" w:hAnsi="Simplified Arabic" w:cs="Simplified Arabic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بالمقارنة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مع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الأعوام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السابقة</w:t>
      </w:r>
      <w:r w:rsidR="00EB46DD" w:rsidRPr="005D41E3">
        <w:rPr>
          <w:rFonts w:ascii="Simplified Arabic" w:hAnsi="Simplified Arabic" w:cs="Simplified Arabic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إلى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عدد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زوار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المتاحف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وعدد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المسرحيات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المعروضة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D41E3">
        <w:rPr>
          <w:rFonts w:ascii="Simplified Arabic" w:hAnsi="Simplified Arabic" w:cs="Simplified Arabic"/>
          <w:sz w:val="26"/>
          <w:szCs w:val="26"/>
          <w:rtl/>
        </w:rPr>
        <w:t>المسارح.</w:t>
      </w:r>
    </w:p>
    <w:p w14:paraId="20D6521C" w14:textId="77777777" w:rsidR="005D5ABF" w:rsidRPr="005D41E3" w:rsidRDefault="005D5ABF" w:rsidP="005D5ABF">
      <w:pPr>
        <w:bidi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33CF8C2C" w14:textId="77777777" w:rsidR="00DB76AC" w:rsidRPr="001B57B1" w:rsidRDefault="00DB76AC" w:rsidP="00DB76AC">
      <w:pPr>
        <w:bidi/>
        <w:jc w:val="both"/>
        <w:rPr>
          <w:rFonts w:cs="Simplified Arabic"/>
          <w:sz w:val="12"/>
          <w:szCs w:val="12"/>
        </w:rPr>
      </w:pPr>
    </w:p>
    <w:p w14:paraId="3C413B51" w14:textId="54C42038" w:rsidR="0008497B" w:rsidRPr="005D41E3" w:rsidRDefault="00F14049" w:rsidP="006D1D51">
      <w:pPr>
        <w:bidi/>
        <w:ind w:left="-2"/>
        <w:jc w:val="both"/>
        <w:rPr>
          <w:rFonts w:cs="Simplified Arabic"/>
          <w:b/>
          <w:bCs/>
          <w:sz w:val="28"/>
          <w:szCs w:val="28"/>
          <w:rtl/>
        </w:rPr>
      </w:pPr>
      <w:r w:rsidRPr="005D41E3">
        <w:rPr>
          <w:rFonts w:cs="Simplified Arabic" w:hint="cs"/>
          <w:b/>
          <w:bCs/>
          <w:sz w:val="28"/>
          <w:szCs w:val="28"/>
          <w:rtl/>
        </w:rPr>
        <w:t>انخفاض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C61B4" w:rsidRPr="005D41E3">
        <w:rPr>
          <w:rFonts w:cs="Simplified Arabic" w:hint="cs"/>
          <w:b/>
          <w:bCs/>
          <w:sz w:val="28"/>
          <w:szCs w:val="28"/>
          <w:rtl/>
        </w:rPr>
        <w:t>عدد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C61B4" w:rsidRPr="005D41E3">
        <w:rPr>
          <w:rFonts w:cs="Simplified Arabic" w:hint="cs"/>
          <w:b/>
          <w:bCs/>
          <w:sz w:val="28"/>
          <w:szCs w:val="28"/>
          <w:rtl/>
        </w:rPr>
        <w:t>المراكز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C61B4" w:rsidRPr="005D41E3">
        <w:rPr>
          <w:rFonts w:cs="Simplified Arabic" w:hint="cs"/>
          <w:b/>
          <w:bCs/>
          <w:sz w:val="28"/>
          <w:szCs w:val="28"/>
          <w:rtl/>
        </w:rPr>
        <w:t>الثقافية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C61B4" w:rsidRPr="005D41E3">
        <w:rPr>
          <w:rFonts w:cs="Simplified Arabic" w:hint="cs"/>
          <w:b/>
          <w:bCs/>
          <w:sz w:val="28"/>
          <w:szCs w:val="28"/>
          <w:rtl/>
        </w:rPr>
        <w:t>العاملة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C61B4" w:rsidRPr="005D41E3">
        <w:rPr>
          <w:rFonts w:cs="Simplified Arabic" w:hint="cs"/>
          <w:b/>
          <w:bCs/>
          <w:sz w:val="28"/>
          <w:szCs w:val="28"/>
          <w:rtl/>
        </w:rPr>
        <w:t>في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D1D51" w:rsidRPr="005D41E3">
        <w:rPr>
          <w:rFonts w:cs="Simplified Arabic" w:hint="cs"/>
          <w:b/>
          <w:bCs/>
          <w:sz w:val="28"/>
          <w:szCs w:val="28"/>
          <w:rtl/>
        </w:rPr>
        <w:t>الضفة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6D1D51" w:rsidRPr="005D41E3">
        <w:rPr>
          <w:rFonts w:cs="Simplified Arabic" w:hint="cs"/>
          <w:b/>
          <w:bCs/>
          <w:sz w:val="28"/>
          <w:szCs w:val="28"/>
          <w:rtl/>
        </w:rPr>
        <w:t>الغربية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EB46DD" w:rsidRPr="005D41E3">
        <w:rPr>
          <w:rFonts w:cs="Simplified Arabic" w:hint="cs"/>
          <w:b/>
          <w:bCs/>
          <w:sz w:val="28"/>
          <w:szCs w:val="28"/>
          <w:rtl/>
        </w:rPr>
        <w:t xml:space="preserve">العام </w:t>
      </w:r>
      <w:r w:rsidR="006D1D51" w:rsidRPr="005D41E3">
        <w:rPr>
          <w:rFonts w:cs="Simplified Arabic" w:hint="cs"/>
          <w:b/>
          <w:bCs/>
          <w:sz w:val="28"/>
          <w:szCs w:val="28"/>
          <w:rtl/>
        </w:rPr>
        <w:t>2024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مقارنة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مع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العام</w:t>
      </w:r>
      <w:r w:rsidR="00055EFB" w:rsidRPr="005D41E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sz w:val="28"/>
          <w:szCs w:val="28"/>
          <w:rtl/>
        </w:rPr>
        <w:t>2023</w:t>
      </w:r>
    </w:p>
    <w:p w14:paraId="2D8D6945" w14:textId="7E0F3186" w:rsidR="004628C9" w:rsidRPr="005D41E3" w:rsidRDefault="00F14049" w:rsidP="00F14049">
      <w:pPr>
        <w:pStyle w:val="BodyText"/>
        <w:jc w:val="both"/>
        <w:rPr>
          <w:rFonts w:ascii="Simplified Arabic" w:hAnsi="Simplified Arabic"/>
          <w:b w:val="0"/>
          <w:bCs w:val="0"/>
          <w:sz w:val="26"/>
          <w:szCs w:val="26"/>
          <w:rtl/>
        </w:rPr>
      </w:pP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انخفض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عدد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المراكز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الثقافية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العاملة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205D47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الضفة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205D47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الغربية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6D1D51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510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مر</w:t>
      </w:r>
      <w:r w:rsidR="00EB46DD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كز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ثقافية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العام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6D1D51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2023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1C2E60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إلى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492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مركزاً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ثقافياً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عاملاً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العام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6D1D51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2024</w:t>
      </w:r>
      <w:r w:rsidR="00205D47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.</w:t>
      </w:r>
    </w:p>
    <w:p w14:paraId="250C438D" w14:textId="77777777" w:rsidR="00B05673" w:rsidRPr="005D41E3" w:rsidRDefault="00B05673" w:rsidP="00B36424">
      <w:pPr>
        <w:pStyle w:val="BodyText"/>
        <w:jc w:val="both"/>
        <w:rPr>
          <w:b w:val="0"/>
          <w:bCs w:val="0"/>
          <w:color w:val="FF0000"/>
          <w:sz w:val="16"/>
          <w:szCs w:val="16"/>
        </w:rPr>
      </w:pPr>
    </w:p>
    <w:p w14:paraId="628836A3" w14:textId="67E485AA" w:rsidR="001F7D75" w:rsidRPr="005D41E3" w:rsidRDefault="001F7D75" w:rsidP="002E7F22">
      <w:pPr>
        <w:pStyle w:val="BodyText"/>
        <w:rPr>
          <w:sz w:val="26"/>
          <w:szCs w:val="26"/>
          <w:rtl/>
        </w:rPr>
      </w:pPr>
      <w:r w:rsidRPr="005D41E3">
        <w:rPr>
          <w:sz w:val="26"/>
          <w:szCs w:val="26"/>
          <w:rtl/>
        </w:rPr>
        <w:t>توزيع</w:t>
      </w:r>
      <w:r w:rsidR="00055EFB" w:rsidRPr="005D41E3">
        <w:rPr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المراكز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الثقافية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العاملة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فلسطين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حسب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المنطقة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C01D0A" w:rsidRPr="005D41E3">
        <w:rPr>
          <w:rFonts w:hint="cs"/>
          <w:sz w:val="26"/>
          <w:szCs w:val="26"/>
          <w:rtl/>
        </w:rPr>
        <w:t>لأعوام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C01D0A" w:rsidRPr="005D41E3">
        <w:rPr>
          <w:rFonts w:hint="cs"/>
          <w:sz w:val="26"/>
          <w:szCs w:val="26"/>
          <w:rtl/>
        </w:rPr>
        <w:t>مختارة</w:t>
      </w:r>
    </w:p>
    <w:tbl>
      <w:tblPr>
        <w:bidiVisual/>
        <w:tblW w:w="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750"/>
        <w:gridCol w:w="779"/>
        <w:gridCol w:w="749"/>
        <w:gridCol w:w="796"/>
        <w:gridCol w:w="719"/>
      </w:tblGrid>
      <w:tr w:rsidR="001566B3" w:rsidRPr="005D41E3" w14:paraId="364F08C1" w14:textId="77777777" w:rsidTr="005D41E3">
        <w:trPr>
          <w:trHeight w:hRule="exact" w:val="461"/>
          <w:jc w:val="center"/>
        </w:trPr>
        <w:tc>
          <w:tcPr>
            <w:tcW w:w="1322" w:type="dxa"/>
            <w:vAlign w:val="center"/>
          </w:tcPr>
          <w:p w14:paraId="1EA4F0D2" w14:textId="77777777" w:rsidR="001566B3" w:rsidRPr="005D41E3" w:rsidRDefault="001566B3" w:rsidP="00FB29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750" w:type="dxa"/>
            <w:vAlign w:val="center"/>
          </w:tcPr>
          <w:p w14:paraId="38B76774" w14:textId="77777777" w:rsidR="001566B3" w:rsidRPr="005D41E3" w:rsidRDefault="001566B3" w:rsidP="00A833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79" w:type="dxa"/>
            <w:vAlign w:val="center"/>
          </w:tcPr>
          <w:p w14:paraId="6F08ABB3" w14:textId="77777777" w:rsidR="001566B3" w:rsidRPr="005D41E3" w:rsidRDefault="001566B3" w:rsidP="009F34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49" w:type="dxa"/>
            <w:vAlign w:val="center"/>
          </w:tcPr>
          <w:p w14:paraId="3AAFD4B5" w14:textId="77777777" w:rsidR="001566B3" w:rsidRPr="005D41E3" w:rsidRDefault="001566B3" w:rsidP="009F34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96" w:type="dxa"/>
            <w:vAlign w:val="center"/>
          </w:tcPr>
          <w:p w14:paraId="06800623" w14:textId="77777777" w:rsidR="001566B3" w:rsidRPr="005D41E3" w:rsidRDefault="00813786" w:rsidP="00205D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 w:rsidR="001566B3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19" w:type="dxa"/>
            <w:vAlign w:val="center"/>
          </w:tcPr>
          <w:p w14:paraId="78783325" w14:textId="77777777" w:rsidR="001566B3" w:rsidRPr="005D41E3" w:rsidRDefault="001566B3" w:rsidP="00205D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2024</w:t>
            </w:r>
          </w:p>
        </w:tc>
      </w:tr>
      <w:tr w:rsidR="001566B3" w:rsidRPr="005D41E3" w14:paraId="3D6AC247" w14:textId="77777777" w:rsidTr="005D41E3">
        <w:trPr>
          <w:trHeight w:hRule="exact" w:val="461"/>
          <w:jc w:val="center"/>
        </w:trPr>
        <w:tc>
          <w:tcPr>
            <w:tcW w:w="1322" w:type="dxa"/>
          </w:tcPr>
          <w:p w14:paraId="110FA6C3" w14:textId="77777777" w:rsidR="001566B3" w:rsidRPr="005D41E3" w:rsidRDefault="001566B3" w:rsidP="00FB298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750" w:type="dxa"/>
            <w:vAlign w:val="center"/>
          </w:tcPr>
          <w:p w14:paraId="207D47BB" w14:textId="77777777" w:rsidR="001566B3" w:rsidRPr="005D41E3" w:rsidRDefault="001566B3" w:rsidP="0025567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528</w:t>
            </w:r>
          </w:p>
        </w:tc>
        <w:tc>
          <w:tcPr>
            <w:tcW w:w="779" w:type="dxa"/>
            <w:vAlign w:val="center"/>
          </w:tcPr>
          <w:p w14:paraId="01358FF4" w14:textId="77777777" w:rsidR="001566B3" w:rsidRPr="005D41E3" w:rsidRDefault="001566B3" w:rsidP="00F809D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577</w:t>
            </w:r>
          </w:p>
        </w:tc>
        <w:tc>
          <w:tcPr>
            <w:tcW w:w="749" w:type="dxa"/>
            <w:vAlign w:val="center"/>
          </w:tcPr>
          <w:p w14:paraId="7EE02DE6" w14:textId="77777777" w:rsidR="001566B3" w:rsidRPr="005D41E3" w:rsidRDefault="001566B3" w:rsidP="009F34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584</w:t>
            </w:r>
          </w:p>
        </w:tc>
        <w:tc>
          <w:tcPr>
            <w:tcW w:w="796" w:type="dxa"/>
            <w:vAlign w:val="center"/>
          </w:tcPr>
          <w:p w14:paraId="794DBB7A" w14:textId="77777777" w:rsidR="001566B3" w:rsidRPr="005D41E3" w:rsidRDefault="00813786" w:rsidP="008137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622</w:t>
            </w:r>
          </w:p>
        </w:tc>
        <w:tc>
          <w:tcPr>
            <w:tcW w:w="719" w:type="dxa"/>
          </w:tcPr>
          <w:p w14:paraId="361E247E" w14:textId="77777777" w:rsidR="001566B3" w:rsidRPr="005D41E3" w:rsidRDefault="00CD2505" w:rsidP="009F340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</w:p>
        </w:tc>
      </w:tr>
      <w:tr w:rsidR="001566B3" w:rsidRPr="005D41E3" w14:paraId="1C5E6BFA" w14:textId="77777777" w:rsidTr="005D41E3">
        <w:trPr>
          <w:trHeight w:hRule="exact" w:val="461"/>
          <w:jc w:val="center"/>
        </w:trPr>
        <w:tc>
          <w:tcPr>
            <w:tcW w:w="1322" w:type="dxa"/>
          </w:tcPr>
          <w:p w14:paraId="43ABE2BA" w14:textId="2CABCB7F" w:rsidR="001566B3" w:rsidRPr="005D41E3" w:rsidRDefault="001566B3" w:rsidP="00FB298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الضفة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الغربية</w:t>
            </w:r>
          </w:p>
        </w:tc>
        <w:tc>
          <w:tcPr>
            <w:tcW w:w="750" w:type="dxa"/>
            <w:vAlign w:val="center"/>
          </w:tcPr>
          <w:p w14:paraId="3425D79B" w14:textId="77777777" w:rsidR="001566B3" w:rsidRPr="005D41E3" w:rsidRDefault="001566B3" w:rsidP="00255672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473</w:t>
            </w:r>
          </w:p>
        </w:tc>
        <w:tc>
          <w:tcPr>
            <w:tcW w:w="779" w:type="dxa"/>
            <w:vAlign w:val="center"/>
          </w:tcPr>
          <w:p w14:paraId="2ACD2D93" w14:textId="77777777" w:rsidR="001566B3" w:rsidRPr="005D41E3" w:rsidRDefault="001566B3" w:rsidP="00F809D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505</w:t>
            </w:r>
          </w:p>
        </w:tc>
        <w:tc>
          <w:tcPr>
            <w:tcW w:w="749" w:type="dxa"/>
            <w:vAlign w:val="center"/>
          </w:tcPr>
          <w:p w14:paraId="1C5A3932" w14:textId="77777777" w:rsidR="001566B3" w:rsidRPr="005D41E3" w:rsidRDefault="001566B3" w:rsidP="009F340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508</w:t>
            </w:r>
          </w:p>
        </w:tc>
        <w:tc>
          <w:tcPr>
            <w:tcW w:w="796" w:type="dxa"/>
            <w:vAlign w:val="center"/>
          </w:tcPr>
          <w:p w14:paraId="4C50F001" w14:textId="77777777" w:rsidR="001566B3" w:rsidRPr="005D41E3" w:rsidRDefault="00813786" w:rsidP="00A314C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510</w:t>
            </w:r>
          </w:p>
        </w:tc>
        <w:tc>
          <w:tcPr>
            <w:tcW w:w="719" w:type="dxa"/>
            <w:vAlign w:val="center"/>
          </w:tcPr>
          <w:p w14:paraId="58144315" w14:textId="77777777" w:rsidR="001566B3" w:rsidRPr="005D41E3" w:rsidRDefault="00A314CE" w:rsidP="00A314C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492</w:t>
            </w:r>
          </w:p>
        </w:tc>
      </w:tr>
      <w:tr w:rsidR="001566B3" w:rsidRPr="005D41E3" w14:paraId="64F20A0D" w14:textId="77777777" w:rsidTr="005D41E3">
        <w:trPr>
          <w:trHeight w:hRule="exact" w:val="461"/>
          <w:jc w:val="center"/>
        </w:trPr>
        <w:tc>
          <w:tcPr>
            <w:tcW w:w="1322" w:type="dxa"/>
          </w:tcPr>
          <w:p w14:paraId="6D610626" w14:textId="0B4DC6C2" w:rsidR="001566B3" w:rsidRPr="005D41E3" w:rsidRDefault="001566B3" w:rsidP="00FB298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قطاع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غزة</w:t>
            </w:r>
          </w:p>
        </w:tc>
        <w:tc>
          <w:tcPr>
            <w:tcW w:w="750" w:type="dxa"/>
            <w:vAlign w:val="center"/>
          </w:tcPr>
          <w:p w14:paraId="3E35BFB7" w14:textId="77777777" w:rsidR="001566B3" w:rsidRPr="005D41E3" w:rsidRDefault="001566B3" w:rsidP="00255672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55</w:t>
            </w:r>
          </w:p>
        </w:tc>
        <w:tc>
          <w:tcPr>
            <w:tcW w:w="779" w:type="dxa"/>
            <w:vAlign w:val="center"/>
          </w:tcPr>
          <w:p w14:paraId="2F089624" w14:textId="77777777" w:rsidR="001566B3" w:rsidRPr="005D41E3" w:rsidRDefault="001566B3" w:rsidP="00F809D8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749" w:type="dxa"/>
            <w:vAlign w:val="center"/>
          </w:tcPr>
          <w:p w14:paraId="7774A191" w14:textId="77777777" w:rsidR="001566B3" w:rsidRPr="005D41E3" w:rsidRDefault="001566B3" w:rsidP="009F34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76</w:t>
            </w:r>
          </w:p>
        </w:tc>
        <w:tc>
          <w:tcPr>
            <w:tcW w:w="796" w:type="dxa"/>
            <w:vAlign w:val="center"/>
          </w:tcPr>
          <w:p w14:paraId="5067243F" w14:textId="77777777" w:rsidR="001566B3" w:rsidRPr="005D41E3" w:rsidRDefault="00813786" w:rsidP="008137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112</w:t>
            </w:r>
          </w:p>
        </w:tc>
        <w:tc>
          <w:tcPr>
            <w:tcW w:w="719" w:type="dxa"/>
          </w:tcPr>
          <w:p w14:paraId="1FE6665F" w14:textId="77777777" w:rsidR="001566B3" w:rsidRPr="005D41E3" w:rsidRDefault="00CD2505" w:rsidP="009F34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..</w:t>
            </w:r>
          </w:p>
        </w:tc>
      </w:tr>
    </w:tbl>
    <w:p w14:paraId="34786FC3" w14:textId="238EF9D5" w:rsidR="00FB298D" w:rsidRDefault="00813786" w:rsidP="00813786">
      <w:pPr>
        <w:pStyle w:val="BodyText"/>
        <w:jc w:val="both"/>
        <w:rPr>
          <w:b w:val="0"/>
          <w:bCs w:val="0"/>
          <w:sz w:val="18"/>
          <w:szCs w:val="18"/>
          <w:rtl/>
        </w:rPr>
      </w:pPr>
      <w:r w:rsidRPr="00813786">
        <w:rPr>
          <w:rFonts w:hint="cs"/>
          <w:b w:val="0"/>
          <w:bCs w:val="0"/>
          <w:sz w:val="18"/>
          <w:szCs w:val="18"/>
          <w:rtl/>
        </w:rPr>
        <w:t>*: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بيانات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قطاع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غزة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لا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تشمل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فترة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العدوان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الإسرائيلي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على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القطاع</w:t>
      </w:r>
      <w:r w:rsidRPr="00813786">
        <w:rPr>
          <w:rFonts w:hint="cs"/>
          <w:b w:val="0"/>
          <w:bCs w:val="0"/>
          <w:sz w:val="18"/>
          <w:szCs w:val="18"/>
          <w:rtl/>
        </w:rPr>
        <w:t>.</w:t>
      </w:r>
    </w:p>
    <w:p w14:paraId="0B6459EB" w14:textId="77777777" w:rsidR="00B366AD" w:rsidRDefault="00B366AD" w:rsidP="00856AB5">
      <w:pPr>
        <w:pStyle w:val="BodyText"/>
        <w:jc w:val="both"/>
        <w:rPr>
          <w:b w:val="0"/>
          <w:bCs w:val="0"/>
          <w:color w:val="FF0000"/>
          <w:sz w:val="22"/>
          <w:szCs w:val="22"/>
        </w:rPr>
      </w:pPr>
    </w:p>
    <w:p w14:paraId="23DA4A30" w14:textId="27EBDA51" w:rsidR="0008497B" w:rsidRPr="005D41E3" w:rsidRDefault="00883AC6" w:rsidP="00856AB5">
      <w:pPr>
        <w:pStyle w:val="BodyText"/>
        <w:jc w:val="both"/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</w:pP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ارتفع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عدد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628C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الأنشطة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962E0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الثقافية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4155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المنعقدة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4155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4155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المراكز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4155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الثقافية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الضفة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الغربية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44155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خلال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</w:t>
      </w:r>
      <w:r w:rsidR="0044155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عام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2024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بشكل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طفيف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بالمقارنة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مع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العام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السابق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،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حيث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بلغ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العدد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</w:rPr>
        <w:t>5,788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خلال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عام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2024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بالمقارنة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مع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ascii="Simplified Arabic" w:hAnsi="Simplified Arabic"/>
          <w:b w:val="0"/>
          <w:bCs w:val="0"/>
          <w:sz w:val="26"/>
          <w:szCs w:val="26"/>
        </w:rPr>
        <w:t>5,477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 xml:space="preserve"> 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>خلال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 xml:space="preserve"> </w:t>
      </w:r>
      <w:r w:rsidR="00EB46DD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>ال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>عام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 xml:space="preserve"> </w:t>
      </w:r>
      <w:r w:rsidR="00D1203E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>2023</w:t>
      </w:r>
      <w:r w:rsidR="00EB46DD" w:rsidRPr="005D41E3">
        <w:rPr>
          <w:rFonts w:ascii="Simplified Arabic" w:hAnsi="Simplified Arabic"/>
          <w:b w:val="0"/>
          <w:bCs w:val="0"/>
          <w:sz w:val="26"/>
          <w:szCs w:val="26"/>
          <w:rtl/>
          <w:lang w:bidi="ar-JO"/>
        </w:rPr>
        <w:t>.</w:t>
      </w:r>
    </w:p>
    <w:p w14:paraId="085CE7A9" w14:textId="77777777" w:rsidR="00255672" w:rsidRPr="008D0352" w:rsidRDefault="00255672" w:rsidP="00255672">
      <w:pPr>
        <w:pStyle w:val="BodyText"/>
        <w:jc w:val="both"/>
        <w:rPr>
          <w:b w:val="0"/>
          <w:bCs w:val="0"/>
          <w:color w:val="FF0000"/>
          <w:sz w:val="12"/>
          <w:szCs w:val="12"/>
          <w:rtl/>
        </w:rPr>
      </w:pPr>
    </w:p>
    <w:p w14:paraId="6F2FF829" w14:textId="1E2319FD" w:rsidR="00804874" w:rsidRPr="005D41E3" w:rsidRDefault="007A2405" w:rsidP="00061CA6">
      <w:pPr>
        <w:pStyle w:val="BodyText"/>
        <w:jc w:val="both"/>
        <w:rPr>
          <w:rFonts w:ascii="Simplified Arabic" w:hAnsi="Simplified Arabic"/>
          <w:b w:val="0"/>
          <w:bCs w:val="0"/>
          <w:sz w:val="26"/>
          <w:szCs w:val="26"/>
          <w:rtl/>
        </w:rPr>
      </w:pPr>
      <w:r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و</w:t>
      </w:r>
      <w:r w:rsidR="00847D8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لا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47D89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تزال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EB3D9D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الدورات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تحتل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المرتبة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الأولى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بين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الأنشطة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الثقافية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المنعقدة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B42812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المراكز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الثقافية،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بواقع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حوالي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061CA6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72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%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من</w:t>
      </w:r>
      <w:r w:rsidR="00055EFB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الأنشطة</w:t>
      </w:r>
      <w:r w:rsidR="00856AB5" w:rsidRPr="005D41E3">
        <w:rPr>
          <w:rFonts w:ascii="Simplified Arabic" w:hAnsi="Simplified Arabic"/>
          <w:b w:val="0"/>
          <w:bCs w:val="0"/>
          <w:sz w:val="26"/>
          <w:szCs w:val="26"/>
          <w:rtl/>
        </w:rPr>
        <w:t>.</w:t>
      </w:r>
    </w:p>
    <w:p w14:paraId="1E503ED3" w14:textId="77777777" w:rsidR="00856AB5" w:rsidRPr="00856AB5" w:rsidRDefault="00856AB5" w:rsidP="00856AB5">
      <w:pPr>
        <w:pStyle w:val="BodyText"/>
        <w:jc w:val="both"/>
        <w:rPr>
          <w:b w:val="0"/>
          <w:bCs w:val="0"/>
          <w:sz w:val="12"/>
          <w:szCs w:val="12"/>
          <w:rtl/>
        </w:rPr>
      </w:pPr>
    </w:p>
    <w:p w14:paraId="0786D6EF" w14:textId="156863D6" w:rsidR="00B42812" w:rsidRPr="005D41E3" w:rsidRDefault="00B42812" w:rsidP="00B42812">
      <w:pPr>
        <w:pStyle w:val="BodyText"/>
        <w:rPr>
          <w:sz w:val="26"/>
          <w:szCs w:val="26"/>
          <w:rtl/>
        </w:rPr>
      </w:pPr>
      <w:r w:rsidRPr="005D41E3">
        <w:rPr>
          <w:rFonts w:hint="cs"/>
          <w:sz w:val="26"/>
          <w:szCs w:val="26"/>
          <w:rtl/>
        </w:rPr>
        <w:t>التوزيع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النسبي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للأنشطة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الثقافية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المنعقدة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المراكز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الثقافية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العاملة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فلسطين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حسب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نوع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النشاط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لأعوام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مختارة</w:t>
      </w:r>
    </w:p>
    <w:tbl>
      <w:tblPr>
        <w:bidiVisual/>
        <w:tblW w:w="5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25"/>
        <w:gridCol w:w="725"/>
        <w:gridCol w:w="725"/>
        <w:gridCol w:w="725"/>
        <w:gridCol w:w="810"/>
      </w:tblGrid>
      <w:tr w:rsidR="009D2C2E" w:rsidRPr="005D41E3" w14:paraId="3D374858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5AF03DBA" w14:textId="5EEB07C3" w:rsidR="009D2C2E" w:rsidRPr="005D41E3" w:rsidRDefault="009D2C2E" w:rsidP="00B428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النشاط</w:t>
            </w:r>
          </w:p>
        </w:tc>
        <w:tc>
          <w:tcPr>
            <w:tcW w:w="725" w:type="dxa"/>
            <w:vAlign w:val="center"/>
          </w:tcPr>
          <w:p w14:paraId="4D7CFD88" w14:textId="77777777" w:rsidR="009D2C2E" w:rsidRPr="005D41E3" w:rsidRDefault="009D2C2E" w:rsidP="00A1196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2020</w:t>
            </w:r>
          </w:p>
        </w:tc>
        <w:tc>
          <w:tcPr>
            <w:tcW w:w="725" w:type="dxa"/>
            <w:vAlign w:val="center"/>
          </w:tcPr>
          <w:p w14:paraId="4F173900" w14:textId="77777777" w:rsidR="009D2C2E" w:rsidRPr="005D41E3" w:rsidRDefault="009D2C2E" w:rsidP="00226E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725" w:type="dxa"/>
            <w:vAlign w:val="center"/>
          </w:tcPr>
          <w:p w14:paraId="48F292BC" w14:textId="77777777" w:rsidR="009D2C2E" w:rsidRPr="005D41E3" w:rsidRDefault="009D2C2E" w:rsidP="00226E3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2022</w:t>
            </w:r>
          </w:p>
        </w:tc>
        <w:tc>
          <w:tcPr>
            <w:tcW w:w="725" w:type="dxa"/>
            <w:vAlign w:val="center"/>
          </w:tcPr>
          <w:p w14:paraId="1CF4190E" w14:textId="77777777" w:rsidR="009D2C2E" w:rsidRPr="005D41E3" w:rsidRDefault="009D2C2E" w:rsidP="009D2C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2023</w:t>
            </w:r>
            <w:r w:rsidR="005C3EE1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810" w:type="dxa"/>
            <w:vAlign w:val="center"/>
          </w:tcPr>
          <w:p w14:paraId="5B71F0FF" w14:textId="77777777" w:rsidR="009D2C2E" w:rsidRPr="005D41E3" w:rsidRDefault="009D2C2E" w:rsidP="009D2C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2024</w:t>
            </w:r>
            <w:r w:rsidR="005C3EE1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**</w:t>
            </w:r>
          </w:p>
        </w:tc>
      </w:tr>
      <w:tr w:rsidR="009D2C2E" w:rsidRPr="005D41E3" w14:paraId="7CCC0A56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0CDF2C6B" w14:textId="77777777" w:rsidR="009D2C2E" w:rsidRPr="005D41E3" w:rsidRDefault="009D2C2E" w:rsidP="0034412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دورات</w:t>
            </w:r>
          </w:p>
        </w:tc>
        <w:tc>
          <w:tcPr>
            <w:tcW w:w="725" w:type="dxa"/>
            <w:vAlign w:val="center"/>
          </w:tcPr>
          <w:p w14:paraId="68B7AD2E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62.8</w:t>
            </w:r>
          </w:p>
        </w:tc>
        <w:tc>
          <w:tcPr>
            <w:tcW w:w="725" w:type="dxa"/>
            <w:vAlign w:val="center"/>
          </w:tcPr>
          <w:p w14:paraId="697BB345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62.7</w:t>
            </w:r>
          </w:p>
        </w:tc>
        <w:tc>
          <w:tcPr>
            <w:tcW w:w="725" w:type="dxa"/>
            <w:vAlign w:val="center"/>
          </w:tcPr>
          <w:p w14:paraId="49995E0B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65.5</w:t>
            </w:r>
          </w:p>
        </w:tc>
        <w:tc>
          <w:tcPr>
            <w:tcW w:w="725" w:type="dxa"/>
            <w:vAlign w:val="center"/>
          </w:tcPr>
          <w:p w14:paraId="1BB9AF21" w14:textId="77777777" w:rsidR="009D2C2E" w:rsidRPr="005D41E3" w:rsidRDefault="005834DB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62.9</w:t>
            </w:r>
          </w:p>
        </w:tc>
        <w:tc>
          <w:tcPr>
            <w:tcW w:w="810" w:type="dxa"/>
            <w:vAlign w:val="center"/>
          </w:tcPr>
          <w:p w14:paraId="3D804461" w14:textId="77777777" w:rsidR="009D2C2E" w:rsidRPr="005D41E3" w:rsidRDefault="00810A7B" w:rsidP="00A0059A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72.</w:t>
            </w:r>
            <w:r w:rsidR="00A0059A" w:rsidRPr="005D41E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9D2C2E" w:rsidRPr="005D41E3" w14:paraId="65AAD302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3AB581EC" w14:textId="7CDA41DA" w:rsidR="009D2C2E" w:rsidRPr="005D41E3" w:rsidRDefault="009D2C2E" w:rsidP="00A95C48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عروض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فنية</w:t>
            </w:r>
          </w:p>
        </w:tc>
        <w:tc>
          <w:tcPr>
            <w:tcW w:w="725" w:type="dxa"/>
            <w:vAlign w:val="center"/>
          </w:tcPr>
          <w:p w14:paraId="60461E2A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11.1</w:t>
            </w:r>
          </w:p>
        </w:tc>
        <w:tc>
          <w:tcPr>
            <w:tcW w:w="725" w:type="dxa"/>
            <w:vAlign w:val="center"/>
          </w:tcPr>
          <w:p w14:paraId="7D000C84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7.9</w:t>
            </w:r>
          </w:p>
        </w:tc>
        <w:tc>
          <w:tcPr>
            <w:tcW w:w="725" w:type="dxa"/>
            <w:vAlign w:val="center"/>
          </w:tcPr>
          <w:p w14:paraId="05ED2D4D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9.2</w:t>
            </w:r>
          </w:p>
        </w:tc>
        <w:tc>
          <w:tcPr>
            <w:tcW w:w="725" w:type="dxa"/>
            <w:vAlign w:val="center"/>
          </w:tcPr>
          <w:p w14:paraId="76EF947F" w14:textId="77777777" w:rsidR="009D2C2E" w:rsidRPr="005D41E3" w:rsidRDefault="005834DB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8.6</w:t>
            </w:r>
          </w:p>
        </w:tc>
        <w:tc>
          <w:tcPr>
            <w:tcW w:w="810" w:type="dxa"/>
            <w:vAlign w:val="center"/>
          </w:tcPr>
          <w:p w14:paraId="6020CECF" w14:textId="77777777" w:rsidR="009D2C2E" w:rsidRPr="005D41E3" w:rsidRDefault="00810A7B" w:rsidP="00810A7B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3.0</w:t>
            </w:r>
          </w:p>
        </w:tc>
      </w:tr>
      <w:tr w:rsidR="009D2C2E" w:rsidRPr="005D41E3" w14:paraId="464D4E78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656DDE93" w14:textId="77777777" w:rsidR="009D2C2E" w:rsidRPr="005D41E3" w:rsidRDefault="009D2C2E" w:rsidP="00A95C48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محاضرات</w:t>
            </w:r>
          </w:p>
        </w:tc>
        <w:tc>
          <w:tcPr>
            <w:tcW w:w="725" w:type="dxa"/>
            <w:vAlign w:val="center"/>
          </w:tcPr>
          <w:p w14:paraId="430087FE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14.5</w:t>
            </w:r>
          </w:p>
        </w:tc>
        <w:tc>
          <w:tcPr>
            <w:tcW w:w="725" w:type="dxa"/>
            <w:vAlign w:val="center"/>
          </w:tcPr>
          <w:p w14:paraId="066DE5E8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17.5</w:t>
            </w:r>
          </w:p>
        </w:tc>
        <w:tc>
          <w:tcPr>
            <w:tcW w:w="725" w:type="dxa"/>
            <w:vAlign w:val="center"/>
          </w:tcPr>
          <w:p w14:paraId="4119A576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13.8</w:t>
            </w:r>
          </w:p>
        </w:tc>
        <w:tc>
          <w:tcPr>
            <w:tcW w:w="725" w:type="dxa"/>
            <w:vAlign w:val="center"/>
          </w:tcPr>
          <w:p w14:paraId="0FED71D8" w14:textId="77777777" w:rsidR="009D2C2E" w:rsidRPr="005D41E3" w:rsidRDefault="005834DB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11.1</w:t>
            </w:r>
          </w:p>
        </w:tc>
        <w:tc>
          <w:tcPr>
            <w:tcW w:w="810" w:type="dxa"/>
            <w:vAlign w:val="center"/>
          </w:tcPr>
          <w:p w14:paraId="23351402" w14:textId="77777777" w:rsidR="009D2C2E" w:rsidRPr="005D41E3" w:rsidRDefault="00810A7B" w:rsidP="00810A7B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12.0</w:t>
            </w:r>
          </w:p>
        </w:tc>
      </w:tr>
      <w:tr w:rsidR="009D2C2E" w:rsidRPr="005D41E3" w14:paraId="0149163C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1EC81ED9" w14:textId="77777777" w:rsidR="009D2C2E" w:rsidRPr="005D41E3" w:rsidRDefault="009D2C2E" w:rsidP="00A95C4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ندوات</w:t>
            </w:r>
          </w:p>
        </w:tc>
        <w:tc>
          <w:tcPr>
            <w:tcW w:w="725" w:type="dxa"/>
            <w:vAlign w:val="center"/>
          </w:tcPr>
          <w:p w14:paraId="7E5428B8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10.2</w:t>
            </w:r>
          </w:p>
        </w:tc>
        <w:tc>
          <w:tcPr>
            <w:tcW w:w="725" w:type="dxa"/>
            <w:vAlign w:val="center"/>
          </w:tcPr>
          <w:p w14:paraId="7DAB1C64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10.2</w:t>
            </w:r>
          </w:p>
        </w:tc>
        <w:tc>
          <w:tcPr>
            <w:tcW w:w="725" w:type="dxa"/>
            <w:vAlign w:val="center"/>
          </w:tcPr>
          <w:p w14:paraId="286D2AC8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9.3</w:t>
            </w:r>
          </w:p>
        </w:tc>
        <w:tc>
          <w:tcPr>
            <w:tcW w:w="725" w:type="dxa"/>
            <w:vAlign w:val="center"/>
          </w:tcPr>
          <w:p w14:paraId="7F0EF745" w14:textId="77777777" w:rsidR="009D2C2E" w:rsidRPr="005D41E3" w:rsidRDefault="005834DB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15.4</w:t>
            </w:r>
          </w:p>
        </w:tc>
        <w:tc>
          <w:tcPr>
            <w:tcW w:w="810" w:type="dxa"/>
            <w:vAlign w:val="center"/>
          </w:tcPr>
          <w:p w14:paraId="7C31103E" w14:textId="77777777" w:rsidR="009D2C2E" w:rsidRPr="005D41E3" w:rsidRDefault="00810A7B" w:rsidP="00810A7B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10.6</w:t>
            </w:r>
          </w:p>
        </w:tc>
      </w:tr>
      <w:tr w:rsidR="009D2C2E" w:rsidRPr="005D41E3" w14:paraId="0B588C43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6BE6AB13" w14:textId="77777777" w:rsidR="009D2C2E" w:rsidRPr="005D41E3" w:rsidRDefault="009D2C2E" w:rsidP="00A95C48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معارض</w:t>
            </w:r>
          </w:p>
        </w:tc>
        <w:tc>
          <w:tcPr>
            <w:tcW w:w="725" w:type="dxa"/>
            <w:vAlign w:val="center"/>
          </w:tcPr>
          <w:p w14:paraId="0B3DE959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1.4</w:t>
            </w:r>
          </w:p>
        </w:tc>
        <w:tc>
          <w:tcPr>
            <w:tcW w:w="725" w:type="dxa"/>
            <w:vAlign w:val="center"/>
          </w:tcPr>
          <w:p w14:paraId="612DBA7F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1.7</w:t>
            </w:r>
          </w:p>
        </w:tc>
        <w:tc>
          <w:tcPr>
            <w:tcW w:w="725" w:type="dxa"/>
            <w:vAlign w:val="center"/>
          </w:tcPr>
          <w:p w14:paraId="325878B3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2.2</w:t>
            </w:r>
          </w:p>
        </w:tc>
        <w:tc>
          <w:tcPr>
            <w:tcW w:w="725" w:type="dxa"/>
            <w:vAlign w:val="center"/>
          </w:tcPr>
          <w:p w14:paraId="071B2759" w14:textId="77777777" w:rsidR="009D2C2E" w:rsidRPr="005D41E3" w:rsidRDefault="005834DB" w:rsidP="0069062E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2.0</w:t>
            </w:r>
          </w:p>
        </w:tc>
        <w:tc>
          <w:tcPr>
            <w:tcW w:w="810" w:type="dxa"/>
            <w:vAlign w:val="center"/>
          </w:tcPr>
          <w:p w14:paraId="37C13D47" w14:textId="77777777" w:rsidR="009D2C2E" w:rsidRPr="005D41E3" w:rsidRDefault="00810A7B" w:rsidP="00810A7B">
            <w:pPr>
              <w:bidi/>
              <w:ind w:left="148" w:hanging="114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2.0</w:t>
            </w:r>
          </w:p>
        </w:tc>
      </w:tr>
      <w:tr w:rsidR="009D2C2E" w:rsidRPr="005D41E3" w14:paraId="311411C4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5F09940B" w14:textId="6A6F42CD" w:rsidR="009D2C2E" w:rsidRPr="005D41E3" w:rsidRDefault="009D2C2E" w:rsidP="003441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(نسبة)</w:t>
            </w:r>
          </w:p>
        </w:tc>
        <w:tc>
          <w:tcPr>
            <w:tcW w:w="725" w:type="dxa"/>
            <w:vAlign w:val="center"/>
          </w:tcPr>
          <w:p w14:paraId="0D81628F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25" w:type="dxa"/>
            <w:vAlign w:val="center"/>
          </w:tcPr>
          <w:p w14:paraId="37AEC564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25" w:type="dxa"/>
            <w:vAlign w:val="center"/>
          </w:tcPr>
          <w:p w14:paraId="46D76512" w14:textId="77777777" w:rsidR="009D2C2E" w:rsidRPr="005D41E3" w:rsidRDefault="009D2C2E" w:rsidP="0069062E">
            <w:pPr>
              <w:bidi/>
              <w:ind w:left="148" w:hanging="11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725" w:type="dxa"/>
            <w:vAlign w:val="center"/>
          </w:tcPr>
          <w:p w14:paraId="504D31EA" w14:textId="77777777" w:rsidR="009D2C2E" w:rsidRPr="005D41E3" w:rsidRDefault="005834DB" w:rsidP="0069062E">
            <w:pPr>
              <w:bidi/>
              <w:ind w:left="148" w:hanging="11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810" w:type="dxa"/>
            <w:vAlign w:val="center"/>
          </w:tcPr>
          <w:p w14:paraId="3C80B7B3" w14:textId="77777777" w:rsidR="009D2C2E" w:rsidRPr="005D41E3" w:rsidRDefault="00642B2D" w:rsidP="00810A7B">
            <w:pPr>
              <w:bidi/>
              <w:ind w:left="148" w:hanging="11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tr w:rsidR="009D2C2E" w:rsidRPr="005D41E3" w14:paraId="1A47289A" w14:textId="77777777" w:rsidTr="005D41E3">
        <w:trPr>
          <w:trHeight w:hRule="exact" w:val="284"/>
          <w:jc w:val="center"/>
        </w:trPr>
        <w:tc>
          <w:tcPr>
            <w:tcW w:w="1683" w:type="dxa"/>
            <w:vAlign w:val="center"/>
          </w:tcPr>
          <w:p w14:paraId="69FA4778" w14:textId="65A7BF7B" w:rsidR="009D2C2E" w:rsidRPr="005D41E3" w:rsidRDefault="009D2C2E" w:rsidP="0034412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  <w:r w:rsidR="00055EFB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(عدد)</w:t>
            </w:r>
          </w:p>
        </w:tc>
        <w:tc>
          <w:tcPr>
            <w:tcW w:w="725" w:type="dxa"/>
            <w:vAlign w:val="center"/>
          </w:tcPr>
          <w:p w14:paraId="4194BA6F" w14:textId="77777777" w:rsidR="009D2C2E" w:rsidRPr="005D41E3" w:rsidRDefault="009D2C2E" w:rsidP="009C6A62">
            <w:pPr>
              <w:bidi/>
              <w:ind w:left="148" w:hanging="1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4,738</w:t>
            </w:r>
          </w:p>
        </w:tc>
        <w:tc>
          <w:tcPr>
            <w:tcW w:w="725" w:type="dxa"/>
            <w:vAlign w:val="center"/>
          </w:tcPr>
          <w:p w14:paraId="01C10720" w14:textId="77777777" w:rsidR="009D2C2E" w:rsidRPr="005D41E3" w:rsidRDefault="009D2C2E" w:rsidP="009C6A62">
            <w:pPr>
              <w:bidi/>
              <w:ind w:left="148" w:hanging="11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7,291</w:t>
            </w:r>
          </w:p>
        </w:tc>
        <w:tc>
          <w:tcPr>
            <w:tcW w:w="725" w:type="dxa"/>
            <w:vAlign w:val="center"/>
          </w:tcPr>
          <w:p w14:paraId="653AFF16" w14:textId="77777777" w:rsidR="009D2C2E" w:rsidRPr="005D41E3" w:rsidRDefault="009D2C2E" w:rsidP="00226E31">
            <w:pPr>
              <w:bidi/>
              <w:ind w:left="148" w:hanging="11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7,601</w:t>
            </w:r>
          </w:p>
        </w:tc>
        <w:tc>
          <w:tcPr>
            <w:tcW w:w="725" w:type="dxa"/>
            <w:vAlign w:val="center"/>
          </w:tcPr>
          <w:p w14:paraId="2358CC22" w14:textId="77777777" w:rsidR="009D2C2E" w:rsidRPr="005D41E3" w:rsidRDefault="005834DB" w:rsidP="005834DB">
            <w:pPr>
              <w:bidi/>
              <w:ind w:left="148" w:hanging="11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6,513</w:t>
            </w:r>
          </w:p>
        </w:tc>
        <w:tc>
          <w:tcPr>
            <w:tcW w:w="810" w:type="dxa"/>
            <w:vAlign w:val="center"/>
          </w:tcPr>
          <w:p w14:paraId="209BF65E" w14:textId="77777777" w:rsidR="009D2C2E" w:rsidRPr="005D41E3" w:rsidRDefault="00642B2D" w:rsidP="00810A7B">
            <w:pPr>
              <w:bidi/>
              <w:ind w:left="148" w:hanging="11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5,788</w:t>
            </w:r>
          </w:p>
        </w:tc>
      </w:tr>
    </w:tbl>
    <w:p w14:paraId="36ED551E" w14:textId="43A8BA1B" w:rsidR="0050005D" w:rsidRDefault="005C3EE1" w:rsidP="005C3EE1">
      <w:pPr>
        <w:pStyle w:val="BodyText"/>
        <w:jc w:val="both"/>
        <w:rPr>
          <w:b w:val="0"/>
          <w:bCs w:val="0"/>
          <w:sz w:val="18"/>
          <w:szCs w:val="18"/>
          <w:rtl/>
        </w:rPr>
      </w:pPr>
      <w:r w:rsidRPr="005C3EE1">
        <w:rPr>
          <w:rFonts w:hint="cs"/>
          <w:b w:val="0"/>
          <w:bCs w:val="0"/>
          <w:sz w:val="18"/>
          <w:szCs w:val="18"/>
          <w:rtl/>
        </w:rPr>
        <w:t>*: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البيانات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تشمل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الأنشطة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المنعقدة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في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المراكز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الثقافية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في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قطاع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غزة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للنصف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الأول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من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5C3EE1">
        <w:rPr>
          <w:rFonts w:hint="cs"/>
          <w:b w:val="0"/>
          <w:bCs w:val="0"/>
          <w:sz w:val="18"/>
          <w:szCs w:val="18"/>
          <w:rtl/>
        </w:rPr>
        <w:t>العام</w:t>
      </w:r>
      <w:r w:rsidR="00EB46DD">
        <w:rPr>
          <w:rFonts w:hint="cs"/>
          <w:b w:val="0"/>
          <w:bCs w:val="0"/>
          <w:sz w:val="18"/>
          <w:szCs w:val="18"/>
          <w:rtl/>
        </w:rPr>
        <w:t>.</w:t>
      </w:r>
    </w:p>
    <w:p w14:paraId="49E72A14" w14:textId="7323546A" w:rsidR="005C3EE1" w:rsidRDefault="005C3EE1" w:rsidP="005C3EE1">
      <w:pPr>
        <w:pStyle w:val="BodyText"/>
        <w:jc w:val="both"/>
        <w:rPr>
          <w:b w:val="0"/>
          <w:bCs w:val="0"/>
          <w:sz w:val="18"/>
          <w:szCs w:val="18"/>
          <w:rtl/>
        </w:rPr>
      </w:pPr>
      <w:r>
        <w:rPr>
          <w:rFonts w:hint="cs"/>
          <w:b w:val="0"/>
          <w:bCs w:val="0"/>
          <w:sz w:val="18"/>
          <w:szCs w:val="18"/>
          <w:rtl/>
        </w:rPr>
        <w:t>**: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البيانات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="00EB46DD">
        <w:rPr>
          <w:rFonts w:hint="cs"/>
          <w:b w:val="0"/>
          <w:bCs w:val="0"/>
          <w:sz w:val="18"/>
          <w:szCs w:val="18"/>
          <w:rtl/>
        </w:rPr>
        <w:t>تشمل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المراكز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الثقافية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في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الضفة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الغربية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فقط</w:t>
      </w:r>
      <w:r w:rsidR="00EB46DD">
        <w:rPr>
          <w:rFonts w:hint="cs"/>
          <w:b w:val="0"/>
          <w:bCs w:val="0"/>
          <w:sz w:val="18"/>
          <w:szCs w:val="18"/>
          <w:rtl/>
        </w:rPr>
        <w:t>.</w:t>
      </w:r>
    </w:p>
    <w:p w14:paraId="4446145C" w14:textId="77777777" w:rsidR="00EC553B" w:rsidRPr="005D41E3" w:rsidRDefault="00EC553B" w:rsidP="009F340C">
      <w:pPr>
        <w:pStyle w:val="BodyText"/>
        <w:jc w:val="both"/>
        <w:rPr>
          <w:sz w:val="16"/>
          <w:szCs w:val="16"/>
          <w:rtl/>
        </w:rPr>
      </w:pPr>
    </w:p>
    <w:p w14:paraId="4F87F81E" w14:textId="053DA6AC" w:rsidR="000E61C9" w:rsidRPr="005D41E3" w:rsidRDefault="00384D3A" w:rsidP="00667A1B">
      <w:pPr>
        <w:pStyle w:val="BodyText"/>
        <w:jc w:val="both"/>
        <w:rPr>
          <w:sz w:val="28"/>
          <w:szCs w:val="28"/>
          <w:rtl/>
        </w:rPr>
      </w:pPr>
      <w:r w:rsidRPr="005D41E3">
        <w:rPr>
          <w:sz w:val="28"/>
          <w:szCs w:val="28"/>
        </w:rPr>
        <w:t>97</w:t>
      </w:r>
      <w:r w:rsidRPr="005D41E3">
        <w:rPr>
          <w:rFonts w:hint="cs"/>
          <w:sz w:val="28"/>
          <w:szCs w:val="28"/>
          <w:rtl/>
          <w:lang w:bidi="ar-JO"/>
        </w:rPr>
        <w:t>%</w:t>
      </w:r>
      <w:r w:rsidR="00055EFB" w:rsidRPr="005D41E3">
        <w:rPr>
          <w:rFonts w:hint="cs"/>
          <w:sz w:val="28"/>
          <w:szCs w:val="28"/>
          <w:rtl/>
          <w:lang w:bidi="ar-JO"/>
        </w:rPr>
        <w:t xml:space="preserve"> </w:t>
      </w:r>
      <w:r w:rsidRPr="005D41E3">
        <w:rPr>
          <w:rFonts w:hint="cs"/>
          <w:sz w:val="28"/>
          <w:szCs w:val="28"/>
          <w:rtl/>
          <w:lang w:bidi="ar-JO"/>
        </w:rPr>
        <w:t>من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8E5313" w:rsidRPr="005D41E3">
        <w:rPr>
          <w:rFonts w:hint="cs"/>
          <w:sz w:val="28"/>
          <w:szCs w:val="28"/>
          <w:rtl/>
        </w:rPr>
        <w:t>المشاركين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8E5313" w:rsidRPr="005D41E3">
        <w:rPr>
          <w:rFonts w:hint="cs"/>
          <w:sz w:val="28"/>
          <w:szCs w:val="28"/>
          <w:rtl/>
        </w:rPr>
        <w:t>في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8E5313" w:rsidRPr="005D41E3">
        <w:rPr>
          <w:rFonts w:hint="cs"/>
          <w:sz w:val="28"/>
          <w:szCs w:val="28"/>
          <w:rtl/>
        </w:rPr>
        <w:t>الأنشطة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8E5313" w:rsidRPr="005D41E3">
        <w:rPr>
          <w:rFonts w:hint="cs"/>
          <w:sz w:val="28"/>
          <w:szCs w:val="28"/>
          <w:rtl/>
        </w:rPr>
        <w:t>الثقافية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0E61C9" w:rsidRPr="005D41E3">
        <w:rPr>
          <w:rFonts w:hint="cs"/>
          <w:sz w:val="28"/>
          <w:szCs w:val="28"/>
          <w:rtl/>
        </w:rPr>
        <w:t>التي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0E61C9" w:rsidRPr="005D41E3">
        <w:rPr>
          <w:rFonts w:hint="cs"/>
          <w:sz w:val="28"/>
          <w:szCs w:val="28"/>
          <w:rtl/>
        </w:rPr>
        <w:t>نفذتها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0E61C9" w:rsidRPr="005D41E3">
        <w:rPr>
          <w:rFonts w:hint="cs"/>
          <w:sz w:val="28"/>
          <w:szCs w:val="28"/>
          <w:rtl/>
        </w:rPr>
        <w:t>المراكز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0E61C9" w:rsidRPr="005D41E3">
        <w:rPr>
          <w:rFonts w:hint="cs"/>
          <w:sz w:val="28"/>
          <w:szCs w:val="28"/>
          <w:rtl/>
        </w:rPr>
        <w:t>الثقافية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0E61C9" w:rsidRPr="005D41E3">
        <w:rPr>
          <w:rFonts w:hint="cs"/>
          <w:sz w:val="28"/>
          <w:szCs w:val="28"/>
          <w:rtl/>
        </w:rPr>
        <w:t>في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667A1B" w:rsidRPr="005D41E3">
        <w:rPr>
          <w:rFonts w:hint="cs"/>
          <w:sz w:val="28"/>
          <w:szCs w:val="28"/>
          <w:rtl/>
        </w:rPr>
        <w:t>الضفة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667A1B" w:rsidRPr="005D41E3">
        <w:rPr>
          <w:rFonts w:hint="cs"/>
          <w:sz w:val="28"/>
          <w:szCs w:val="28"/>
          <w:rtl/>
        </w:rPr>
        <w:t>الغربية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8E5313" w:rsidRPr="005D41E3">
        <w:rPr>
          <w:rFonts w:hint="cs"/>
          <w:sz w:val="28"/>
          <w:szCs w:val="28"/>
          <w:rtl/>
        </w:rPr>
        <w:t>شاركوا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8E5313" w:rsidRPr="005D41E3">
        <w:rPr>
          <w:rFonts w:hint="cs"/>
          <w:sz w:val="28"/>
          <w:szCs w:val="28"/>
          <w:rtl/>
        </w:rPr>
        <w:t>بشكل</w:t>
      </w:r>
      <w:r w:rsidR="00055EFB" w:rsidRPr="005D41E3">
        <w:rPr>
          <w:rFonts w:hint="cs"/>
          <w:sz w:val="28"/>
          <w:szCs w:val="28"/>
          <w:rtl/>
        </w:rPr>
        <w:t xml:space="preserve"> </w:t>
      </w:r>
      <w:r w:rsidR="008E5313" w:rsidRPr="005D41E3">
        <w:rPr>
          <w:rFonts w:hint="cs"/>
          <w:sz w:val="28"/>
          <w:szCs w:val="28"/>
          <w:rtl/>
        </w:rPr>
        <w:t>وجاهي</w:t>
      </w:r>
    </w:p>
    <w:p w14:paraId="2E4689EA" w14:textId="6F0AF390" w:rsidR="00F525BF" w:rsidRPr="005D41E3" w:rsidRDefault="00255672" w:rsidP="00EC553B">
      <w:pPr>
        <w:pStyle w:val="BodyText"/>
        <w:jc w:val="lowKashida"/>
        <w:rPr>
          <w:b w:val="0"/>
          <w:bCs w:val="0"/>
          <w:sz w:val="26"/>
          <w:szCs w:val="26"/>
          <w:rtl/>
        </w:rPr>
      </w:pPr>
      <w:r w:rsidRPr="005D41E3">
        <w:rPr>
          <w:rFonts w:hint="cs"/>
          <w:b w:val="0"/>
          <w:bCs w:val="0"/>
          <w:sz w:val="26"/>
          <w:szCs w:val="26"/>
          <w:rtl/>
        </w:rPr>
        <w:t>بلغ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5D41E3">
        <w:rPr>
          <w:rFonts w:hint="cs"/>
          <w:b w:val="0"/>
          <w:bCs w:val="0"/>
          <w:sz w:val="26"/>
          <w:szCs w:val="26"/>
          <w:rtl/>
        </w:rPr>
        <w:t>عدد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المشاركين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الأنشطة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الثقافية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143516" w:rsidRPr="005D41E3">
        <w:rPr>
          <w:rFonts w:hint="cs"/>
          <w:b w:val="0"/>
          <w:bCs w:val="0"/>
          <w:sz w:val="26"/>
          <w:szCs w:val="26"/>
          <w:rtl/>
        </w:rPr>
        <w:t>التي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143516" w:rsidRPr="005D41E3">
        <w:rPr>
          <w:rFonts w:hint="cs"/>
          <w:b w:val="0"/>
          <w:bCs w:val="0"/>
          <w:sz w:val="26"/>
          <w:szCs w:val="26"/>
          <w:rtl/>
        </w:rPr>
        <w:t>نفذتها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143516" w:rsidRPr="005D41E3">
        <w:rPr>
          <w:rFonts w:hint="cs"/>
          <w:b w:val="0"/>
          <w:bCs w:val="0"/>
          <w:sz w:val="26"/>
          <w:szCs w:val="26"/>
          <w:rtl/>
        </w:rPr>
        <w:t>المراكز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143516" w:rsidRPr="005D41E3">
        <w:rPr>
          <w:rFonts w:hint="cs"/>
          <w:b w:val="0"/>
          <w:bCs w:val="0"/>
          <w:sz w:val="26"/>
          <w:szCs w:val="26"/>
          <w:rtl/>
        </w:rPr>
        <w:t>الثقافية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C553B" w:rsidRPr="005D41E3">
        <w:rPr>
          <w:rFonts w:hint="cs"/>
          <w:b w:val="0"/>
          <w:bCs w:val="0"/>
          <w:sz w:val="26"/>
          <w:szCs w:val="26"/>
          <w:rtl/>
        </w:rPr>
        <w:t>العاملة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C553B" w:rsidRPr="005D41E3">
        <w:rPr>
          <w:rFonts w:hint="cs"/>
          <w:b w:val="0"/>
          <w:bCs w:val="0"/>
          <w:sz w:val="26"/>
          <w:szCs w:val="26"/>
          <w:rtl/>
        </w:rPr>
        <w:t>في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C553B" w:rsidRPr="005D41E3">
        <w:rPr>
          <w:rFonts w:hint="cs"/>
          <w:b w:val="0"/>
          <w:bCs w:val="0"/>
          <w:sz w:val="26"/>
          <w:szCs w:val="26"/>
          <w:rtl/>
        </w:rPr>
        <w:t>الضفة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C553B" w:rsidRPr="005D41E3">
        <w:rPr>
          <w:rFonts w:hint="cs"/>
          <w:b w:val="0"/>
          <w:bCs w:val="0"/>
          <w:sz w:val="26"/>
          <w:szCs w:val="26"/>
          <w:rtl/>
        </w:rPr>
        <w:t>الغربية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C553B" w:rsidRPr="005D41E3">
        <w:rPr>
          <w:rFonts w:hint="cs"/>
          <w:b w:val="0"/>
          <w:bCs w:val="0"/>
          <w:sz w:val="26"/>
          <w:szCs w:val="26"/>
          <w:rtl/>
        </w:rPr>
        <w:t>خلال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B46DD" w:rsidRPr="005D41E3">
        <w:rPr>
          <w:rFonts w:hint="cs"/>
          <w:b w:val="0"/>
          <w:bCs w:val="0"/>
          <w:sz w:val="26"/>
          <w:szCs w:val="26"/>
          <w:rtl/>
        </w:rPr>
        <w:t>ال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عام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C553B" w:rsidRPr="005D41E3">
        <w:rPr>
          <w:rFonts w:hint="cs"/>
          <w:b w:val="0"/>
          <w:bCs w:val="0"/>
          <w:sz w:val="26"/>
          <w:szCs w:val="26"/>
          <w:rtl/>
        </w:rPr>
        <w:t>2024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حوالي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384D3A" w:rsidRPr="005D41E3">
        <w:rPr>
          <w:rFonts w:hint="cs"/>
          <w:b w:val="0"/>
          <w:bCs w:val="0"/>
          <w:sz w:val="26"/>
          <w:szCs w:val="26"/>
          <w:rtl/>
        </w:rPr>
        <w:t>217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ألف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08497B" w:rsidRPr="005D41E3">
        <w:rPr>
          <w:rFonts w:hint="cs"/>
          <w:b w:val="0"/>
          <w:bCs w:val="0"/>
          <w:sz w:val="26"/>
          <w:szCs w:val="26"/>
          <w:rtl/>
        </w:rPr>
        <w:t>مشارك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7A2405" w:rsidRPr="005D41E3">
        <w:rPr>
          <w:rFonts w:hint="cs"/>
          <w:b w:val="0"/>
          <w:bCs w:val="0"/>
          <w:sz w:val="26"/>
          <w:szCs w:val="26"/>
          <w:rtl/>
        </w:rPr>
        <w:t>ومشاركة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86991" w:rsidRPr="005D41E3">
        <w:rPr>
          <w:rFonts w:hint="cs"/>
          <w:sz w:val="26"/>
          <w:szCs w:val="26"/>
          <w:rtl/>
        </w:rPr>
        <w:t>(</w:t>
      </w:r>
      <w:r w:rsidR="00786991" w:rsidRPr="005D41E3">
        <w:rPr>
          <w:rFonts w:hint="cs"/>
          <w:b w:val="0"/>
          <w:bCs w:val="0"/>
          <w:sz w:val="26"/>
          <w:szCs w:val="26"/>
          <w:rtl/>
        </w:rPr>
        <w:t>منهم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786991" w:rsidRPr="005D41E3">
        <w:rPr>
          <w:rFonts w:hint="cs"/>
          <w:b w:val="0"/>
          <w:bCs w:val="0"/>
          <w:sz w:val="26"/>
          <w:szCs w:val="26"/>
          <w:rtl/>
        </w:rPr>
        <w:t>حوالي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384D3A" w:rsidRPr="005D41E3">
        <w:rPr>
          <w:rFonts w:hint="cs"/>
          <w:b w:val="0"/>
          <w:bCs w:val="0"/>
          <w:sz w:val="26"/>
          <w:szCs w:val="26"/>
          <w:rtl/>
        </w:rPr>
        <w:t>211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786991" w:rsidRPr="005D41E3">
        <w:rPr>
          <w:rFonts w:hint="cs"/>
          <w:b w:val="0"/>
          <w:bCs w:val="0"/>
          <w:sz w:val="26"/>
          <w:szCs w:val="26"/>
          <w:rtl/>
        </w:rPr>
        <w:t>ألف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786991" w:rsidRPr="005D41E3">
        <w:rPr>
          <w:rFonts w:hint="cs"/>
          <w:b w:val="0"/>
          <w:bCs w:val="0"/>
          <w:sz w:val="26"/>
          <w:szCs w:val="26"/>
          <w:rtl/>
        </w:rPr>
        <w:t>شاركوا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EB46DD" w:rsidRPr="005D41E3">
        <w:rPr>
          <w:rFonts w:hint="cs"/>
          <w:b w:val="0"/>
          <w:bCs w:val="0"/>
          <w:sz w:val="26"/>
          <w:szCs w:val="26"/>
          <w:rtl/>
        </w:rPr>
        <w:t xml:space="preserve">في أنشطة </w:t>
      </w:r>
      <w:r w:rsidR="00786991" w:rsidRPr="005D41E3">
        <w:rPr>
          <w:rFonts w:hint="cs"/>
          <w:b w:val="0"/>
          <w:bCs w:val="0"/>
          <w:sz w:val="26"/>
          <w:szCs w:val="26"/>
          <w:rtl/>
        </w:rPr>
        <w:t>ثقافية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786991" w:rsidRPr="005D41E3">
        <w:rPr>
          <w:rFonts w:hint="cs"/>
          <w:b w:val="0"/>
          <w:bCs w:val="0"/>
          <w:sz w:val="26"/>
          <w:szCs w:val="26"/>
          <w:rtl/>
        </w:rPr>
        <w:t>عقدت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AF4476" w:rsidRPr="005D41E3">
        <w:rPr>
          <w:rFonts w:hint="cs"/>
          <w:b w:val="0"/>
          <w:bCs w:val="0"/>
          <w:sz w:val="26"/>
          <w:szCs w:val="26"/>
          <w:rtl/>
        </w:rPr>
        <w:t>وجاهياً</w:t>
      </w:r>
      <w:r w:rsidR="00055EFB" w:rsidRPr="005D41E3">
        <w:rPr>
          <w:b w:val="0"/>
          <w:bCs w:val="0"/>
          <w:sz w:val="26"/>
          <w:szCs w:val="26"/>
          <w:rtl/>
        </w:rPr>
        <w:t xml:space="preserve"> </w:t>
      </w:r>
      <w:r w:rsidR="00AF4476" w:rsidRPr="005D41E3">
        <w:rPr>
          <w:rFonts w:hint="cs"/>
          <w:b w:val="0"/>
          <w:bCs w:val="0"/>
          <w:sz w:val="26"/>
          <w:szCs w:val="26"/>
          <w:rtl/>
        </w:rPr>
        <w:t>(</w:t>
      </w:r>
      <w:r w:rsidR="008D40C7" w:rsidRPr="005D41E3">
        <w:rPr>
          <w:rFonts w:hint="cs"/>
          <w:b w:val="0"/>
          <w:bCs w:val="0"/>
          <w:sz w:val="26"/>
          <w:szCs w:val="26"/>
          <w:rtl/>
        </w:rPr>
        <w:t>حوالي</w:t>
      </w:r>
      <w:r w:rsidR="00055EFB" w:rsidRPr="005D41E3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384D3A" w:rsidRPr="005D41E3">
        <w:rPr>
          <w:rFonts w:hint="cs"/>
          <w:b w:val="0"/>
          <w:bCs w:val="0"/>
          <w:sz w:val="26"/>
          <w:szCs w:val="26"/>
          <w:rtl/>
        </w:rPr>
        <w:t>97</w:t>
      </w:r>
      <w:r w:rsidR="008D40C7" w:rsidRPr="005D41E3">
        <w:rPr>
          <w:rFonts w:hint="cs"/>
          <w:b w:val="0"/>
          <w:bCs w:val="0"/>
          <w:sz w:val="26"/>
          <w:szCs w:val="26"/>
          <w:rtl/>
        </w:rPr>
        <w:t>%)</w:t>
      </w:r>
      <w:r w:rsidR="00786991" w:rsidRPr="005D41E3">
        <w:rPr>
          <w:rFonts w:hint="cs"/>
          <w:b w:val="0"/>
          <w:bCs w:val="0"/>
          <w:sz w:val="26"/>
          <w:szCs w:val="26"/>
          <w:rtl/>
        </w:rPr>
        <w:t>)</w:t>
      </w:r>
      <w:r w:rsidR="00F525BF" w:rsidRPr="005D41E3">
        <w:rPr>
          <w:rFonts w:hint="cs"/>
          <w:b w:val="0"/>
          <w:bCs w:val="0"/>
          <w:sz w:val="26"/>
          <w:szCs w:val="26"/>
          <w:rtl/>
        </w:rPr>
        <w:t>.</w:t>
      </w:r>
    </w:p>
    <w:p w14:paraId="6325A8E0" w14:textId="4E765A67" w:rsidR="00F525BF" w:rsidRPr="00AF2B4D" w:rsidRDefault="00055EFB" w:rsidP="00A535B6">
      <w:pPr>
        <w:pStyle w:val="BodyText"/>
        <w:rPr>
          <w:color w:val="FF0000"/>
          <w:sz w:val="12"/>
          <w:szCs w:val="12"/>
          <w:rtl/>
        </w:rPr>
      </w:pPr>
      <w:r>
        <w:rPr>
          <w:color w:val="FF0000"/>
          <w:sz w:val="12"/>
          <w:szCs w:val="12"/>
          <w:rtl/>
        </w:rPr>
        <w:t xml:space="preserve"> </w:t>
      </w:r>
    </w:p>
    <w:p w14:paraId="4DE35803" w14:textId="77777777" w:rsidR="005D41E3" w:rsidRDefault="005D41E3" w:rsidP="00EC553B">
      <w:pPr>
        <w:pStyle w:val="BodyText"/>
        <w:rPr>
          <w:sz w:val="20"/>
          <w:szCs w:val="20"/>
          <w:rtl/>
        </w:rPr>
      </w:pPr>
    </w:p>
    <w:p w14:paraId="10F022B0" w14:textId="77777777" w:rsidR="005D41E3" w:rsidRDefault="005D41E3" w:rsidP="00EC553B">
      <w:pPr>
        <w:pStyle w:val="BodyText"/>
        <w:rPr>
          <w:sz w:val="20"/>
          <w:szCs w:val="20"/>
          <w:rtl/>
        </w:rPr>
      </w:pPr>
    </w:p>
    <w:p w14:paraId="37B71956" w14:textId="77777777" w:rsidR="005D41E3" w:rsidRDefault="005D41E3" w:rsidP="00EC553B">
      <w:pPr>
        <w:pStyle w:val="BodyText"/>
        <w:rPr>
          <w:sz w:val="20"/>
          <w:szCs w:val="20"/>
          <w:rtl/>
        </w:rPr>
      </w:pPr>
    </w:p>
    <w:p w14:paraId="592DBB9C" w14:textId="77777777" w:rsidR="005D41E3" w:rsidRDefault="005D41E3" w:rsidP="00EC553B">
      <w:pPr>
        <w:pStyle w:val="BodyText"/>
        <w:rPr>
          <w:sz w:val="20"/>
          <w:szCs w:val="20"/>
          <w:rtl/>
        </w:rPr>
      </w:pPr>
    </w:p>
    <w:p w14:paraId="58165E54" w14:textId="77777777" w:rsidR="005D41E3" w:rsidRDefault="005D41E3" w:rsidP="00EC553B">
      <w:pPr>
        <w:pStyle w:val="BodyText"/>
        <w:rPr>
          <w:sz w:val="26"/>
          <w:szCs w:val="26"/>
          <w:rtl/>
        </w:rPr>
      </w:pPr>
    </w:p>
    <w:p w14:paraId="36CC9588" w14:textId="6D0E4913" w:rsidR="006C7FBB" w:rsidRPr="005D41E3" w:rsidRDefault="006C7FBB" w:rsidP="00EC553B">
      <w:pPr>
        <w:pStyle w:val="BodyText"/>
        <w:rPr>
          <w:sz w:val="26"/>
          <w:szCs w:val="26"/>
          <w:rtl/>
        </w:rPr>
      </w:pPr>
      <w:r w:rsidRPr="005D41E3">
        <w:rPr>
          <w:sz w:val="26"/>
          <w:szCs w:val="26"/>
          <w:rtl/>
        </w:rPr>
        <w:t>توزيع</w:t>
      </w:r>
      <w:r w:rsidR="00055EFB" w:rsidRPr="005D41E3">
        <w:rPr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المشاركين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الأنشطة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الثقافية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المراكز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الثقافية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384D3A" w:rsidRPr="005D41E3">
        <w:rPr>
          <w:rFonts w:hint="cs"/>
          <w:sz w:val="26"/>
          <w:szCs w:val="26"/>
          <w:rtl/>
          <w:lang w:bidi="ar-JO"/>
        </w:rPr>
        <w:t>في</w:t>
      </w:r>
      <w:r w:rsidR="00055EFB" w:rsidRPr="005D41E3">
        <w:rPr>
          <w:rFonts w:hint="cs"/>
          <w:sz w:val="26"/>
          <w:szCs w:val="26"/>
          <w:rtl/>
          <w:lang w:bidi="ar-JO"/>
        </w:rPr>
        <w:t xml:space="preserve"> </w:t>
      </w:r>
      <w:r w:rsidR="00384D3A" w:rsidRPr="005D41E3">
        <w:rPr>
          <w:rFonts w:hint="cs"/>
          <w:sz w:val="26"/>
          <w:szCs w:val="26"/>
          <w:rtl/>
          <w:lang w:bidi="ar-JO"/>
        </w:rPr>
        <w:t>الضفة</w:t>
      </w:r>
      <w:r w:rsidR="00055EFB" w:rsidRPr="005D41E3">
        <w:rPr>
          <w:rFonts w:hint="cs"/>
          <w:sz w:val="26"/>
          <w:szCs w:val="26"/>
          <w:rtl/>
          <w:lang w:bidi="ar-JO"/>
        </w:rPr>
        <w:t xml:space="preserve"> </w:t>
      </w:r>
      <w:r w:rsidR="00384D3A" w:rsidRPr="005D41E3">
        <w:rPr>
          <w:rFonts w:hint="cs"/>
          <w:sz w:val="26"/>
          <w:szCs w:val="26"/>
          <w:rtl/>
          <w:lang w:bidi="ar-JO"/>
        </w:rPr>
        <w:t>الغربية</w:t>
      </w:r>
      <w:r w:rsidR="00055EFB" w:rsidRPr="005D41E3">
        <w:rPr>
          <w:rFonts w:hint="cs"/>
          <w:sz w:val="26"/>
          <w:szCs w:val="26"/>
          <w:rtl/>
          <w:lang w:bidi="ar-JO"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حسب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143516" w:rsidRPr="005D41E3">
        <w:rPr>
          <w:rFonts w:hint="cs"/>
          <w:sz w:val="26"/>
          <w:szCs w:val="26"/>
          <w:rtl/>
        </w:rPr>
        <w:t>آلية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عقد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7D1946" w:rsidRPr="005D41E3">
        <w:rPr>
          <w:rFonts w:hint="cs"/>
          <w:sz w:val="26"/>
          <w:szCs w:val="26"/>
          <w:rtl/>
        </w:rPr>
        <w:t>النشاط</w:t>
      </w:r>
      <w:r w:rsidRPr="005D41E3">
        <w:rPr>
          <w:rFonts w:hint="cs"/>
          <w:sz w:val="26"/>
          <w:szCs w:val="26"/>
          <w:rtl/>
        </w:rPr>
        <w:t>،</w:t>
      </w:r>
      <w:r w:rsidR="00055EFB" w:rsidRPr="005D41E3">
        <w:rPr>
          <w:sz w:val="26"/>
          <w:szCs w:val="26"/>
          <w:rtl/>
        </w:rPr>
        <w:t xml:space="preserve"> </w:t>
      </w:r>
      <w:r w:rsidR="00EC553B" w:rsidRPr="005D41E3">
        <w:rPr>
          <w:rFonts w:hint="cs"/>
          <w:sz w:val="26"/>
          <w:szCs w:val="26"/>
          <w:rtl/>
        </w:rPr>
        <w:t>2024</w:t>
      </w:r>
    </w:p>
    <w:p w14:paraId="61915B6B" w14:textId="77777777" w:rsidR="00C715E8" w:rsidRPr="00EC553B" w:rsidRDefault="00C715E8" w:rsidP="009536CF">
      <w:pPr>
        <w:pStyle w:val="BodyText"/>
        <w:rPr>
          <w:color w:val="FF0000"/>
          <w:sz w:val="6"/>
          <w:szCs w:val="6"/>
          <w:rtl/>
        </w:rPr>
      </w:pPr>
    </w:p>
    <w:p w14:paraId="206D0FFC" w14:textId="77777777" w:rsidR="009536CF" w:rsidRPr="005838FC" w:rsidRDefault="00F76D39" w:rsidP="009536CF">
      <w:pPr>
        <w:pStyle w:val="BodyText"/>
        <w:rPr>
          <w:color w:val="FF0000"/>
          <w:sz w:val="20"/>
          <w:szCs w:val="20"/>
          <w:rtl/>
        </w:rPr>
      </w:pPr>
      <w:r w:rsidRPr="005838FC">
        <w:rPr>
          <w:rFonts w:hint="cs"/>
          <w:noProof/>
          <w:color w:val="FF0000"/>
          <w:sz w:val="20"/>
          <w:szCs w:val="20"/>
          <w:rtl/>
        </w:rPr>
        <w:drawing>
          <wp:inline distT="0" distB="0" distL="0" distR="0" wp14:anchorId="7D487CFF" wp14:editId="5FE6BAF5">
            <wp:extent cx="2965660" cy="1464773"/>
            <wp:effectExtent l="0" t="0" r="6350" b="25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0AF08B" w14:textId="77777777" w:rsidR="00620BC6" w:rsidRPr="005838FC" w:rsidRDefault="00620BC6" w:rsidP="00842CC8">
      <w:pPr>
        <w:pStyle w:val="BodyText"/>
        <w:rPr>
          <w:color w:val="FF0000"/>
          <w:sz w:val="12"/>
          <w:szCs w:val="12"/>
          <w:rtl/>
        </w:rPr>
      </w:pPr>
    </w:p>
    <w:p w14:paraId="25BACE9A" w14:textId="77777777" w:rsidR="00DE7C16" w:rsidRPr="00AF2B4D" w:rsidRDefault="00DE7C16" w:rsidP="00F15C81">
      <w:pPr>
        <w:bidi/>
        <w:ind w:left="-2"/>
        <w:jc w:val="both"/>
        <w:rPr>
          <w:rFonts w:cs="Simplified Arabic"/>
          <w:b/>
          <w:bCs/>
          <w:sz w:val="12"/>
          <w:szCs w:val="12"/>
          <w:rtl/>
        </w:rPr>
      </w:pPr>
    </w:p>
    <w:p w14:paraId="0A94B613" w14:textId="270A9258" w:rsidR="0008497B" w:rsidRPr="005D41E3" w:rsidRDefault="00EC070B" w:rsidP="00042C5D">
      <w:pPr>
        <w:bidi/>
        <w:ind w:left="-2"/>
        <w:jc w:val="both"/>
        <w:rPr>
          <w:rFonts w:cs="Simplified Arabic"/>
          <w:b/>
          <w:bCs/>
          <w:color w:val="000000" w:themeColor="text1"/>
          <w:sz w:val="28"/>
          <w:szCs w:val="28"/>
          <w:rtl/>
        </w:rPr>
      </w:pPr>
      <w:r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>انخفاض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D66E73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B4759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عدد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B4759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زوار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B4759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المتاحف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في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الضفة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الغربية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B46DD"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إلى </w:t>
      </w:r>
      <w:r w:rsidR="006A2B8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>أكثر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6A2B8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>من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6A2B8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  <w:lang w:bidi="ar-JO"/>
        </w:rPr>
        <w:t>النصف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B4759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خلال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B46DD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</w:t>
      </w:r>
      <w:r w:rsidR="000B4759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عام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2024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42C5D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مقارنة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042C5D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بالعام</w:t>
      </w:r>
      <w:r w:rsidR="00055EFB"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D41E3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2023</w:t>
      </w:r>
    </w:p>
    <w:p w14:paraId="0619BF5D" w14:textId="32AC2DC7" w:rsidR="0008497B" w:rsidRPr="005D41E3" w:rsidRDefault="0008497B" w:rsidP="0021311E">
      <w:pPr>
        <w:tabs>
          <w:tab w:val="left" w:pos="-1"/>
        </w:tabs>
        <w:bidi/>
        <w:ind w:right="-1" w:firstLine="1"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5D41E3">
        <w:rPr>
          <w:rFonts w:cs="Simplified Arabic" w:hint="cs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عدد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المتاحف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العاملة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الضفة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الغربية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26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D63B22" w:rsidRPr="005D41E3">
        <w:rPr>
          <w:rFonts w:cs="Simplified Arabic" w:hint="cs"/>
          <w:color w:val="000000" w:themeColor="text1"/>
          <w:sz w:val="26"/>
          <w:szCs w:val="26"/>
          <w:rtl/>
        </w:rPr>
        <w:t>متحفاً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خلال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</w:rPr>
        <w:t>ال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عام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2024،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منها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متحفان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رفضا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الإدلاء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بالبيانات.</w:t>
      </w:r>
    </w:p>
    <w:p w14:paraId="24CEF8B3" w14:textId="77777777" w:rsidR="00AD0637" w:rsidRPr="00AF2B4D" w:rsidRDefault="00AD0637" w:rsidP="00AD0637">
      <w:pPr>
        <w:tabs>
          <w:tab w:val="left" w:pos="-1"/>
        </w:tabs>
        <w:bidi/>
        <w:ind w:right="-1" w:firstLine="1"/>
        <w:jc w:val="both"/>
        <w:rPr>
          <w:rFonts w:cs="Simplified Arabic"/>
          <w:sz w:val="6"/>
          <w:szCs w:val="6"/>
          <w:rtl/>
        </w:rPr>
      </w:pPr>
    </w:p>
    <w:p w14:paraId="3327C16C" w14:textId="2C1262D8" w:rsidR="00AD0637" w:rsidRPr="005D41E3" w:rsidRDefault="00AD0637" w:rsidP="00F67E58">
      <w:pPr>
        <w:pStyle w:val="BodyText"/>
        <w:rPr>
          <w:sz w:val="26"/>
          <w:szCs w:val="26"/>
          <w:rtl/>
        </w:rPr>
      </w:pPr>
      <w:r w:rsidRPr="005D41E3">
        <w:rPr>
          <w:sz w:val="26"/>
          <w:szCs w:val="26"/>
          <w:rtl/>
        </w:rPr>
        <w:t>توزيع</w:t>
      </w:r>
      <w:r w:rsidR="00055EFB" w:rsidRPr="005D41E3">
        <w:rPr>
          <w:sz w:val="26"/>
          <w:szCs w:val="26"/>
          <w:rtl/>
        </w:rPr>
        <w:t xml:space="preserve"> </w:t>
      </w:r>
      <w:r w:rsidR="00F67E58" w:rsidRPr="005D41E3">
        <w:rPr>
          <w:rFonts w:hint="cs"/>
          <w:sz w:val="26"/>
          <w:szCs w:val="26"/>
          <w:rtl/>
        </w:rPr>
        <w:t>المتاحف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العاملة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فلسطين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حسب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المنطقة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لأعوام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مختارة</w:t>
      </w:r>
    </w:p>
    <w:tbl>
      <w:tblPr>
        <w:bidiVisual/>
        <w:tblW w:w="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733"/>
        <w:gridCol w:w="702"/>
        <w:gridCol w:w="702"/>
        <w:gridCol w:w="791"/>
        <w:gridCol w:w="733"/>
      </w:tblGrid>
      <w:tr w:rsidR="00AD0637" w:rsidRPr="005D41E3" w14:paraId="40692D0C" w14:textId="77777777" w:rsidTr="005D41E3">
        <w:trPr>
          <w:trHeight w:hRule="exact" w:val="336"/>
          <w:jc w:val="center"/>
        </w:trPr>
        <w:tc>
          <w:tcPr>
            <w:tcW w:w="1365" w:type="dxa"/>
            <w:vAlign w:val="center"/>
          </w:tcPr>
          <w:p w14:paraId="17341046" w14:textId="77777777" w:rsidR="00AD0637" w:rsidRPr="005D41E3" w:rsidRDefault="00AD063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733" w:type="dxa"/>
            <w:vAlign w:val="center"/>
          </w:tcPr>
          <w:p w14:paraId="4360FE35" w14:textId="77777777" w:rsidR="00AD0637" w:rsidRPr="005D41E3" w:rsidRDefault="00AD063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02" w:type="dxa"/>
            <w:vAlign w:val="center"/>
          </w:tcPr>
          <w:p w14:paraId="7B051A9B" w14:textId="77777777" w:rsidR="00AD0637" w:rsidRPr="005D41E3" w:rsidRDefault="00AD063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02" w:type="dxa"/>
            <w:vAlign w:val="center"/>
          </w:tcPr>
          <w:p w14:paraId="0DDAA6F8" w14:textId="77777777" w:rsidR="00AD0637" w:rsidRPr="005D41E3" w:rsidRDefault="00AD063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91" w:type="dxa"/>
            <w:vAlign w:val="center"/>
          </w:tcPr>
          <w:p w14:paraId="184438E9" w14:textId="77777777" w:rsidR="00AD0637" w:rsidRPr="005D41E3" w:rsidRDefault="00B45F5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 w:rsidR="00AD0637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33" w:type="dxa"/>
            <w:vAlign w:val="center"/>
          </w:tcPr>
          <w:p w14:paraId="0C47FAB2" w14:textId="77777777" w:rsidR="00AD0637" w:rsidRPr="005D41E3" w:rsidRDefault="00AD063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2024</w:t>
            </w:r>
          </w:p>
        </w:tc>
      </w:tr>
      <w:tr w:rsidR="00AD0637" w:rsidRPr="005D41E3" w14:paraId="6D29C159" w14:textId="77777777" w:rsidTr="005D41E3">
        <w:trPr>
          <w:trHeight w:hRule="exact" w:val="336"/>
          <w:jc w:val="center"/>
        </w:trPr>
        <w:tc>
          <w:tcPr>
            <w:tcW w:w="1365" w:type="dxa"/>
          </w:tcPr>
          <w:p w14:paraId="1DF1E98C" w14:textId="77777777" w:rsidR="00AD0637" w:rsidRPr="005D41E3" w:rsidRDefault="00AD0637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733" w:type="dxa"/>
            <w:vAlign w:val="center"/>
          </w:tcPr>
          <w:p w14:paraId="64995E93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2" w:type="dxa"/>
            <w:vAlign w:val="center"/>
          </w:tcPr>
          <w:p w14:paraId="6ACE0883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2" w:type="dxa"/>
            <w:vAlign w:val="center"/>
          </w:tcPr>
          <w:p w14:paraId="7D2984FE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 w14:paraId="3CE00AC5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vAlign w:val="center"/>
          </w:tcPr>
          <w:p w14:paraId="7A0A0333" w14:textId="77777777" w:rsidR="00AD0637" w:rsidRPr="005D41E3" w:rsidRDefault="00AD0637" w:rsidP="00256B4D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</w:p>
        </w:tc>
      </w:tr>
      <w:tr w:rsidR="00AD0637" w:rsidRPr="005D41E3" w14:paraId="42938C90" w14:textId="77777777" w:rsidTr="005D41E3">
        <w:trPr>
          <w:trHeight w:hRule="exact" w:val="336"/>
          <w:jc w:val="center"/>
        </w:trPr>
        <w:tc>
          <w:tcPr>
            <w:tcW w:w="1365" w:type="dxa"/>
          </w:tcPr>
          <w:p w14:paraId="75EB5D0E" w14:textId="79490D45" w:rsidR="00AD0637" w:rsidRPr="005D41E3" w:rsidRDefault="00AD0637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الضفة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الغربية</w:t>
            </w:r>
          </w:p>
        </w:tc>
        <w:tc>
          <w:tcPr>
            <w:tcW w:w="733" w:type="dxa"/>
            <w:vAlign w:val="center"/>
          </w:tcPr>
          <w:p w14:paraId="615DC750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27</w:t>
            </w:r>
          </w:p>
        </w:tc>
        <w:tc>
          <w:tcPr>
            <w:tcW w:w="702" w:type="dxa"/>
            <w:vAlign w:val="center"/>
          </w:tcPr>
          <w:p w14:paraId="65B4312F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26</w:t>
            </w:r>
          </w:p>
        </w:tc>
        <w:tc>
          <w:tcPr>
            <w:tcW w:w="702" w:type="dxa"/>
            <w:vAlign w:val="center"/>
          </w:tcPr>
          <w:p w14:paraId="4CCFD235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27</w:t>
            </w:r>
          </w:p>
        </w:tc>
        <w:tc>
          <w:tcPr>
            <w:tcW w:w="791" w:type="dxa"/>
            <w:vAlign w:val="center"/>
          </w:tcPr>
          <w:p w14:paraId="5BC017F0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26</w:t>
            </w:r>
          </w:p>
        </w:tc>
        <w:tc>
          <w:tcPr>
            <w:tcW w:w="733" w:type="dxa"/>
            <w:vAlign w:val="center"/>
          </w:tcPr>
          <w:p w14:paraId="73634679" w14:textId="77777777" w:rsidR="00AD0637" w:rsidRPr="005D41E3" w:rsidRDefault="00AC6088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26</w:t>
            </w:r>
          </w:p>
        </w:tc>
      </w:tr>
      <w:tr w:rsidR="00AD0637" w:rsidRPr="005D41E3" w14:paraId="672BFB9D" w14:textId="77777777" w:rsidTr="005D41E3">
        <w:trPr>
          <w:trHeight w:hRule="exact" w:val="336"/>
          <w:jc w:val="center"/>
        </w:trPr>
        <w:tc>
          <w:tcPr>
            <w:tcW w:w="1365" w:type="dxa"/>
          </w:tcPr>
          <w:p w14:paraId="31844CDA" w14:textId="4198E50B" w:rsidR="00AD0637" w:rsidRPr="005D41E3" w:rsidRDefault="00AD0637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قطاع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غزة</w:t>
            </w:r>
          </w:p>
        </w:tc>
        <w:tc>
          <w:tcPr>
            <w:tcW w:w="733" w:type="dxa"/>
            <w:vAlign w:val="center"/>
          </w:tcPr>
          <w:p w14:paraId="3B85072F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2" w:type="dxa"/>
            <w:vAlign w:val="center"/>
          </w:tcPr>
          <w:p w14:paraId="7971748E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02" w:type="dxa"/>
            <w:vAlign w:val="center"/>
          </w:tcPr>
          <w:p w14:paraId="10916DAA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91" w:type="dxa"/>
            <w:vAlign w:val="center"/>
          </w:tcPr>
          <w:p w14:paraId="3628D2D3" w14:textId="77777777" w:rsidR="00AD0637" w:rsidRPr="005D41E3" w:rsidRDefault="00256B4D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33" w:type="dxa"/>
            <w:vAlign w:val="center"/>
          </w:tcPr>
          <w:p w14:paraId="572CA7BE" w14:textId="77777777" w:rsidR="00AD0637" w:rsidRPr="005D41E3" w:rsidRDefault="00AD0637" w:rsidP="00256B4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..</w:t>
            </w:r>
          </w:p>
        </w:tc>
      </w:tr>
    </w:tbl>
    <w:p w14:paraId="1D609CD7" w14:textId="0873B13F" w:rsidR="00B45F57" w:rsidRDefault="00B45F57" w:rsidP="00B45F57">
      <w:pPr>
        <w:pStyle w:val="BodyText"/>
        <w:jc w:val="both"/>
        <w:rPr>
          <w:b w:val="0"/>
          <w:bCs w:val="0"/>
          <w:sz w:val="18"/>
          <w:szCs w:val="18"/>
          <w:rtl/>
        </w:rPr>
      </w:pPr>
      <w:r w:rsidRPr="00813786">
        <w:rPr>
          <w:rFonts w:hint="cs"/>
          <w:b w:val="0"/>
          <w:bCs w:val="0"/>
          <w:sz w:val="18"/>
          <w:szCs w:val="18"/>
          <w:rtl/>
        </w:rPr>
        <w:t>*: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بيانات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قطاع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غزة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لا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تشمل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فترة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العدوان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الإسرائيلي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على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القطاع</w:t>
      </w:r>
      <w:r w:rsidRPr="00813786">
        <w:rPr>
          <w:rFonts w:hint="cs"/>
          <w:b w:val="0"/>
          <w:bCs w:val="0"/>
          <w:sz w:val="18"/>
          <w:szCs w:val="18"/>
          <w:rtl/>
        </w:rPr>
        <w:t>.</w:t>
      </w:r>
    </w:p>
    <w:p w14:paraId="1E6D9FAD" w14:textId="38A2494F" w:rsidR="0008497B" w:rsidRPr="005D41E3" w:rsidRDefault="000B4759" w:rsidP="00EB46DD">
      <w:pPr>
        <w:bidi/>
        <w:jc w:val="both"/>
        <w:rPr>
          <w:rFonts w:cs="Simplified Arabic"/>
          <w:color w:val="000000" w:themeColor="text1"/>
          <w:sz w:val="26"/>
          <w:szCs w:val="26"/>
          <w:rtl/>
        </w:rPr>
      </w:pPr>
      <w:r w:rsidRPr="005D41E3">
        <w:rPr>
          <w:rFonts w:cs="Simplified Arabic" w:hint="cs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عدد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F525BF" w:rsidRPr="005D41E3">
        <w:rPr>
          <w:rFonts w:cs="Simplified Arabic" w:hint="cs"/>
          <w:color w:val="000000" w:themeColor="text1"/>
          <w:sz w:val="26"/>
          <w:szCs w:val="26"/>
          <w:rtl/>
        </w:rPr>
        <w:t>زوار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F525BF" w:rsidRPr="005D41E3">
        <w:rPr>
          <w:rFonts w:cs="Simplified Arabic" w:hint="cs"/>
          <w:color w:val="000000" w:themeColor="text1"/>
          <w:sz w:val="26"/>
          <w:szCs w:val="26"/>
          <w:rtl/>
        </w:rPr>
        <w:t>المتاحف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التي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أدلت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بالبيانات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الضفة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الغربية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حوالي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B768E5" w:rsidRPr="005D41E3">
        <w:rPr>
          <w:rFonts w:cs="Simplified Arabic" w:hint="cs"/>
          <w:color w:val="000000" w:themeColor="text1"/>
          <w:sz w:val="26"/>
          <w:szCs w:val="26"/>
          <w:rtl/>
        </w:rPr>
        <w:t>80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ألف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زائر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</w:rPr>
        <w:t>ال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عام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</w:rPr>
        <w:t>2024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؛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644A2" w:rsidRPr="005D41E3">
        <w:rPr>
          <w:rFonts w:cs="Simplified Arabic" w:hint="cs"/>
          <w:color w:val="000000" w:themeColor="text1"/>
          <w:sz w:val="26"/>
          <w:szCs w:val="26"/>
          <w:rtl/>
        </w:rPr>
        <w:t>81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%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فلسطينيون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F15C81" w:rsidRPr="005D41E3">
        <w:rPr>
          <w:rFonts w:cs="Simplified Arabic" w:hint="cs"/>
          <w:color w:val="000000" w:themeColor="text1"/>
          <w:sz w:val="26"/>
          <w:szCs w:val="26"/>
          <w:rtl/>
        </w:rPr>
        <w:t>و</w:t>
      </w:r>
      <w:r w:rsidR="00136A79" w:rsidRPr="005D41E3">
        <w:rPr>
          <w:rFonts w:cs="Simplified Arabic"/>
          <w:color w:val="000000" w:themeColor="text1"/>
          <w:sz w:val="26"/>
          <w:szCs w:val="26"/>
        </w:rPr>
        <w:t>19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%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من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جنسيات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أخرى</w:t>
      </w:r>
      <w:r w:rsidRPr="005D41E3">
        <w:rPr>
          <w:rFonts w:cs="Simplified Arabic" w:hint="cs"/>
          <w:color w:val="000000" w:themeColor="text1"/>
          <w:sz w:val="26"/>
          <w:szCs w:val="26"/>
          <w:rtl/>
        </w:rPr>
        <w:t>.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وتفيد</w:t>
      </w:r>
      <w:r w:rsidR="00055EFB" w:rsidRPr="005D41E3">
        <w:rPr>
          <w:rFonts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البيانات</w:t>
      </w:r>
      <w:r w:rsidR="00055EFB" w:rsidRPr="005D41E3">
        <w:rPr>
          <w:rFonts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بأن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أكبر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عدد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للزائرين</w:t>
      </w:r>
      <w:r w:rsidR="00055EFB" w:rsidRPr="005D41E3">
        <w:rPr>
          <w:rFonts w:cs="Simplified Arabic"/>
          <w:color w:val="000000" w:themeColor="text1"/>
          <w:sz w:val="26"/>
          <w:szCs w:val="26"/>
          <w:rtl/>
        </w:rPr>
        <w:t xml:space="preserve"> </w:t>
      </w:r>
      <w:r w:rsidR="00225911" w:rsidRPr="005D41E3">
        <w:rPr>
          <w:rFonts w:cs="Simplified Arabic" w:hint="cs"/>
          <w:color w:val="000000" w:themeColor="text1"/>
          <w:sz w:val="26"/>
          <w:szCs w:val="26"/>
          <w:rtl/>
          <w:lang w:bidi="ar-JO"/>
        </w:rPr>
        <w:t>خلال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  <w:lang w:bidi="ar-JO"/>
        </w:rPr>
        <w:t>ال</w:t>
      </w:r>
      <w:r w:rsidR="00225911" w:rsidRPr="005D41E3">
        <w:rPr>
          <w:rFonts w:cs="Simplified Arabic" w:hint="cs"/>
          <w:color w:val="000000" w:themeColor="text1"/>
          <w:sz w:val="26"/>
          <w:szCs w:val="26"/>
          <w:rtl/>
          <w:lang w:bidi="ar-JO"/>
        </w:rPr>
        <w:t>عام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21311E" w:rsidRPr="005D41E3">
        <w:rPr>
          <w:rFonts w:cs="Simplified Arabic" w:hint="cs"/>
          <w:color w:val="000000" w:themeColor="text1"/>
          <w:sz w:val="26"/>
          <w:szCs w:val="26"/>
          <w:rtl/>
          <w:lang w:bidi="ar-JO"/>
        </w:rPr>
        <w:t>2024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كان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DC4604" w:rsidRPr="005D41E3">
        <w:rPr>
          <w:rFonts w:cs="Simplified Arabic" w:hint="cs"/>
          <w:color w:val="000000" w:themeColor="text1"/>
          <w:sz w:val="26"/>
          <w:szCs w:val="26"/>
          <w:rtl/>
        </w:rPr>
        <w:t>خلال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شهر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105589" w:rsidRPr="005D41E3">
        <w:rPr>
          <w:rFonts w:cs="Simplified Arabic" w:hint="cs"/>
          <w:color w:val="000000" w:themeColor="text1"/>
          <w:sz w:val="26"/>
          <w:szCs w:val="26"/>
          <w:rtl/>
        </w:rPr>
        <w:t>نيسان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حيث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عددهم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حوالي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105589" w:rsidRPr="005D41E3">
        <w:rPr>
          <w:rFonts w:cs="Simplified Arabic" w:hint="cs"/>
          <w:color w:val="000000" w:themeColor="text1"/>
          <w:sz w:val="26"/>
          <w:szCs w:val="26"/>
          <w:rtl/>
        </w:rPr>
        <w:t>14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FE107A" w:rsidRPr="005D41E3">
        <w:rPr>
          <w:rFonts w:cs="Simplified Arabic" w:hint="cs"/>
          <w:color w:val="000000" w:themeColor="text1"/>
          <w:sz w:val="26"/>
          <w:szCs w:val="26"/>
          <w:rtl/>
        </w:rPr>
        <w:t>ألف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زائر،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حين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أقل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عدد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للزائرين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D40C7" w:rsidRPr="005D41E3">
        <w:rPr>
          <w:rFonts w:cs="Simplified Arabic" w:hint="cs"/>
          <w:color w:val="000000" w:themeColor="text1"/>
          <w:sz w:val="26"/>
          <w:szCs w:val="26"/>
          <w:rtl/>
        </w:rPr>
        <w:t>خلال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cs="Simplified Arabic" w:hint="cs"/>
          <w:color w:val="000000" w:themeColor="text1"/>
          <w:sz w:val="26"/>
          <w:szCs w:val="26"/>
          <w:rtl/>
        </w:rPr>
        <w:t>شهر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060396" w:rsidRPr="005D41E3">
        <w:rPr>
          <w:rFonts w:cs="Simplified Arabic" w:hint="cs"/>
          <w:color w:val="000000" w:themeColor="text1"/>
          <w:sz w:val="26"/>
          <w:szCs w:val="26"/>
          <w:rtl/>
        </w:rPr>
        <w:t>شباط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1020F" w:rsidRPr="005D41E3">
        <w:rPr>
          <w:rFonts w:cs="Simplified Arabic" w:hint="cs"/>
          <w:color w:val="000000" w:themeColor="text1"/>
          <w:sz w:val="26"/>
          <w:szCs w:val="26"/>
          <w:rtl/>
        </w:rPr>
        <w:t>حيث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1020F" w:rsidRPr="005D41E3">
        <w:rPr>
          <w:rFonts w:cs="Simplified Arabic" w:hint="cs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DC4604" w:rsidRPr="005D41E3">
        <w:rPr>
          <w:rFonts w:cs="Simplified Arabic" w:hint="cs"/>
          <w:color w:val="000000" w:themeColor="text1"/>
          <w:sz w:val="26"/>
          <w:szCs w:val="26"/>
          <w:rtl/>
        </w:rPr>
        <w:t>عددهم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405A8" w:rsidRPr="005D41E3">
        <w:rPr>
          <w:rFonts w:cs="Simplified Arabic" w:hint="cs"/>
          <w:color w:val="000000" w:themeColor="text1"/>
          <w:sz w:val="26"/>
          <w:szCs w:val="26"/>
          <w:rtl/>
        </w:rPr>
        <w:t>حوالي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105589" w:rsidRPr="005D41E3">
        <w:rPr>
          <w:rFonts w:cs="Simplified Arabic" w:hint="cs"/>
          <w:color w:val="000000" w:themeColor="text1"/>
          <w:sz w:val="26"/>
          <w:szCs w:val="26"/>
          <w:rtl/>
        </w:rPr>
        <w:t>3</w:t>
      </w:r>
      <w:r w:rsidR="00055EFB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cs="Simplified Arabic" w:hint="cs"/>
          <w:color w:val="000000" w:themeColor="text1"/>
          <w:sz w:val="26"/>
          <w:szCs w:val="26"/>
          <w:rtl/>
        </w:rPr>
        <w:t xml:space="preserve">آلاف </w:t>
      </w:r>
      <w:r w:rsidR="00FE107A" w:rsidRPr="005D41E3">
        <w:rPr>
          <w:rFonts w:cs="Simplified Arabic" w:hint="cs"/>
          <w:color w:val="000000" w:themeColor="text1"/>
          <w:sz w:val="26"/>
          <w:szCs w:val="26"/>
          <w:rtl/>
        </w:rPr>
        <w:t>زائر.</w:t>
      </w:r>
    </w:p>
    <w:p w14:paraId="6E9372D5" w14:textId="77777777" w:rsidR="0029061B" w:rsidRPr="00AF2B4D" w:rsidRDefault="0029061B" w:rsidP="0029061B">
      <w:pPr>
        <w:bidi/>
        <w:jc w:val="both"/>
        <w:rPr>
          <w:rFonts w:cs="Simplified Arabic"/>
          <w:sz w:val="12"/>
          <w:szCs w:val="12"/>
          <w:rtl/>
        </w:rPr>
      </w:pPr>
    </w:p>
    <w:p w14:paraId="29A93E0E" w14:textId="33E8E22F" w:rsidR="00976E14" w:rsidRPr="005D41E3" w:rsidRDefault="00976E14" w:rsidP="00B26404">
      <w:pPr>
        <w:pStyle w:val="BodyText"/>
        <w:rPr>
          <w:sz w:val="26"/>
          <w:szCs w:val="26"/>
          <w:rtl/>
        </w:rPr>
      </w:pPr>
      <w:r w:rsidRPr="005D41E3">
        <w:rPr>
          <w:sz w:val="26"/>
          <w:szCs w:val="26"/>
          <w:rtl/>
        </w:rPr>
        <w:t>توزيع</w:t>
      </w:r>
      <w:r w:rsidR="00055EFB" w:rsidRPr="005D41E3">
        <w:rPr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زو</w:t>
      </w:r>
      <w:r w:rsidR="00EB46DD" w:rsidRPr="005D41E3">
        <w:rPr>
          <w:rFonts w:hint="cs"/>
          <w:sz w:val="26"/>
          <w:szCs w:val="26"/>
          <w:rtl/>
        </w:rPr>
        <w:t>ّ</w:t>
      </w:r>
      <w:r w:rsidRPr="005D41E3">
        <w:rPr>
          <w:rFonts w:hint="cs"/>
          <w:sz w:val="26"/>
          <w:szCs w:val="26"/>
          <w:rtl/>
        </w:rPr>
        <w:t>ار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المتاحف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العاملة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فلسطين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حسب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المنطقة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لأعوام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مختارة</w:t>
      </w:r>
    </w:p>
    <w:tbl>
      <w:tblPr>
        <w:bidiVisual/>
        <w:tblW w:w="5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900"/>
        <w:gridCol w:w="1005"/>
        <w:gridCol w:w="975"/>
        <w:gridCol w:w="1080"/>
        <w:gridCol w:w="900"/>
      </w:tblGrid>
      <w:tr w:rsidR="00976E14" w:rsidRPr="005D41E3" w14:paraId="1797D3EE" w14:textId="77777777" w:rsidTr="005D41E3">
        <w:trPr>
          <w:trHeight w:hRule="exact" w:val="601"/>
          <w:jc w:val="center"/>
        </w:trPr>
        <w:tc>
          <w:tcPr>
            <w:tcW w:w="998" w:type="dxa"/>
            <w:vAlign w:val="center"/>
          </w:tcPr>
          <w:p w14:paraId="5CBE6F7C" w14:textId="77777777" w:rsidR="00976E14" w:rsidRPr="005D41E3" w:rsidRDefault="00976E14" w:rsidP="002842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المنطقة</w:t>
            </w:r>
          </w:p>
        </w:tc>
        <w:tc>
          <w:tcPr>
            <w:tcW w:w="900" w:type="dxa"/>
            <w:vAlign w:val="center"/>
          </w:tcPr>
          <w:p w14:paraId="10C7BE11" w14:textId="77777777" w:rsidR="00976E14" w:rsidRPr="005D41E3" w:rsidRDefault="00976E14" w:rsidP="002842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05" w:type="dxa"/>
            <w:vAlign w:val="center"/>
          </w:tcPr>
          <w:p w14:paraId="59D359BB" w14:textId="77777777" w:rsidR="00976E14" w:rsidRPr="005D41E3" w:rsidRDefault="00976E14" w:rsidP="002842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975" w:type="dxa"/>
            <w:vAlign w:val="center"/>
          </w:tcPr>
          <w:p w14:paraId="1C2646AF" w14:textId="77777777" w:rsidR="00976E14" w:rsidRPr="005D41E3" w:rsidRDefault="00976E14" w:rsidP="002842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80" w:type="dxa"/>
            <w:vAlign w:val="center"/>
          </w:tcPr>
          <w:p w14:paraId="037262B2" w14:textId="77777777" w:rsidR="00976E14" w:rsidRPr="005D41E3" w:rsidRDefault="00BE3A43" w:rsidP="002842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*</w:t>
            </w:r>
            <w:r w:rsidR="00976E14" w:rsidRPr="005D41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00" w:type="dxa"/>
            <w:vAlign w:val="center"/>
          </w:tcPr>
          <w:p w14:paraId="56410634" w14:textId="77777777" w:rsidR="00976E14" w:rsidRPr="005D41E3" w:rsidRDefault="00976E14" w:rsidP="002842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2024</w:t>
            </w:r>
          </w:p>
        </w:tc>
      </w:tr>
      <w:tr w:rsidR="00C33655" w:rsidRPr="005D41E3" w14:paraId="24E6FA98" w14:textId="77777777" w:rsidTr="005D41E3">
        <w:trPr>
          <w:trHeight w:hRule="exact" w:val="601"/>
          <w:jc w:val="center"/>
        </w:trPr>
        <w:tc>
          <w:tcPr>
            <w:tcW w:w="998" w:type="dxa"/>
          </w:tcPr>
          <w:p w14:paraId="36AA1F8A" w14:textId="77777777" w:rsidR="00C33655" w:rsidRPr="005D41E3" w:rsidRDefault="00C33655" w:rsidP="0028422C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فلسطين</w:t>
            </w:r>
          </w:p>
        </w:tc>
        <w:tc>
          <w:tcPr>
            <w:tcW w:w="900" w:type="dxa"/>
            <w:vAlign w:val="center"/>
          </w:tcPr>
          <w:p w14:paraId="3788AEF3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25,735</w:t>
            </w:r>
          </w:p>
        </w:tc>
        <w:tc>
          <w:tcPr>
            <w:tcW w:w="1005" w:type="dxa"/>
            <w:vAlign w:val="center"/>
          </w:tcPr>
          <w:p w14:paraId="11AC7480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114,162</w:t>
            </w:r>
          </w:p>
        </w:tc>
        <w:tc>
          <w:tcPr>
            <w:tcW w:w="975" w:type="dxa"/>
            <w:vAlign w:val="center"/>
          </w:tcPr>
          <w:p w14:paraId="1FFE0C46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265,223</w:t>
            </w:r>
          </w:p>
        </w:tc>
        <w:tc>
          <w:tcPr>
            <w:tcW w:w="1080" w:type="dxa"/>
            <w:vAlign w:val="center"/>
          </w:tcPr>
          <w:p w14:paraId="70298EA0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186,077</w:t>
            </w:r>
          </w:p>
        </w:tc>
        <w:tc>
          <w:tcPr>
            <w:tcW w:w="900" w:type="dxa"/>
          </w:tcPr>
          <w:p w14:paraId="05518EFC" w14:textId="77777777" w:rsidR="00C33655" w:rsidRPr="005D41E3" w:rsidRDefault="00C33655" w:rsidP="002842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..</w:t>
            </w:r>
          </w:p>
        </w:tc>
      </w:tr>
      <w:tr w:rsidR="00D73BBD" w:rsidRPr="005D41E3" w14:paraId="05D8EDD2" w14:textId="77777777" w:rsidTr="005D41E3">
        <w:trPr>
          <w:trHeight w:hRule="exact" w:val="845"/>
          <w:jc w:val="center"/>
        </w:trPr>
        <w:tc>
          <w:tcPr>
            <w:tcW w:w="998" w:type="dxa"/>
          </w:tcPr>
          <w:p w14:paraId="4C2850AA" w14:textId="70844639" w:rsidR="00D73BBD" w:rsidRPr="005D41E3" w:rsidRDefault="00D73BBD" w:rsidP="0028422C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5D41E3">
              <w:rPr>
                <w:rFonts w:asciiTheme="majorBidi" w:hAnsiTheme="majorBidi" w:cstheme="majorBidi"/>
                <w:sz w:val="22"/>
                <w:szCs w:val="22"/>
                <w:rtl/>
              </w:rPr>
              <w:t>الضفة</w:t>
            </w:r>
            <w:r w:rsidR="00055EFB" w:rsidRPr="005D41E3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2"/>
                <w:szCs w:val="22"/>
                <w:rtl/>
              </w:rPr>
              <w:t>الغربية</w:t>
            </w:r>
          </w:p>
        </w:tc>
        <w:tc>
          <w:tcPr>
            <w:tcW w:w="900" w:type="dxa"/>
            <w:vAlign w:val="center"/>
          </w:tcPr>
          <w:p w14:paraId="41AB737B" w14:textId="77777777" w:rsidR="00D73BBD" w:rsidRPr="005D41E3" w:rsidRDefault="00D73BBD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20,542</w:t>
            </w:r>
          </w:p>
        </w:tc>
        <w:tc>
          <w:tcPr>
            <w:tcW w:w="1005" w:type="dxa"/>
            <w:vAlign w:val="center"/>
          </w:tcPr>
          <w:p w14:paraId="697A1AD6" w14:textId="77777777" w:rsidR="00D73BBD" w:rsidRPr="005D41E3" w:rsidRDefault="00D73BBD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98,857</w:t>
            </w:r>
          </w:p>
        </w:tc>
        <w:tc>
          <w:tcPr>
            <w:tcW w:w="975" w:type="dxa"/>
            <w:vAlign w:val="center"/>
          </w:tcPr>
          <w:p w14:paraId="0C6465D4" w14:textId="77777777" w:rsidR="00D73BBD" w:rsidRPr="005D41E3" w:rsidRDefault="00D73BBD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213,207</w:t>
            </w:r>
          </w:p>
        </w:tc>
        <w:tc>
          <w:tcPr>
            <w:tcW w:w="1080" w:type="dxa"/>
            <w:vAlign w:val="center"/>
          </w:tcPr>
          <w:p w14:paraId="02A32094" w14:textId="77777777" w:rsidR="00D73BBD" w:rsidRPr="005D41E3" w:rsidRDefault="00D73BBD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176,671</w:t>
            </w:r>
          </w:p>
        </w:tc>
        <w:tc>
          <w:tcPr>
            <w:tcW w:w="900" w:type="dxa"/>
            <w:vAlign w:val="center"/>
          </w:tcPr>
          <w:p w14:paraId="472587D6" w14:textId="77777777" w:rsidR="00D73BBD" w:rsidRPr="005D41E3" w:rsidRDefault="00EC070B" w:rsidP="00EC070B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79,789</w:t>
            </w:r>
          </w:p>
        </w:tc>
      </w:tr>
      <w:tr w:rsidR="00C33655" w:rsidRPr="005D41E3" w14:paraId="42ADA16A" w14:textId="77777777" w:rsidTr="005D41E3">
        <w:trPr>
          <w:trHeight w:hRule="exact" w:val="601"/>
          <w:jc w:val="center"/>
        </w:trPr>
        <w:tc>
          <w:tcPr>
            <w:tcW w:w="998" w:type="dxa"/>
          </w:tcPr>
          <w:p w14:paraId="6E2849EF" w14:textId="595EE9FC" w:rsidR="00C33655" w:rsidRPr="005D41E3" w:rsidRDefault="00C33655" w:rsidP="0028422C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sz w:val="22"/>
                <w:szCs w:val="22"/>
                <w:rtl/>
              </w:rPr>
              <w:t>قطاع</w:t>
            </w:r>
            <w:r w:rsidR="00055EFB" w:rsidRPr="005D41E3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2"/>
                <w:szCs w:val="22"/>
                <w:rtl/>
              </w:rPr>
              <w:t>غزة</w:t>
            </w:r>
          </w:p>
        </w:tc>
        <w:tc>
          <w:tcPr>
            <w:tcW w:w="900" w:type="dxa"/>
            <w:vAlign w:val="center"/>
          </w:tcPr>
          <w:p w14:paraId="1AA93BF4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5,193</w:t>
            </w:r>
          </w:p>
        </w:tc>
        <w:tc>
          <w:tcPr>
            <w:tcW w:w="1005" w:type="dxa"/>
            <w:vAlign w:val="center"/>
          </w:tcPr>
          <w:p w14:paraId="696DC94B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15,305</w:t>
            </w:r>
          </w:p>
        </w:tc>
        <w:tc>
          <w:tcPr>
            <w:tcW w:w="975" w:type="dxa"/>
            <w:vAlign w:val="center"/>
          </w:tcPr>
          <w:p w14:paraId="33D0314A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52,016</w:t>
            </w:r>
          </w:p>
        </w:tc>
        <w:tc>
          <w:tcPr>
            <w:tcW w:w="1080" w:type="dxa"/>
            <w:vAlign w:val="center"/>
          </w:tcPr>
          <w:p w14:paraId="54FFC510" w14:textId="77777777" w:rsidR="00C33655" w:rsidRPr="005D41E3" w:rsidRDefault="00C33655" w:rsidP="00C33655">
            <w:pPr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9,406</w:t>
            </w:r>
          </w:p>
        </w:tc>
        <w:tc>
          <w:tcPr>
            <w:tcW w:w="900" w:type="dxa"/>
          </w:tcPr>
          <w:p w14:paraId="7337E734" w14:textId="77777777" w:rsidR="00C33655" w:rsidRPr="005D41E3" w:rsidRDefault="00C33655" w:rsidP="0028422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5D41E3">
              <w:rPr>
                <w:rFonts w:asciiTheme="majorBidi" w:hAnsiTheme="majorBidi" w:cstheme="majorBidi"/>
                <w:sz w:val="22"/>
                <w:szCs w:val="22"/>
              </w:rPr>
              <w:t>..</w:t>
            </w:r>
          </w:p>
        </w:tc>
      </w:tr>
    </w:tbl>
    <w:p w14:paraId="1A162C29" w14:textId="44E32A26" w:rsidR="00BE3A43" w:rsidRPr="00BE3A43" w:rsidRDefault="00BE3A43" w:rsidP="00BE3A43">
      <w:pPr>
        <w:pStyle w:val="BodyText"/>
        <w:jc w:val="both"/>
        <w:rPr>
          <w:b w:val="0"/>
          <w:bCs w:val="0"/>
          <w:sz w:val="16"/>
          <w:szCs w:val="16"/>
          <w:rtl/>
        </w:rPr>
      </w:pPr>
      <w:r w:rsidRPr="00BE3A43">
        <w:rPr>
          <w:rFonts w:hint="cs"/>
          <w:b w:val="0"/>
          <w:bCs w:val="0"/>
          <w:sz w:val="16"/>
          <w:szCs w:val="16"/>
          <w:rtl/>
        </w:rPr>
        <w:t>*: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البيانات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تشمل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زوار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المتاحف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العاملة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في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قطاع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غزة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للنصف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الأول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من</w:t>
      </w:r>
      <w:r w:rsidR="00055EFB">
        <w:rPr>
          <w:rFonts w:hint="cs"/>
          <w:b w:val="0"/>
          <w:bCs w:val="0"/>
          <w:sz w:val="16"/>
          <w:szCs w:val="16"/>
          <w:rtl/>
        </w:rPr>
        <w:t xml:space="preserve"> </w:t>
      </w:r>
      <w:r w:rsidRPr="00BE3A43">
        <w:rPr>
          <w:rFonts w:hint="cs"/>
          <w:b w:val="0"/>
          <w:bCs w:val="0"/>
          <w:sz w:val="16"/>
          <w:szCs w:val="16"/>
          <w:rtl/>
        </w:rPr>
        <w:t>العام</w:t>
      </w:r>
      <w:r w:rsidR="00EB46DD">
        <w:rPr>
          <w:rFonts w:hint="cs"/>
          <w:b w:val="0"/>
          <w:bCs w:val="0"/>
          <w:sz w:val="16"/>
          <w:szCs w:val="16"/>
          <w:rtl/>
        </w:rPr>
        <w:t>.</w:t>
      </w:r>
    </w:p>
    <w:p w14:paraId="5FA8F3C3" w14:textId="77777777" w:rsidR="0029061B" w:rsidRPr="00AF2B4D" w:rsidRDefault="0029061B" w:rsidP="00BB4E42">
      <w:pPr>
        <w:bidi/>
        <w:ind w:left="-2"/>
        <w:jc w:val="both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14:paraId="6F9C7BFE" w14:textId="54E798D8" w:rsidR="002F4750" w:rsidRPr="005D5ABF" w:rsidRDefault="002F4750" w:rsidP="002F4750">
      <w:pPr>
        <w:bidi/>
        <w:ind w:left="-2"/>
        <w:jc w:val="both"/>
        <w:rPr>
          <w:rFonts w:cs="Simplified Arabic"/>
          <w:b/>
          <w:bCs/>
          <w:color w:val="000000" w:themeColor="text1"/>
          <w:sz w:val="27"/>
          <w:szCs w:val="27"/>
          <w:rtl/>
        </w:rPr>
      </w:pP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>انخفاض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في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عدد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المسرحيات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المعروضة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في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المسارح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في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الضفة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الغربية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="00EB46DD"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 xml:space="preserve">إلى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>أكثر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>من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  <w:lang w:bidi="ar-JO"/>
        </w:rPr>
        <w:t>النصف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خلال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="00EB46DD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ال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عام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2024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مقارنة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بالعام</w:t>
      </w:r>
      <w:r w:rsidR="00055EFB"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 xml:space="preserve"> </w:t>
      </w:r>
      <w:r w:rsidRPr="005D5ABF">
        <w:rPr>
          <w:rFonts w:cs="Simplified Arabic" w:hint="cs"/>
          <w:b/>
          <w:bCs/>
          <w:color w:val="000000" w:themeColor="text1"/>
          <w:sz w:val="27"/>
          <w:szCs w:val="27"/>
          <w:rtl/>
        </w:rPr>
        <w:t>2023</w:t>
      </w:r>
    </w:p>
    <w:p w14:paraId="614DBEA6" w14:textId="3900DA97" w:rsidR="0008497B" w:rsidRDefault="00D25B64" w:rsidP="00D03B40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يوجد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03B40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15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مسرح</w:t>
      </w:r>
      <w:r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6B14EE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ً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عامل</w:t>
      </w:r>
      <w:r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03B40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03B40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الغربية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03B40" w:rsidRPr="005D41E3">
        <w:rPr>
          <w:rFonts w:ascii="Simplified Arabic" w:hAnsi="Simplified Arabic" w:cs="Simplified Arabic"/>
          <w:color w:val="000000" w:themeColor="text1"/>
          <w:sz w:val="26"/>
          <w:szCs w:val="26"/>
        </w:rPr>
        <w:t>2024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منها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56F66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مسرح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56F66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واحد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56F66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رفض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الإدلاء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56F66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بالبيانات.</w:t>
      </w:r>
    </w:p>
    <w:p w14:paraId="70CEADD1" w14:textId="5F6A3828" w:rsidR="00AE2B9D" w:rsidRDefault="00AE2B9D" w:rsidP="00AE2B9D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08F94D99" w14:textId="42E81AD3" w:rsidR="00AE2B9D" w:rsidRDefault="00AE2B9D" w:rsidP="00AE2B9D">
      <w:pPr>
        <w:tabs>
          <w:tab w:val="left" w:pos="-1"/>
        </w:tabs>
        <w:bidi/>
        <w:ind w:right="-1" w:firstLine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14:paraId="4E647D11" w14:textId="77777777" w:rsidR="00EB46DD" w:rsidRPr="00AF2B4D" w:rsidRDefault="00EB46DD" w:rsidP="00EB46DD">
      <w:pPr>
        <w:pStyle w:val="BodyText"/>
        <w:rPr>
          <w:color w:val="FF0000"/>
          <w:sz w:val="12"/>
          <w:szCs w:val="12"/>
          <w:rtl/>
        </w:rPr>
      </w:pPr>
    </w:p>
    <w:p w14:paraId="7E97DE69" w14:textId="4AB0E82B" w:rsidR="00D5043C" w:rsidRPr="005D41E3" w:rsidRDefault="00D5043C" w:rsidP="00D5043C">
      <w:pPr>
        <w:pStyle w:val="BodyText"/>
        <w:rPr>
          <w:sz w:val="26"/>
          <w:szCs w:val="26"/>
          <w:rtl/>
        </w:rPr>
      </w:pPr>
      <w:r w:rsidRPr="005D41E3">
        <w:rPr>
          <w:sz w:val="26"/>
          <w:szCs w:val="26"/>
          <w:rtl/>
        </w:rPr>
        <w:lastRenderedPageBreak/>
        <w:t>توزيع</w:t>
      </w:r>
      <w:r w:rsidR="00055EFB" w:rsidRPr="005D41E3">
        <w:rPr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المسارح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العاملة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في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فلسطين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حسب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المنطقة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لأعوام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rFonts w:hint="cs"/>
          <w:sz w:val="26"/>
          <w:szCs w:val="26"/>
          <w:rtl/>
        </w:rPr>
        <w:t>مختارة</w:t>
      </w:r>
    </w:p>
    <w:tbl>
      <w:tblPr>
        <w:bidiVisual/>
        <w:tblW w:w="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748"/>
        <w:gridCol w:w="748"/>
        <w:gridCol w:w="747"/>
        <w:gridCol w:w="898"/>
        <w:gridCol w:w="950"/>
      </w:tblGrid>
      <w:tr w:rsidR="00D5043C" w:rsidRPr="005D41E3" w14:paraId="15B7C631" w14:textId="77777777" w:rsidTr="005D41E3">
        <w:trPr>
          <w:trHeight w:hRule="exact" w:val="389"/>
          <w:jc w:val="center"/>
        </w:trPr>
        <w:tc>
          <w:tcPr>
            <w:tcW w:w="1287" w:type="dxa"/>
            <w:vAlign w:val="center"/>
          </w:tcPr>
          <w:p w14:paraId="233C68DE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748" w:type="dxa"/>
            <w:vAlign w:val="center"/>
          </w:tcPr>
          <w:p w14:paraId="5F8FD6E7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48" w:type="dxa"/>
            <w:vAlign w:val="center"/>
          </w:tcPr>
          <w:p w14:paraId="2C3435FC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47" w:type="dxa"/>
            <w:vAlign w:val="center"/>
          </w:tcPr>
          <w:p w14:paraId="6A07C4C2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98" w:type="dxa"/>
            <w:vAlign w:val="center"/>
          </w:tcPr>
          <w:p w14:paraId="471439DE" w14:textId="77777777" w:rsidR="00D5043C" w:rsidRPr="005D41E3" w:rsidRDefault="00B45F5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 w:rsidR="00D5043C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50" w:type="dxa"/>
            <w:vAlign w:val="center"/>
          </w:tcPr>
          <w:p w14:paraId="6DFCC8FF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2024</w:t>
            </w:r>
          </w:p>
        </w:tc>
      </w:tr>
      <w:tr w:rsidR="006264EE" w:rsidRPr="005D41E3" w14:paraId="394E12A7" w14:textId="77777777" w:rsidTr="005D41E3">
        <w:trPr>
          <w:trHeight w:hRule="exact" w:val="389"/>
          <w:jc w:val="center"/>
        </w:trPr>
        <w:tc>
          <w:tcPr>
            <w:tcW w:w="1287" w:type="dxa"/>
          </w:tcPr>
          <w:p w14:paraId="463AFA7A" w14:textId="77777777" w:rsidR="006264EE" w:rsidRPr="005D41E3" w:rsidRDefault="006264EE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748" w:type="dxa"/>
            <w:vAlign w:val="center"/>
          </w:tcPr>
          <w:p w14:paraId="5FA7E865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14:paraId="478B4EDF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7" w:type="dxa"/>
            <w:vAlign w:val="center"/>
          </w:tcPr>
          <w:p w14:paraId="465D953B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8" w:type="dxa"/>
            <w:vAlign w:val="center"/>
          </w:tcPr>
          <w:p w14:paraId="0F32D892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0" w:type="dxa"/>
            <w:vAlign w:val="center"/>
          </w:tcPr>
          <w:p w14:paraId="2CAB0E3D" w14:textId="77777777" w:rsidR="006264EE" w:rsidRPr="005D41E3" w:rsidRDefault="006264EE" w:rsidP="004F7FA6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</w:p>
        </w:tc>
      </w:tr>
      <w:tr w:rsidR="006264EE" w:rsidRPr="005D41E3" w14:paraId="52EDD70A" w14:textId="77777777" w:rsidTr="005D41E3">
        <w:trPr>
          <w:trHeight w:hRule="exact" w:val="389"/>
          <w:jc w:val="center"/>
        </w:trPr>
        <w:tc>
          <w:tcPr>
            <w:tcW w:w="1287" w:type="dxa"/>
          </w:tcPr>
          <w:p w14:paraId="032E5801" w14:textId="264009BD" w:rsidR="006264EE" w:rsidRPr="005D41E3" w:rsidRDefault="006264EE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الضفة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الغربية</w:t>
            </w:r>
          </w:p>
        </w:tc>
        <w:tc>
          <w:tcPr>
            <w:tcW w:w="748" w:type="dxa"/>
            <w:vAlign w:val="center"/>
          </w:tcPr>
          <w:p w14:paraId="23F2CED8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8" w:type="dxa"/>
            <w:vAlign w:val="center"/>
          </w:tcPr>
          <w:p w14:paraId="34F5FBF4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7" w:type="dxa"/>
            <w:vAlign w:val="center"/>
          </w:tcPr>
          <w:p w14:paraId="5BCF950F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dxa"/>
            <w:vAlign w:val="center"/>
          </w:tcPr>
          <w:p w14:paraId="45963CFC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0" w:type="dxa"/>
            <w:vAlign w:val="center"/>
          </w:tcPr>
          <w:p w14:paraId="2FAE75E6" w14:textId="77777777" w:rsidR="006264EE" w:rsidRPr="005D41E3" w:rsidRDefault="003D77A0" w:rsidP="004F7FA6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15</w:t>
            </w:r>
          </w:p>
        </w:tc>
      </w:tr>
      <w:tr w:rsidR="006264EE" w:rsidRPr="005D41E3" w14:paraId="18AB7C00" w14:textId="77777777" w:rsidTr="005D41E3">
        <w:trPr>
          <w:trHeight w:hRule="exact" w:val="389"/>
          <w:jc w:val="center"/>
        </w:trPr>
        <w:tc>
          <w:tcPr>
            <w:tcW w:w="1287" w:type="dxa"/>
          </w:tcPr>
          <w:p w14:paraId="095F7659" w14:textId="1A7AD955" w:rsidR="006264EE" w:rsidRPr="005D41E3" w:rsidRDefault="006264EE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قطاع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غزة</w:t>
            </w:r>
          </w:p>
        </w:tc>
        <w:tc>
          <w:tcPr>
            <w:tcW w:w="748" w:type="dxa"/>
            <w:vAlign w:val="center"/>
          </w:tcPr>
          <w:p w14:paraId="2E4BF466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8" w:type="dxa"/>
            <w:vAlign w:val="center"/>
          </w:tcPr>
          <w:p w14:paraId="32EBAC25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7" w:type="dxa"/>
            <w:vAlign w:val="center"/>
          </w:tcPr>
          <w:p w14:paraId="1637DF09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" w:type="dxa"/>
            <w:vAlign w:val="center"/>
          </w:tcPr>
          <w:p w14:paraId="78741CB4" w14:textId="77777777" w:rsidR="006264EE" w:rsidRPr="005D41E3" w:rsidRDefault="006264EE" w:rsidP="004F7FA6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0" w:type="dxa"/>
            <w:vAlign w:val="center"/>
          </w:tcPr>
          <w:p w14:paraId="197E2DB0" w14:textId="77777777" w:rsidR="006264EE" w:rsidRPr="005D41E3" w:rsidRDefault="006264EE" w:rsidP="004F7FA6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..</w:t>
            </w:r>
          </w:p>
        </w:tc>
      </w:tr>
    </w:tbl>
    <w:p w14:paraId="05C0D549" w14:textId="5CFC14FF" w:rsidR="00B45F57" w:rsidRDefault="00B45F57" w:rsidP="00B45F57">
      <w:pPr>
        <w:pStyle w:val="BodyText"/>
        <w:jc w:val="both"/>
        <w:rPr>
          <w:b w:val="0"/>
          <w:bCs w:val="0"/>
          <w:sz w:val="18"/>
          <w:szCs w:val="18"/>
          <w:rtl/>
        </w:rPr>
      </w:pPr>
      <w:r w:rsidRPr="00813786">
        <w:rPr>
          <w:rFonts w:hint="cs"/>
          <w:b w:val="0"/>
          <w:bCs w:val="0"/>
          <w:sz w:val="18"/>
          <w:szCs w:val="18"/>
          <w:rtl/>
        </w:rPr>
        <w:t>*: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بيانات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قطاع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غزة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لا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تشمل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فترة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العدوان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الإسرائيلي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 w:rsidRPr="00813786">
        <w:rPr>
          <w:rFonts w:hint="cs"/>
          <w:b w:val="0"/>
          <w:bCs w:val="0"/>
          <w:sz w:val="18"/>
          <w:szCs w:val="18"/>
          <w:rtl/>
        </w:rPr>
        <w:t>على</w:t>
      </w:r>
      <w:r w:rsidR="00055EFB">
        <w:rPr>
          <w:rFonts w:hint="cs"/>
          <w:b w:val="0"/>
          <w:bCs w:val="0"/>
          <w:sz w:val="18"/>
          <w:szCs w:val="18"/>
          <w:rtl/>
        </w:rPr>
        <w:t xml:space="preserve"> </w:t>
      </w:r>
      <w:r>
        <w:rPr>
          <w:rFonts w:hint="cs"/>
          <w:b w:val="0"/>
          <w:bCs w:val="0"/>
          <w:sz w:val="18"/>
          <w:szCs w:val="18"/>
          <w:rtl/>
        </w:rPr>
        <w:t>القطاع</w:t>
      </w:r>
      <w:r w:rsidRPr="00813786">
        <w:rPr>
          <w:rFonts w:hint="cs"/>
          <w:b w:val="0"/>
          <w:bCs w:val="0"/>
          <w:sz w:val="18"/>
          <w:szCs w:val="18"/>
          <w:rtl/>
        </w:rPr>
        <w:t>.</w:t>
      </w:r>
    </w:p>
    <w:p w14:paraId="653D75E8" w14:textId="77777777" w:rsidR="00EB46DD" w:rsidRPr="00AF2B4D" w:rsidRDefault="00EB46DD" w:rsidP="00EB46DD">
      <w:pPr>
        <w:pStyle w:val="BodyText"/>
        <w:rPr>
          <w:color w:val="FF0000"/>
          <w:sz w:val="12"/>
          <w:szCs w:val="12"/>
          <w:rtl/>
        </w:rPr>
      </w:pPr>
    </w:p>
    <w:p w14:paraId="3F9853D9" w14:textId="6BCA7B7D" w:rsidR="0008497B" w:rsidRPr="005D41E3" w:rsidRDefault="00D25B64" w:rsidP="006D5961">
      <w:pPr>
        <w:bidi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  <w:r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عرضت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C0557" w:rsidRPr="005D41E3">
        <w:rPr>
          <w:rFonts w:ascii="Simplified Arabic" w:hAnsi="Simplified Arabic" w:cs="Simplified Arabic"/>
          <w:color w:val="000000" w:themeColor="text1"/>
          <w:sz w:val="26"/>
          <w:szCs w:val="26"/>
        </w:rPr>
        <w:t>159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مسرحية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525BF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مسارح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BB4E42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الضفة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B4E42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الغربية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عام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D5961" w:rsidRPr="005D41E3">
        <w:rPr>
          <w:rFonts w:ascii="Simplified Arabic" w:hAnsi="Simplified Arabic" w:cs="Simplified Arabic"/>
          <w:color w:val="000000" w:themeColor="text1"/>
          <w:sz w:val="26"/>
          <w:szCs w:val="26"/>
        </w:rPr>
        <w:t>2024</w:t>
      </w:r>
      <w:r w:rsidR="006D596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D596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منها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C0557" w:rsidRPr="005D41E3">
        <w:rPr>
          <w:rFonts w:ascii="Simplified Arabic" w:hAnsi="Simplified Arabic" w:cs="Simplified Arabic"/>
          <w:color w:val="000000" w:themeColor="text1"/>
          <w:sz w:val="26"/>
          <w:szCs w:val="26"/>
        </w:rPr>
        <w:t>98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F2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مسرحية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A3F2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للأطفال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F85C03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</w:t>
      </w:r>
      <w:r w:rsidR="002F4750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11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A3F2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مسرح</w:t>
      </w:r>
      <w:r w:rsidR="00BB4E42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ية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عرضت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</w:t>
      </w:r>
      <w:r w:rsidR="005A3F2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لكبار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حين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A3F2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أن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C0557" w:rsidRPr="005D41E3">
        <w:rPr>
          <w:rFonts w:ascii="Simplified Arabic" w:hAnsi="Simplified Arabic" w:cs="Simplified Arabic"/>
          <w:color w:val="000000" w:themeColor="text1"/>
          <w:sz w:val="26"/>
          <w:szCs w:val="26"/>
        </w:rPr>
        <w:t>50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A3F21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مسرحية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عرضت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</w:t>
      </w:r>
      <w:r w:rsidR="0008497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أطفال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والكبار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5D79C8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معاً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أما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بخصوص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71203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عدد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المشاهدين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للمسرحيات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فقد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01914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عددهم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B524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19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ألف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مشاهد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A2405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ومشاهدة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وقد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أعلى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للمشاهدين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325FA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</w:t>
      </w:r>
      <w:r w:rsidR="007325FA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ثاني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حيث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عددهم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حوالي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6B524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86522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آلاف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مشاهد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325FA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ومشاهدة</w:t>
      </w:r>
      <w:r w:rsidR="0008497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38058A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8058A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حين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A2405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أدنى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عدد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للمشاهدين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في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شهر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9901EA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</w:t>
      </w:r>
      <w:r w:rsidR="009901EA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ثاني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حيث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بلغ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B524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140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657C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مشاهد</w:t>
      </w:r>
      <w:r w:rsidR="00EB46D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اً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A2405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ومشاهدة</w:t>
      </w:r>
      <w:r w:rsidR="00055EFB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B524D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فقط</w:t>
      </w:r>
      <w:r w:rsidR="009868DE" w:rsidRPr="005D41E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14:paraId="3F871F8C" w14:textId="77777777" w:rsidR="00EB46DD" w:rsidRPr="00AF2B4D" w:rsidRDefault="00EB46DD" w:rsidP="00EB46DD">
      <w:pPr>
        <w:pStyle w:val="BodyText"/>
        <w:rPr>
          <w:color w:val="FF0000"/>
          <w:sz w:val="12"/>
          <w:szCs w:val="12"/>
          <w:rtl/>
        </w:rPr>
      </w:pPr>
    </w:p>
    <w:p w14:paraId="04CF87AE" w14:textId="1F5CBB49" w:rsidR="00D5043C" w:rsidRPr="005D41E3" w:rsidRDefault="00AF4476" w:rsidP="00D5043C">
      <w:pPr>
        <w:pStyle w:val="BodyText"/>
        <w:rPr>
          <w:sz w:val="26"/>
          <w:szCs w:val="26"/>
          <w:rtl/>
        </w:rPr>
      </w:pPr>
      <w:r w:rsidRPr="005D41E3">
        <w:rPr>
          <w:rFonts w:hint="cs"/>
          <w:sz w:val="26"/>
          <w:szCs w:val="26"/>
          <w:rtl/>
        </w:rPr>
        <w:t>توزيع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Pr="005D41E3">
        <w:rPr>
          <w:sz w:val="26"/>
          <w:szCs w:val="26"/>
          <w:rtl/>
        </w:rPr>
        <w:t>المسرحيات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sz w:val="26"/>
          <w:szCs w:val="26"/>
          <w:rtl/>
        </w:rPr>
        <w:t>المعروضة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sz w:val="26"/>
          <w:szCs w:val="26"/>
          <w:rtl/>
        </w:rPr>
        <w:t>في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sz w:val="26"/>
          <w:szCs w:val="26"/>
          <w:rtl/>
        </w:rPr>
        <w:t>المسارح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sz w:val="26"/>
          <w:szCs w:val="26"/>
          <w:rtl/>
        </w:rPr>
        <w:t>العاملة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sz w:val="26"/>
          <w:szCs w:val="26"/>
          <w:rtl/>
        </w:rPr>
        <w:t>في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sz w:val="26"/>
          <w:szCs w:val="26"/>
          <w:rtl/>
        </w:rPr>
        <w:t>فلسطين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sz w:val="26"/>
          <w:szCs w:val="26"/>
          <w:rtl/>
        </w:rPr>
        <w:t>حسب</w:t>
      </w:r>
      <w:r w:rsidR="00055EFB" w:rsidRPr="005D41E3">
        <w:rPr>
          <w:sz w:val="26"/>
          <w:szCs w:val="26"/>
          <w:rtl/>
        </w:rPr>
        <w:t xml:space="preserve"> </w:t>
      </w:r>
      <w:r w:rsidR="00D5043C" w:rsidRPr="005D41E3">
        <w:rPr>
          <w:rFonts w:hint="cs"/>
          <w:sz w:val="26"/>
          <w:szCs w:val="26"/>
          <w:rtl/>
        </w:rPr>
        <w:t>المنطقة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D5043C" w:rsidRPr="005D41E3">
        <w:rPr>
          <w:rFonts w:hint="cs"/>
          <w:sz w:val="26"/>
          <w:szCs w:val="26"/>
          <w:rtl/>
        </w:rPr>
        <w:t>لأعوام</w:t>
      </w:r>
      <w:r w:rsidR="00055EFB" w:rsidRPr="005D41E3">
        <w:rPr>
          <w:rFonts w:hint="cs"/>
          <w:sz w:val="26"/>
          <w:szCs w:val="26"/>
          <w:rtl/>
        </w:rPr>
        <w:t xml:space="preserve"> </w:t>
      </w:r>
      <w:r w:rsidR="00D5043C" w:rsidRPr="005D41E3">
        <w:rPr>
          <w:rFonts w:hint="cs"/>
          <w:sz w:val="26"/>
          <w:szCs w:val="26"/>
          <w:rtl/>
        </w:rPr>
        <w:t>مختارة</w:t>
      </w:r>
    </w:p>
    <w:tbl>
      <w:tblPr>
        <w:bidiVisual/>
        <w:tblW w:w="5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750"/>
        <w:gridCol w:w="750"/>
        <w:gridCol w:w="749"/>
        <w:gridCol w:w="870"/>
        <w:gridCol w:w="718"/>
      </w:tblGrid>
      <w:tr w:rsidR="00D5043C" w:rsidRPr="005D41E3" w14:paraId="68916D82" w14:textId="77777777" w:rsidTr="005D41E3">
        <w:trPr>
          <w:trHeight w:hRule="exact" w:val="393"/>
          <w:jc w:val="center"/>
        </w:trPr>
        <w:tc>
          <w:tcPr>
            <w:tcW w:w="1304" w:type="dxa"/>
            <w:vAlign w:val="center"/>
          </w:tcPr>
          <w:p w14:paraId="2894DEBA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750" w:type="dxa"/>
            <w:vAlign w:val="center"/>
          </w:tcPr>
          <w:p w14:paraId="7231481B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50" w:type="dxa"/>
            <w:vAlign w:val="center"/>
          </w:tcPr>
          <w:p w14:paraId="67A81909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49" w:type="dxa"/>
            <w:vAlign w:val="center"/>
          </w:tcPr>
          <w:p w14:paraId="36D55765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0" w:type="dxa"/>
            <w:vAlign w:val="center"/>
          </w:tcPr>
          <w:p w14:paraId="31869176" w14:textId="77777777" w:rsidR="00D5043C" w:rsidRPr="005D41E3" w:rsidRDefault="001405B7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 w:rsidR="00D5043C"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18" w:type="dxa"/>
            <w:vAlign w:val="center"/>
          </w:tcPr>
          <w:p w14:paraId="1287388E" w14:textId="77777777" w:rsidR="00D5043C" w:rsidRPr="005D41E3" w:rsidRDefault="00D5043C" w:rsidP="002842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2024</w:t>
            </w:r>
          </w:p>
        </w:tc>
      </w:tr>
      <w:tr w:rsidR="00D5043C" w:rsidRPr="005D41E3" w14:paraId="5F1B5F92" w14:textId="77777777" w:rsidTr="005D41E3">
        <w:trPr>
          <w:trHeight w:hRule="exact" w:val="393"/>
          <w:jc w:val="center"/>
        </w:trPr>
        <w:tc>
          <w:tcPr>
            <w:tcW w:w="1304" w:type="dxa"/>
          </w:tcPr>
          <w:p w14:paraId="2E2310D5" w14:textId="77777777" w:rsidR="00D5043C" w:rsidRPr="005D41E3" w:rsidRDefault="00D5043C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فلسطين</w:t>
            </w:r>
          </w:p>
        </w:tc>
        <w:tc>
          <w:tcPr>
            <w:tcW w:w="750" w:type="dxa"/>
            <w:vAlign w:val="center"/>
          </w:tcPr>
          <w:p w14:paraId="124997D8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750" w:type="dxa"/>
            <w:vAlign w:val="center"/>
          </w:tcPr>
          <w:p w14:paraId="2C52F27E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749" w:type="dxa"/>
            <w:vAlign w:val="center"/>
          </w:tcPr>
          <w:p w14:paraId="052D8805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870" w:type="dxa"/>
            <w:vAlign w:val="center"/>
          </w:tcPr>
          <w:p w14:paraId="3EC7DCCB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718" w:type="dxa"/>
            <w:vAlign w:val="center"/>
          </w:tcPr>
          <w:p w14:paraId="146E1B56" w14:textId="77777777" w:rsidR="00D5043C" w:rsidRPr="005D41E3" w:rsidRDefault="00D5043C" w:rsidP="00D6640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</w:p>
        </w:tc>
      </w:tr>
      <w:tr w:rsidR="00D5043C" w:rsidRPr="005D41E3" w14:paraId="664895E3" w14:textId="77777777" w:rsidTr="005D41E3">
        <w:trPr>
          <w:trHeight w:hRule="exact" w:val="393"/>
          <w:jc w:val="center"/>
        </w:trPr>
        <w:tc>
          <w:tcPr>
            <w:tcW w:w="1304" w:type="dxa"/>
          </w:tcPr>
          <w:p w14:paraId="382E601F" w14:textId="2A123304" w:rsidR="00D5043C" w:rsidRPr="005D41E3" w:rsidRDefault="00D5043C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الضفة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الغربية</w:t>
            </w:r>
          </w:p>
        </w:tc>
        <w:tc>
          <w:tcPr>
            <w:tcW w:w="750" w:type="dxa"/>
            <w:vAlign w:val="center"/>
          </w:tcPr>
          <w:p w14:paraId="662A574E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92</w:t>
            </w:r>
          </w:p>
        </w:tc>
        <w:tc>
          <w:tcPr>
            <w:tcW w:w="750" w:type="dxa"/>
            <w:vAlign w:val="center"/>
          </w:tcPr>
          <w:p w14:paraId="01644792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367</w:t>
            </w:r>
          </w:p>
        </w:tc>
        <w:tc>
          <w:tcPr>
            <w:tcW w:w="749" w:type="dxa"/>
            <w:vAlign w:val="center"/>
          </w:tcPr>
          <w:p w14:paraId="7F1A65A8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346</w:t>
            </w:r>
          </w:p>
        </w:tc>
        <w:tc>
          <w:tcPr>
            <w:tcW w:w="870" w:type="dxa"/>
            <w:vAlign w:val="center"/>
          </w:tcPr>
          <w:p w14:paraId="32BAD206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342</w:t>
            </w:r>
          </w:p>
        </w:tc>
        <w:tc>
          <w:tcPr>
            <w:tcW w:w="718" w:type="dxa"/>
            <w:vAlign w:val="center"/>
          </w:tcPr>
          <w:p w14:paraId="4417F616" w14:textId="77777777" w:rsidR="00D5043C" w:rsidRPr="005D41E3" w:rsidRDefault="004F6931" w:rsidP="00D66404">
            <w:pPr>
              <w:bidi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159</w:t>
            </w:r>
          </w:p>
        </w:tc>
      </w:tr>
      <w:tr w:rsidR="00D5043C" w:rsidRPr="005D41E3" w14:paraId="0E447FC9" w14:textId="77777777" w:rsidTr="005D41E3">
        <w:trPr>
          <w:trHeight w:hRule="exact" w:val="393"/>
          <w:jc w:val="center"/>
        </w:trPr>
        <w:tc>
          <w:tcPr>
            <w:tcW w:w="1304" w:type="dxa"/>
          </w:tcPr>
          <w:p w14:paraId="09AB14E3" w14:textId="703500FD" w:rsidR="00D5043C" w:rsidRPr="005D41E3" w:rsidRDefault="00D5043C" w:rsidP="0028422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قطاع</w:t>
            </w:r>
            <w:r w:rsidR="00055EFB"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D41E3">
              <w:rPr>
                <w:rFonts w:asciiTheme="majorBidi" w:hAnsiTheme="majorBidi" w:cstheme="majorBidi"/>
                <w:sz w:val="24"/>
                <w:szCs w:val="24"/>
                <w:rtl/>
              </w:rPr>
              <w:t>غزة</w:t>
            </w:r>
          </w:p>
        </w:tc>
        <w:tc>
          <w:tcPr>
            <w:tcW w:w="750" w:type="dxa"/>
            <w:vAlign w:val="center"/>
          </w:tcPr>
          <w:p w14:paraId="034CFFC4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14:paraId="3BFCB7A1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49" w:type="dxa"/>
            <w:vAlign w:val="center"/>
          </w:tcPr>
          <w:p w14:paraId="691D6285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 w14:paraId="275980A7" w14:textId="77777777" w:rsidR="00D5043C" w:rsidRPr="005D41E3" w:rsidRDefault="00637305" w:rsidP="00D664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18" w:type="dxa"/>
            <w:vAlign w:val="center"/>
          </w:tcPr>
          <w:p w14:paraId="2FA95592" w14:textId="77777777" w:rsidR="00D5043C" w:rsidRPr="005D41E3" w:rsidRDefault="00D5043C" w:rsidP="00D6640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5D41E3">
              <w:rPr>
                <w:rFonts w:asciiTheme="majorBidi" w:hAnsiTheme="majorBidi" w:cstheme="majorBidi"/>
                <w:sz w:val="24"/>
                <w:szCs w:val="24"/>
              </w:rPr>
              <w:t>..</w:t>
            </w:r>
          </w:p>
        </w:tc>
      </w:tr>
    </w:tbl>
    <w:p w14:paraId="74E6E8E8" w14:textId="51F04ED0" w:rsidR="001405B7" w:rsidRPr="005D41E3" w:rsidRDefault="001405B7" w:rsidP="001405B7">
      <w:pPr>
        <w:pStyle w:val="BodyText"/>
        <w:jc w:val="both"/>
        <w:rPr>
          <w:b w:val="0"/>
          <w:bCs w:val="0"/>
          <w:sz w:val="20"/>
          <w:szCs w:val="20"/>
          <w:rtl/>
        </w:rPr>
      </w:pPr>
      <w:r w:rsidRPr="005D41E3">
        <w:rPr>
          <w:rFonts w:hint="cs"/>
          <w:b w:val="0"/>
          <w:bCs w:val="0"/>
          <w:sz w:val="20"/>
          <w:szCs w:val="20"/>
          <w:rtl/>
        </w:rPr>
        <w:t>*: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البيانات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تشمل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المسرحيات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المعروضة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في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مسارح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قطاع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غزة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للنصف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الأول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من</w:t>
      </w:r>
      <w:r w:rsidR="00055EFB" w:rsidRPr="005D41E3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5D41E3">
        <w:rPr>
          <w:rFonts w:hint="cs"/>
          <w:b w:val="0"/>
          <w:bCs w:val="0"/>
          <w:sz w:val="20"/>
          <w:szCs w:val="20"/>
          <w:rtl/>
        </w:rPr>
        <w:t>العام</w:t>
      </w:r>
      <w:r w:rsidR="00EB46DD" w:rsidRPr="005D41E3">
        <w:rPr>
          <w:rFonts w:hint="cs"/>
          <w:b w:val="0"/>
          <w:bCs w:val="0"/>
          <w:sz w:val="20"/>
          <w:szCs w:val="20"/>
          <w:rtl/>
        </w:rPr>
        <w:t>.</w:t>
      </w:r>
    </w:p>
    <w:p w14:paraId="5981F089" w14:textId="77777777" w:rsidR="005A0F99" w:rsidRPr="00856AB5" w:rsidRDefault="005A0F99" w:rsidP="005A0F99">
      <w:pPr>
        <w:bidi/>
        <w:jc w:val="both"/>
        <w:rPr>
          <w:rFonts w:ascii="Calibri" w:hAnsi="Calibri" w:cs="Calibri"/>
          <w:color w:val="FF0000"/>
          <w:sz w:val="12"/>
          <w:szCs w:val="12"/>
          <w:rtl/>
        </w:rPr>
      </w:pPr>
    </w:p>
    <w:p w14:paraId="43339335" w14:textId="4096C1A4" w:rsidR="00B87E2B" w:rsidRDefault="00B87E2B" w:rsidP="00B87E2B">
      <w:pPr>
        <w:bidi/>
        <w:jc w:val="both"/>
        <w:rPr>
          <w:rFonts w:cs="Simplified Arabic"/>
          <w:b/>
          <w:bCs/>
          <w:sz w:val="19"/>
          <w:szCs w:val="19"/>
          <w:rtl/>
        </w:rPr>
      </w:pPr>
    </w:p>
    <w:p w14:paraId="5D029ADB" w14:textId="77777777" w:rsidR="005D41E3" w:rsidRDefault="005D41E3" w:rsidP="00B87E2B">
      <w:pPr>
        <w:bidi/>
        <w:jc w:val="both"/>
        <w:rPr>
          <w:rFonts w:cs="Simplified Arabic"/>
          <w:b/>
          <w:bCs/>
          <w:sz w:val="24"/>
          <w:szCs w:val="24"/>
          <w:rtl/>
        </w:rPr>
      </w:pPr>
    </w:p>
    <w:p w14:paraId="1A8A46F6" w14:textId="77777777" w:rsidR="005D41E3" w:rsidRDefault="005D41E3" w:rsidP="005D41E3">
      <w:pPr>
        <w:bidi/>
        <w:jc w:val="both"/>
        <w:rPr>
          <w:rFonts w:cs="Simplified Arabic"/>
          <w:b/>
          <w:bCs/>
          <w:sz w:val="24"/>
          <w:szCs w:val="24"/>
          <w:rtl/>
        </w:rPr>
      </w:pPr>
    </w:p>
    <w:p w14:paraId="68F5931B" w14:textId="47FB9B86" w:rsidR="00681F50" w:rsidRPr="005D41E3" w:rsidRDefault="00681F50" w:rsidP="005D41E3">
      <w:pPr>
        <w:bidi/>
        <w:jc w:val="both"/>
        <w:rPr>
          <w:rFonts w:cs="Simplified Arabic"/>
          <w:b/>
          <w:bCs/>
          <w:sz w:val="24"/>
          <w:szCs w:val="24"/>
          <w:rtl/>
        </w:rPr>
      </w:pPr>
      <w:r w:rsidRPr="005D41E3">
        <w:rPr>
          <w:rFonts w:cs="Simplified Arabic" w:hint="cs"/>
          <w:b/>
          <w:bCs/>
          <w:sz w:val="24"/>
          <w:szCs w:val="24"/>
          <w:rtl/>
        </w:rPr>
        <w:t>تنويه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5D41E3">
        <w:rPr>
          <w:rFonts w:cs="Simplified Arabic" w:hint="cs"/>
          <w:b/>
          <w:bCs/>
          <w:sz w:val="24"/>
          <w:szCs w:val="24"/>
          <w:rtl/>
        </w:rPr>
        <w:t>للمستخدمين:</w:t>
      </w:r>
    </w:p>
    <w:p w14:paraId="79E6F77D" w14:textId="3B0CB749" w:rsidR="00EB46DD" w:rsidRPr="005D41E3" w:rsidRDefault="00EB46DD" w:rsidP="00B87E2B">
      <w:pPr>
        <w:bidi/>
        <w:jc w:val="both"/>
        <w:rPr>
          <w:rFonts w:cs="Simplified Arabic"/>
          <w:sz w:val="24"/>
          <w:szCs w:val="24"/>
          <w:rtl/>
        </w:rPr>
      </w:pPr>
      <w:r w:rsidRPr="005D41E3">
        <w:rPr>
          <w:rFonts w:cs="Simplified Arabic" w:hint="cs"/>
          <w:sz w:val="24"/>
          <w:szCs w:val="24"/>
          <w:rtl/>
        </w:rPr>
        <w:t>الإشارة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681F50" w:rsidRPr="005D41E3">
        <w:rPr>
          <w:rFonts w:cs="Simplified Arabic" w:hint="cs"/>
          <w:sz w:val="24"/>
          <w:szCs w:val="24"/>
          <w:rtl/>
        </w:rPr>
        <w:t>(..)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681F50" w:rsidRPr="005D41E3">
        <w:rPr>
          <w:rFonts w:cs="Simplified Arabic" w:hint="cs"/>
          <w:sz w:val="24"/>
          <w:szCs w:val="24"/>
          <w:rtl/>
        </w:rPr>
        <w:t>تعني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 xml:space="preserve">أن </w:t>
      </w:r>
      <w:r w:rsidR="00681F50" w:rsidRPr="005D41E3">
        <w:rPr>
          <w:rFonts w:cs="Simplified Arabic" w:hint="cs"/>
          <w:sz w:val="24"/>
          <w:szCs w:val="24"/>
          <w:rtl/>
        </w:rPr>
        <w:t>البيانات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681F50" w:rsidRPr="005D41E3">
        <w:rPr>
          <w:rFonts w:cs="Simplified Arabic" w:hint="cs"/>
          <w:sz w:val="24"/>
          <w:szCs w:val="24"/>
          <w:rtl/>
        </w:rPr>
        <w:t>غير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681F50" w:rsidRPr="005D41E3">
        <w:rPr>
          <w:rFonts w:cs="Simplified Arabic" w:hint="cs"/>
          <w:sz w:val="24"/>
          <w:szCs w:val="24"/>
          <w:rtl/>
        </w:rPr>
        <w:t>متوفرة</w:t>
      </w:r>
      <w:r w:rsidRPr="005D41E3">
        <w:rPr>
          <w:rFonts w:cs="Simplified Arabic" w:hint="cs"/>
          <w:sz w:val="24"/>
          <w:szCs w:val="24"/>
          <w:rtl/>
        </w:rPr>
        <w:t>.</w:t>
      </w:r>
    </w:p>
    <w:p w14:paraId="67E4E7BD" w14:textId="77777777" w:rsidR="00EB46DD" w:rsidRPr="005D41E3" w:rsidRDefault="00EB46DD" w:rsidP="005D41E3">
      <w:pPr>
        <w:pStyle w:val="BodyText"/>
        <w:jc w:val="left"/>
        <w:rPr>
          <w:color w:val="FF0000"/>
          <w:sz w:val="16"/>
          <w:szCs w:val="16"/>
          <w:rtl/>
        </w:rPr>
      </w:pPr>
    </w:p>
    <w:p w14:paraId="524537B4" w14:textId="77777777" w:rsidR="00A03156" w:rsidRPr="005D41E3" w:rsidRDefault="00A03156" w:rsidP="00681F50">
      <w:pPr>
        <w:bidi/>
        <w:jc w:val="both"/>
        <w:rPr>
          <w:rFonts w:cs="Simplified Arabic"/>
          <w:b/>
          <w:bCs/>
          <w:sz w:val="24"/>
          <w:szCs w:val="24"/>
          <w:rtl/>
        </w:rPr>
      </w:pPr>
      <w:r w:rsidRPr="005D41E3">
        <w:rPr>
          <w:rFonts w:cs="Simplified Arabic" w:hint="cs"/>
          <w:b/>
          <w:bCs/>
          <w:sz w:val="24"/>
          <w:szCs w:val="24"/>
          <w:rtl/>
        </w:rPr>
        <w:t>المص</w:t>
      </w:r>
      <w:r w:rsidR="005A0F99" w:rsidRPr="005D41E3">
        <w:rPr>
          <w:rFonts w:cs="Simplified Arabic" w:hint="cs"/>
          <w:b/>
          <w:bCs/>
          <w:sz w:val="24"/>
          <w:szCs w:val="24"/>
          <w:rtl/>
          <w:lang w:bidi="ar-JO"/>
        </w:rPr>
        <w:t>ادر</w:t>
      </w:r>
      <w:r w:rsidR="005A0F99" w:rsidRPr="005D41E3">
        <w:rPr>
          <w:rFonts w:cs="Simplified Arabic" w:hint="cs"/>
          <w:b/>
          <w:bCs/>
          <w:sz w:val="24"/>
          <w:szCs w:val="24"/>
          <w:rtl/>
        </w:rPr>
        <w:t>:</w:t>
      </w:r>
    </w:p>
    <w:p w14:paraId="4476C670" w14:textId="776BC7C4" w:rsidR="00A03156" w:rsidRPr="005D41E3" w:rsidRDefault="00C802BE" w:rsidP="000B17C5">
      <w:pPr>
        <w:pStyle w:val="ListParagraph"/>
        <w:numPr>
          <w:ilvl w:val="0"/>
          <w:numId w:val="11"/>
        </w:numPr>
        <w:bidi/>
        <w:ind w:left="240" w:hanging="270"/>
        <w:jc w:val="both"/>
        <w:rPr>
          <w:rFonts w:cs="Simplified Arabic"/>
          <w:b/>
          <w:bCs/>
          <w:sz w:val="24"/>
          <w:szCs w:val="24"/>
        </w:rPr>
      </w:pPr>
      <w:r w:rsidRPr="005D41E3">
        <w:rPr>
          <w:rFonts w:cs="Simplified Arabic" w:hint="cs"/>
          <w:b/>
          <w:bCs/>
          <w:sz w:val="24"/>
          <w:szCs w:val="24"/>
          <w:rtl/>
        </w:rPr>
        <w:t>الجهاز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5D41E3">
        <w:rPr>
          <w:rFonts w:cs="Simplified Arabic" w:hint="cs"/>
          <w:b/>
          <w:bCs/>
          <w:sz w:val="24"/>
          <w:szCs w:val="24"/>
          <w:rtl/>
        </w:rPr>
        <w:t>المركزي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5D41E3">
        <w:rPr>
          <w:rFonts w:cs="Simplified Arabic" w:hint="cs"/>
          <w:b/>
          <w:bCs/>
          <w:sz w:val="24"/>
          <w:szCs w:val="24"/>
          <w:rtl/>
        </w:rPr>
        <w:t>للإحصاء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5D41E3">
        <w:rPr>
          <w:rFonts w:cs="Simplified Arabic" w:hint="cs"/>
          <w:b/>
          <w:bCs/>
          <w:sz w:val="24"/>
          <w:szCs w:val="24"/>
          <w:rtl/>
        </w:rPr>
        <w:t>الفلسطيني،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0B17C5" w:rsidRPr="005D41E3">
        <w:rPr>
          <w:rFonts w:cs="Simplified Arabic" w:hint="cs"/>
          <w:b/>
          <w:bCs/>
          <w:sz w:val="24"/>
          <w:szCs w:val="24"/>
          <w:rtl/>
        </w:rPr>
        <w:t>2025</w:t>
      </w:r>
      <w:r w:rsidRPr="005D41E3">
        <w:rPr>
          <w:rFonts w:cs="Simplified Arabic" w:hint="cs"/>
          <w:b/>
          <w:bCs/>
          <w:sz w:val="24"/>
          <w:szCs w:val="24"/>
          <w:rtl/>
        </w:rPr>
        <w:t>.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قاعدة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بيانات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المسح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الشامل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للمراكز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الثقافية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والمسارح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والمتاحف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0B17C5" w:rsidRPr="005D41E3">
        <w:rPr>
          <w:rFonts w:cs="Simplified Arabic" w:hint="cs"/>
          <w:sz w:val="24"/>
          <w:szCs w:val="24"/>
          <w:rtl/>
        </w:rPr>
        <w:t>في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0B17C5" w:rsidRPr="005D41E3">
        <w:rPr>
          <w:rFonts w:cs="Simplified Arabic" w:hint="cs"/>
          <w:sz w:val="24"/>
          <w:szCs w:val="24"/>
          <w:rtl/>
        </w:rPr>
        <w:t>الضفة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0B17C5" w:rsidRPr="005D41E3">
        <w:rPr>
          <w:rFonts w:cs="Simplified Arabic" w:hint="cs"/>
          <w:sz w:val="24"/>
          <w:szCs w:val="24"/>
          <w:rtl/>
        </w:rPr>
        <w:t>الغربية</w:t>
      </w:r>
      <w:r w:rsidRPr="005D41E3">
        <w:rPr>
          <w:rFonts w:cs="Simplified Arabic" w:hint="cs"/>
          <w:sz w:val="24"/>
          <w:szCs w:val="24"/>
          <w:rtl/>
        </w:rPr>
        <w:t>،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0B17C5" w:rsidRPr="005D41E3">
        <w:rPr>
          <w:rFonts w:cs="Simplified Arabic" w:hint="cs"/>
          <w:sz w:val="24"/>
          <w:szCs w:val="24"/>
          <w:rtl/>
        </w:rPr>
        <w:t>2024</w:t>
      </w:r>
      <w:r w:rsidRPr="005D41E3">
        <w:rPr>
          <w:rFonts w:cs="Simplified Arabic" w:hint="cs"/>
          <w:sz w:val="24"/>
          <w:szCs w:val="24"/>
          <w:rtl/>
        </w:rPr>
        <w:t>.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رام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الله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175C9B" w:rsidRPr="005D41E3">
        <w:rPr>
          <w:rFonts w:cs="Simplified Arabic"/>
          <w:sz w:val="24"/>
          <w:szCs w:val="24"/>
          <w:rtl/>
        </w:rPr>
        <w:t>–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فلسطين</w:t>
      </w:r>
      <w:r w:rsidR="00E81B27" w:rsidRPr="005D41E3">
        <w:rPr>
          <w:rFonts w:cs="Simplified Arabic" w:hint="cs"/>
          <w:b/>
          <w:bCs/>
          <w:sz w:val="24"/>
          <w:szCs w:val="24"/>
          <w:rtl/>
        </w:rPr>
        <w:t>.</w:t>
      </w:r>
    </w:p>
    <w:p w14:paraId="1BA78C8F" w14:textId="712D40F5" w:rsidR="005A0F99" w:rsidRPr="005D41E3" w:rsidRDefault="005A0F99" w:rsidP="000B17C5">
      <w:pPr>
        <w:pStyle w:val="ListParagraph"/>
        <w:numPr>
          <w:ilvl w:val="0"/>
          <w:numId w:val="11"/>
        </w:numPr>
        <w:bidi/>
        <w:ind w:left="240" w:hanging="270"/>
        <w:jc w:val="both"/>
        <w:rPr>
          <w:rFonts w:cs="Simplified Arabic"/>
          <w:b/>
          <w:bCs/>
          <w:sz w:val="24"/>
          <w:szCs w:val="24"/>
        </w:rPr>
      </w:pPr>
      <w:r w:rsidRPr="005D41E3">
        <w:rPr>
          <w:rFonts w:cs="Simplified Arabic" w:hint="cs"/>
          <w:b/>
          <w:bCs/>
          <w:sz w:val="24"/>
          <w:szCs w:val="24"/>
          <w:rtl/>
        </w:rPr>
        <w:t>وزارة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5D41E3">
        <w:rPr>
          <w:rFonts w:cs="Simplified Arabic" w:hint="cs"/>
          <w:b/>
          <w:bCs/>
          <w:sz w:val="24"/>
          <w:szCs w:val="24"/>
          <w:rtl/>
        </w:rPr>
        <w:t>الثقافة،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0B17C5" w:rsidRPr="005D41E3">
        <w:rPr>
          <w:rFonts w:cs="Simplified Arabic"/>
          <w:b/>
          <w:bCs/>
          <w:sz w:val="24"/>
          <w:szCs w:val="24"/>
        </w:rPr>
        <w:t>2025</w:t>
      </w:r>
      <w:r w:rsidRPr="005D41E3">
        <w:rPr>
          <w:rFonts w:cs="Simplified Arabic" w:hint="cs"/>
          <w:b/>
          <w:bCs/>
          <w:sz w:val="24"/>
          <w:szCs w:val="24"/>
          <w:rtl/>
        </w:rPr>
        <w:t>.</w:t>
      </w:r>
      <w:r w:rsidR="00055EFB" w:rsidRPr="005D41E3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الإدارة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/>
          <w:sz w:val="24"/>
          <w:szCs w:val="24"/>
          <w:rtl/>
        </w:rPr>
        <w:t>العامة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/>
          <w:sz w:val="24"/>
          <w:szCs w:val="24"/>
          <w:rtl/>
        </w:rPr>
        <w:t>للتخطيط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وإدارة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/>
          <w:sz w:val="24"/>
          <w:szCs w:val="24"/>
          <w:rtl/>
        </w:rPr>
        <w:t>المشاريع،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/>
          <w:sz w:val="24"/>
          <w:szCs w:val="24"/>
          <w:rtl/>
        </w:rPr>
        <w:t>قاعدة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/>
          <w:sz w:val="24"/>
          <w:szCs w:val="24"/>
          <w:rtl/>
        </w:rPr>
        <w:t>بيانات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/>
          <w:sz w:val="24"/>
          <w:szCs w:val="24"/>
          <w:rtl/>
        </w:rPr>
        <w:t>السجلات</w:t>
      </w:r>
      <w:r w:rsidR="00055EFB" w:rsidRPr="005D41E3">
        <w:rPr>
          <w:rFonts w:cs="Simplified Arabic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الإدارية،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="000B17C5" w:rsidRPr="005D41E3">
        <w:rPr>
          <w:rFonts w:cs="Simplified Arabic"/>
          <w:sz w:val="24"/>
          <w:szCs w:val="24"/>
        </w:rPr>
        <w:t>2024</w:t>
      </w:r>
      <w:r w:rsidRPr="005D41E3">
        <w:rPr>
          <w:rFonts w:cs="Simplified Arabic" w:hint="cs"/>
          <w:sz w:val="24"/>
          <w:szCs w:val="24"/>
          <w:rtl/>
        </w:rPr>
        <w:t>.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رام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الله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/>
          <w:sz w:val="24"/>
          <w:szCs w:val="24"/>
          <w:rtl/>
        </w:rPr>
        <w:t>–</w:t>
      </w:r>
      <w:r w:rsidR="00055EFB" w:rsidRPr="005D41E3">
        <w:rPr>
          <w:rFonts w:cs="Simplified Arabic" w:hint="cs"/>
          <w:sz w:val="24"/>
          <w:szCs w:val="24"/>
          <w:rtl/>
        </w:rPr>
        <w:t xml:space="preserve"> </w:t>
      </w:r>
      <w:r w:rsidRPr="005D41E3">
        <w:rPr>
          <w:rFonts w:cs="Simplified Arabic" w:hint="cs"/>
          <w:sz w:val="24"/>
          <w:szCs w:val="24"/>
          <w:rtl/>
        </w:rPr>
        <w:t>فلسطين.</w:t>
      </w:r>
      <w:r w:rsidR="00055EFB" w:rsidRPr="005D41E3">
        <w:rPr>
          <w:rFonts w:cs="Simplified Arabic"/>
          <w:b/>
          <w:bCs/>
          <w:sz w:val="24"/>
          <w:szCs w:val="24"/>
          <w:rtl/>
        </w:rPr>
        <w:t xml:space="preserve"> </w:t>
      </w:r>
    </w:p>
    <w:p w14:paraId="7021F568" w14:textId="77777777" w:rsidR="00567BDF" w:rsidRPr="005D41E3" w:rsidRDefault="00567BDF" w:rsidP="00567BDF">
      <w:pPr>
        <w:bidi/>
        <w:jc w:val="both"/>
        <w:rPr>
          <w:rFonts w:cs="Simplified Arabic"/>
          <w:b/>
          <w:bCs/>
          <w:sz w:val="24"/>
          <w:szCs w:val="24"/>
        </w:rPr>
      </w:pPr>
    </w:p>
    <w:p w14:paraId="05C80393" w14:textId="77777777" w:rsidR="007B155F" w:rsidRPr="00856AB5" w:rsidRDefault="007B155F" w:rsidP="007B155F">
      <w:pPr>
        <w:bidi/>
        <w:ind w:left="-30"/>
        <w:jc w:val="both"/>
        <w:rPr>
          <w:rFonts w:cs="Simplified Arabic"/>
          <w:b/>
          <w:bCs/>
          <w:color w:val="FF0000"/>
          <w:sz w:val="12"/>
          <w:szCs w:val="12"/>
        </w:rPr>
      </w:pPr>
    </w:p>
    <w:p w14:paraId="4FC96C31" w14:textId="728F8DA3" w:rsidR="00B27367" w:rsidRPr="00B27367" w:rsidRDefault="00B27367" w:rsidP="00EB46DD">
      <w:pPr>
        <w:bidi/>
        <w:jc w:val="both"/>
        <w:rPr>
          <w:rFonts w:cs="Simplified Arabic"/>
          <w:b/>
          <w:bCs/>
          <w:sz w:val="19"/>
          <w:szCs w:val="19"/>
        </w:rPr>
      </w:pPr>
    </w:p>
    <w:sectPr w:rsidR="00B27367" w:rsidRPr="00B27367" w:rsidSect="005D41E3">
      <w:headerReference w:type="default" r:id="rId9"/>
      <w:footerReference w:type="even" r:id="rId10"/>
      <w:footerReference w:type="default" r:id="rId11"/>
      <w:endnotePr>
        <w:numFmt w:val="lowerLetter"/>
      </w:endnotePr>
      <w:pgSz w:w="11909" w:h="16834" w:code="9"/>
      <w:pgMar w:top="450" w:right="624" w:bottom="510" w:left="624" w:header="180" w:footer="56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C002D" w14:textId="77777777" w:rsidR="00785371" w:rsidRDefault="00785371">
      <w:r>
        <w:separator/>
      </w:r>
    </w:p>
  </w:endnote>
  <w:endnote w:type="continuationSeparator" w:id="0">
    <w:p w14:paraId="2B1BC737" w14:textId="77777777" w:rsidR="00785371" w:rsidRDefault="0078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AB798" w14:textId="77777777" w:rsidR="003B3EB8" w:rsidRDefault="009A57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3E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721085" w14:textId="77777777" w:rsidR="003B3EB8" w:rsidRDefault="003B3E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264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DAEF3" w14:textId="4889E926" w:rsidR="00AE2B9D" w:rsidRDefault="00AE2B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0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602EE2" w14:textId="77777777" w:rsidR="00AE2B9D" w:rsidRDefault="00AE2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AC644" w14:textId="77777777" w:rsidR="00785371" w:rsidRDefault="00785371">
      <w:r>
        <w:separator/>
      </w:r>
    </w:p>
  </w:footnote>
  <w:footnote w:type="continuationSeparator" w:id="0">
    <w:p w14:paraId="2F0FC892" w14:textId="77777777" w:rsidR="00785371" w:rsidRDefault="0078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2864F" w14:textId="77777777" w:rsidR="003B3EB8" w:rsidRDefault="003B3EB8" w:rsidP="00E60702">
    <w:pPr>
      <w:pStyle w:val="Header"/>
      <w:tabs>
        <w:tab w:val="left" w:pos="397"/>
        <w:tab w:val="center" w:pos="5103"/>
      </w:tabs>
      <w:bidi/>
      <w:rPr>
        <w:rFonts w:cs="Simplified Arabic"/>
        <w:b/>
        <w:bCs/>
        <w:rtl/>
      </w:rPr>
    </w:pPr>
    <w:r>
      <w:rPr>
        <w:rFonts w:cs="Simplified Arabic" w:hint="cs"/>
        <w:b/>
        <w:bCs/>
        <w:sz w:val="28"/>
        <w:szCs w:val="28"/>
        <w:rtl/>
      </w:rPr>
      <w:t xml:space="preserve">       </w:t>
    </w:r>
  </w:p>
  <w:p w14:paraId="564F5E6E" w14:textId="77777777" w:rsidR="003B3EB8" w:rsidRPr="00FF7478" w:rsidRDefault="003B3EB8" w:rsidP="00E60702">
    <w:pPr>
      <w:pStyle w:val="Header"/>
      <w:tabs>
        <w:tab w:val="clear" w:pos="8306"/>
        <w:tab w:val="left" w:pos="397"/>
        <w:tab w:val="center" w:pos="5103"/>
        <w:tab w:val="left" w:pos="7795"/>
      </w:tabs>
      <w:bidi/>
      <w:ind w:right="-426"/>
      <w:rPr>
        <w:rFonts w:cs="Simplified Arabic"/>
        <w:b/>
        <w:bCs/>
        <w:sz w:val="6"/>
        <w:szCs w:val="6"/>
        <w:rtl/>
      </w:rPr>
    </w:pPr>
    <w:r w:rsidRPr="00FF7478">
      <w:rPr>
        <w:rFonts w:cs="Simplified Arabic"/>
        <w:b/>
        <w:bCs/>
        <w:sz w:val="24"/>
        <w:szCs w:val="24"/>
        <w:rtl/>
      </w:rPr>
      <w:tab/>
    </w:r>
    <w:r w:rsidRPr="00FF7478">
      <w:rPr>
        <w:rFonts w:cs="Simplified Arabic"/>
        <w:b/>
        <w:bCs/>
        <w:sz w:val="24"/>
        <w:szCs w:val="24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B9B"/>
    <w:multiLevelType w:val="hybridMultilevel"/>
    <w:tmpl w:val="ADB0E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77A5B99"/>
    <w:multiLevelType w:val="hybridMultilevel"/>
    <w:tmpl w:val="3ECC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08F9"/>
    <w:multiLevelType w:val="hybridMultilevel"/>
    <w:tmpl w:val="BADE858A"/>
    <w:lvl w:ilvl="0" w:tplc="80F6FD6C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color w:val="auto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22AA0F0E"/>
    <w:multiLevelType w:val="hybridMultilevel"/>
    <w:tmpl w:val="990001FE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4" w15:restartNumberingAfterBreak="0">
    <w:nsid w:val="275110AE"/>
    <w:multiLevelType w:val="hybridMultilevel"/>
    <w:tmpl w:val="9192F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62CC"/>
    <w:multiLevelType w:val="hybridMultilevel"/>
    <w:tmpl w:val="FD3EC5A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58F87AD8"/>
    <w:multiLevelType w:val="hybridMultilevel"/>
    <w:tmpl w:val="E63C509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60C079FC"/>
    <w:multiLevelType w:val="hybridMultilevel"/>
    <w:tmpl w:val="099AB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63DB2263"/>
    <w:multiLevelType w:val="hybridMultilevel"/>
    <w:tmpl w:val="1A8CEA94"/>
    <w:lvl w:ilvl="0" w:tplc="DDC21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C39D8"/>
    <w:multiLevelType w:val="hybridMultilevel"/>
    <w:tmpl w:val="AAC8636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abstractNum w:abstractNumId="10" w15:restartNumberingAfterBreak="0">
    <w:nsid w:val="7ED20902"/>
    <w:multiLevelType w:val="hybridMultilevel"/>
    <w:tmpl w:val="7B503B02"/>
    <w:lvl w:ilvl="0" w:tplc="04090001">
      <w:start w:val="1"/>
      <w:numFmt w:val="bullet"/>
      <w:lvlText w:val=""/>
      <w:lvlJc w:val="left"/>
      <w:pPr>
        <w:tabs>
          <w:tab w:val="num" w:pos="719"/>
        </w:tabs>
        <w:ind w:left="719" w:righ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right="14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righ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righ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right="35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righ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righ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right="57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righ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5"/>
    <w:rsid w:val="000006CC"/>
    <w:rsid w:val="000014BF"/>
    <w:rsid w:val="00004592"/>
    <w:rsid w:val="00007961"/>
    <w:rsid w:val="00010DEA"/>
    <w:rsid w:val="0001293E"/>
    <w:rsid w:val="000155AC"/>
    <w:rsid w:val="000160C6"/>
    <w:rsid w:val="000173A0"/>
    <w:rsid w:val="00021CA0"/>
    <w:rsid w:val="00021FB1"/>
    <w:rsid w:val="00024B89"/>
    <w:rsid w:val="00024DC4"/>
    <w:rsid w:val="000256AE"/>
    <w:rsid w:val="000309B2"/>
    <w:rsid w:val="000325A5"/>
    <w:rsid w:val="00032EB5"/>
    <w:rsid w:val="000372E4"/>
    <w:rsid w:val="00037F3F"/>
    <w:rsid w:val="00040345"/>
    <w:rsid w:val="00042C5D"/>
    <w:rsid w:val="000437CE"/>
    <w:rsid w:val="00043A42"/>
    <w:rsid w:val="0004416E"/>
    <w:rsid w:val="00044FB1"/>
    <w:rsid w:val="00050F7A"/>
    <w:rsid w:val="00052713"/>
    <w:rsid w:val="00055750"/>
    <w:rsid w:val="00055EFB"/>
    <w:rsid w:val="00055F5D"/>
    <w:rsid w:val="00060396"/>
    <w:rsid w:val="00061CA6"/>
    <w:rsid w:val="00061E46"/>
    <w:rsid w:val="00061E57"/>
    <w:rsid w:val="00061F84"/>
    <w:rsid w:val="00063D6B"/>
    <w:rsid w:val="000644A2"/>
    <w:rsid w:val="00067B8F"/>
    <w:rsid w:val="00072429"/>
    <w:rsid w:val="000738E4"/>
    <w:rsid w:val="00080996"/>
    <w:rsid w:val="00082322"/>
    <w:rsid w:val="00082B83"/>
    <w:rsid w:val="000831D4"/>
    <w:rsid w:val="00084654"/>
    <w:rsid w:val="0008497B"/>
    <w:rsid w:val="00085502"/>
    <w:rsid w:val="00086825"/>
    <w:rsid w:val="00087016"/>
    <w:rsid w:val="00094E99"/>
    <w:rsid w:val="0009623F"/>
    <w:rsid w:val="000A1BB2"/>
    <w:rsid w:val="000A6978"/>
    <w:rsid w:val="000A72F0"/>
    <w:rsid w:val="000B115E"/>
    <w:rsid w:val="000B17C5"/>
    <w:rsid w:val="000B4759"/>
    <w:rsid w:val="000B623C"/>
    <w:rsid w:val="000B69AC"/>
    <w:rsid w:val="000B6CBB"/>
    <w:rsid w:val="000B7561"/>
    <w:rsid w:val="000C61B4"/>
    <w:rsid w:val="000D1EB5"/>
    <w:rsid w:val="000D5BD7"/>
    <w:rsid w:val="000E0705"/>
    <w:rsid w:val="000E1DA6"/>
    <w:rsid w:val="000E3CF4"/>
    <w:rsid w:val="000E61C9"/>
    <w:rsid w:val="000E7AC5"/>
    <w:rsid w:val="000F0897"/>
    <w:rsid w:val="000F485F"/>
    <w:rsid w:val="00103D0A"/>
    <w:rsid w:val="00104C2D"/>
    <w:rsid w:val="001050F5"/>
    <w:rsid w:val="00105244"/>
    <w:rsid w:val="00105589"/>
    <w:rsid w:val="00107643"/>
    <w:rsid w:val="001076EF"/>
    <w:rsid w:val="0010795A"/>
    <w:rsid w:val="001100CA"/>
    <w:rsid w:val="00112D33"/>
    <w:rsid w:val="00113A43"/>
    <w:rsid w:val="00116178"/>
    <w:rsid w:val="001201C8"/>
    <w:rsid w:val="00132016"/>
    <w:rsid w:val="001321FA"/>
    <w:rsid w:val="001326AC"/>
    <w:rsid w:val="00132722"/>
    <w:rsid w:val="00134484"/>
    <w:rsid w:val="00136A79"/>
    <w:rsid w:val="001405B7"/>
    <w:rsid w:val="001427D4"/>
    <w:rsid w:val="00143516"/>
    <w:rsid w:val="00143A73"/>
    <w:rsid w:val="00147EB4"/>
    <w:rsid w:val="001566B3"/>
    <w:rsid w:val="001600DB"/>
    <w:rsid w:val="00170336"/>
    <w:rsid w:val="0017078F"/>
    <w:rsid w:val="001713F1"/>
    <w:rsid w:val="001717E1"/>
    <w:rsid w:val="001719F8"/>
    <w:rsid w:val="00172F2A"/>
    <w:rsid w:val="001730BD"/>
    <w:rsid w:val="00175805"/>
    <w:rsid w:val="00175C9B"/>
    <w:rsid w:val="001821C7"/>
    <w:rsid w:val="001824F5"/>
    <w:rsid w:val="00182FAF"/>
    <w:rsid w:val="00183511"/>
    <w:rsid w:val="00185576"/>
    <w:rsid w:val="00186269"/>
    <w:rsid w:val="00190E4A"/>
    <w:rsid w:val="0019117F"/>
    <w:rsid w:val="001930A6"/>
    <w:rsid w:val="001956A8"/>
    <w:rsid w:val="00195C06"/>
    <w:rsid w:val="001A1AAE"/>
    <w:rsid w:val="001A2CE7"/>
    <w:rsid w:val="001A33C0"/>
    <w:rsid w:val="001B0255"/>
    <w:rsid w:val="001B57B1"/>
    <w:rsid w:val="001B6292"/>
    <w:rsid w:val="001C25E1"/>
    <w:rsid w:val="001C2E60"/>
    <w:rsid w:val="001C3A41"/>
    <w:rsid w:val="001C5ABF"/>
    <w:rsid w:val="001C73F4"/>
    <w:rsid w:val="001D2B6D"/>
    <w:rsid w:val="001E1035"/>
    <w:rsid w:val="001E2EEF"/>
    <w:rsid w:val="001F0C8F"/>
    <w:rsid w:val="001F44A0"/>
    <w:rsid w:val="001F46A8"/>
    <w:rsid w:val="001F6319"/>
    <w:rsid w:val="001F6B10"/>
    <w:rsid w:val="001F7D75"/>
    <w:rsid w:val="00205D47"/>
    <w:rsid w:val="002073D1"/>
    <w:rsid w:val="00210D04"/>
    <w:rsid w:val="002126E0"/>
    <w:rsid w:val="0021311E"/>
    <w:rsid w:val="00215639"/>
    <w:rsid w:val="00215AED"/>
    <w:rsid w:val="00217FD3"/>
    <w:rsid w:val="0022551A"/>
    <w:rsid w:val="00225911"/>
    <w:rsid w:val="00226E31"/>
    <w:rsid w:val="00227FA1"/>
    <w:rsid w:val="00230799"/>
    <w:rsid w:val="00230BFA"/>
    <w:rsid w:val="00233ABC"/>
    <w:rsid w:val="002350BD"/>
    <w:rsid w:val="002405A8"/>
    <w:rsid w:val="00240B84"/>
    <w:rsid w:val="00243377"/>
    <w:rsid w:val="002451D5"/>
    <w:rsid w:val="002453DF"/>
    <w:rsid w:val="00254CB6"/>
    <w:rsid w:val="00255672"/>
    <w:rsid w:val="00256B4D"/>
    <w:rsid w:val="002577E7"/>
    <w:rsid w:val="00263DAA"/>
    <w:rsid w:val="002654E8"/>
    <w:rsid w:val="00273DDD"/>
    <w:rsid w:val="00274879"/>
    <w:rsid w:val="0027589B"/>
    <w:rsid w:val="002768D1"/>
    <w:rsid w:val="002779B4"/>
    <w:rsid w:val="00277AA3"/>
    <w:rsid w:val="0028002D"/>
    <w:rsid w:val="0028188C"/>
    <w:rsid w:val="002837C2"/>
    <w:rsid w:val="0029061B"/>
    <w:rsid w:val="00292CF1"/>
    <w:rsid w:val="002956D0"/>
    <w:rsid w:val="00297A54"/>
    <w:rsid w:val="002A1FE9"/>
    <w:rsid w:val="002A2972"/>
    <w:rsid w:val="002A3B29"/>
    <w:rsid w:val="002A4020"/>
    <w:rsid w:val="002A49D0"/>
    <w:rsid w:val="002A7859"/>
    <w:rsid w:val="002B1013"/>
    <w:rsid w:val="002B1415"/>
    <w:rsid w:val="002B27E2"/>
    <w:rsid w:val="002B2C30"/>
    <w:rsid w:val="002B2EE3"/>
    <w:rsid w:val="002C12C6"/>
    <w:rsid w:val="002C601E"/>
    <w:rsid w:val="002C6089"/>
    <w:rsid w:val="002C6C1C"/>
    <w:rsid w:val="002D2132"/>
    <w:rsid w:val="002D5A52"/>
    <w:rsid w:val="002D5B62"/>
    <w:rsid w:val="002D6502"/>
    <w:rsid w:val="002D70FD"/>
    <w:rsid w:val="002E189B"/>
    <w:rsid w:val="002E2276"/>
    <w:rsid w:val="002E6ADC"/>
    <w:rsid w:val="002E7F22"/>
    <w:rsid w:val="002F2467"/>
    <w:rsid w:val="002F3D47"/>
    <w:rsid w:val="002F4750"/>
    <w:rsid w:val="002F72CB"/>
    <w:rsid w:val="003005E9"/>
    <w:rsid w:val="00300667"/>
    <w:rsid w:val="0030378C"/>
    <w:rsid w:val="00304147"/>
    <w:rsid w:val="0030578C"/>
    <w:rsid w:val="00317407"/>
    <w:rsid w:val="003174EF"/>
    <w:rsid w:val="00323A77"/>
    <w:rsid w:val="00324E05"/>
    <w:rsid w:val="003273B3"/>
    <w:rsid w:val="0032766C"/>
    <w:rsid w:val="00327ED7"/>
    <w:rsid w:val="003350DD"/>
    <w:rsid w:val="00335489"/>
    <w:rsid w:val="00335BCC"/>
    <w:rsid w:val="003430F3"/>
    <w:rsid w:val="0034412A"/>
    <w:rsid w:val="0034421A"/>
    <w:rsid w:val="0034559A"/>
    <w:rsid w:val="0035146E"/>
    <w:rsid w:val="00354D57"/>
    <w:rsid w:val="00354E87"/>
    <w:rsid w:val="00357223"/>
    <w:rsid w:val="00363682"/>
    <w:rsid w:val="00363F88"/>
    <w:rsid w:val="00364262"/>
    <w:rsid w:val="003655B7"/>
    <w:rsid w:val="003733A6"/>
    <w:rsid w:val="003762E6"/>
    <w:rsid w:val="003769FD"/>
    <w:rsid w:val="0038058A"/>
    <w:rsid w:val="00384D3A"/>
    <w:rsid w:val="00385400"/>
    <w:rsid w:val="00387AE4"/>
    <w:rsid w:val="003925B6"/>
    <w:rsid w:val="003947AE"/>
    <w:rsid w:val="00395601"/>
    <w:rsid w:val="003979BF"/>
    <w:rsid w:val="00397A64"/>
    <w:rsid w:val="003A03E0"/>
    <w:rsid w:val="003A1871"/>
    <w:rsid w:val="003B176F"/>
    <w:rsid w:val="003B1DF1"/>
    <w:rsid w:val="003B3EB8"/>
    <w:rsid w:val="003B409B"/>
    <w:rsid w:val="003B4463"/>
    <w:rsid w:val="003B75E7"/>
    <w:rsid w:val="003C1022"/>
    <w:rsid w:val="003D34A4"/>
    <w:rsid w:val="003D77A0"/>
    <w:rsid w:val="003E0989"/>
    <w:rsid w:val="003E15A6"/>
    <w:rsid w:val="003E3009"/>
    <w:rsid w:val="003E46B9"/>
    <w:rsid w:val="003F1AA6"/>
    <w:rsid w:val="003F1CF5"/>
    <w:rsid w:val="003F6144"/>
    <w:rsid w:val="003F7A17"/>
    <w:rsid w:val="0040302B"/>
    <w:rsid w:val="0041004E"/>
    <w:rsid w:val="004204DE"/>
    <w:rsid w:val="00432D50"/>
    <w:rsid w:val="004334CF"/>
    <w:rsid w:val="004335D7"/>
    <w:rsid w:val="004367F2"/>
    <w:rsid w:val="00437A54"/>
    <w:rsid w:val="00440060"/>
    <w:rsid w:val="0044131A"/>
    <w:rsid w:val="00441559"/>
    <w:rsid w:val="0044182E"/>
    <w:rsid w:val="00442B7A"/>
    <w:rsid w:val="00444BD7"/>
    <w:rsid w:val="00444EEC"/>
    <w:rsid w:val="004528D2"/>
    <w:rsid w:val="004611AA"/>
    <w:rsid w:val="00461977"/>
    <w:rsid w:val="004628C9"/>
    <w:rsid w:val="00465E3A"/>
    <w:rsid w:val="00472705"/>
    <w:rsid w:val="004735A7"/>
    <w:rsid w:val="00480240"/>
    <w:rsid w:val="00480C9E"/>
    <w:rsid w:val="00481DC8"/>
    <w:rsid w:val="00482011"/>
    <w:rsid w:val="0048262E"/>
    <w:rsid w:val="004829F8"/>
    <w:rsid w:val="00490F57"/>
    <w:rsid w:val="00491B28"/>
    <w:rsid w:val="004943CA"/>
    <w:rsid w:val="004968CE"/>
    <w:rsid w:val="004A1453"/>
    <w:rsid w:val="004A6C72"/>
    <w:rsid w:val="004A71E3"/>
    <w:rsid w:val="004B09D3"/>
    <w:rsid w:val="004B2FBF"/>
    <w:rsid w:val="004B447E"/>
    <w:rsid w:val="004B44C7"/>
    <w:rsid w:val="004B69B6"/>
    <w:rsid w:val="004C0557"/>
    <w:rsid w:val="004C07C2"/>
    <w:rsid w:val="004C0F7A"/>
    <w:rsid w:val="004C1539"/>
    <w:rsid w:val="004C1576"/>
    <w:rsid w:val="004C50C3"/>
    <w:rsid w:val="004C68A4"/>
    <w:rsid w:val="004C6FE7"/>
    <w:rsid w:val="004C726A"/>
    <w:rsid w:val="004D5344"/>
    <w:rsid w:val="004E2772"/>
    <w:rsid w:val="004E2AA7"/>
    <w:rsid w:val="004E3618"/>
    <w:rsid w:val="004E3CC2"/>
    <w:rsid w:val="004E5EC4"/>
    <w:rsid w:val="004E5F3D"/>
    <w:rsid w:val="004E6199"/>
    <w:rsid w:val="004F0A8D"/>
    <w:rsid w:val="004F13AC"/>
    <w:rsid w:val="004F2885"/>
    <w:rsid w:val="004F5510"/>
    <w:rsid w:val="004F560B"/>
    <w:rsid w:val="004F5855"/>
    <w:rsid w:val="004F59C5"/>
    <w:rsid w:val="004F6830"/>
    <w:rsid w:val="004F6931"/>
    <w:rsid w:val="004F6FEB"/>
    <w:rsid w:val="004F7FA6"/>
    <w:rsid w:val="0050005D"/>
    <w:rsid w:val="00504812"/>
    <w:rsid w:val="0050608C"/>
    <w:rsid w:val="005104AB"/>
    <w:rsid w:val="0051299E"/>
    <w:rsid w:val="00513A3E"/>
    <w:rsid w:val="0051480E"/>
    <w:rsid w:val="00517904"/>
    <w:rsid w:val="00521155"/>
    <w:rsid w:val="005230F4"/>
    <w:rsid w:val="00525E94"/>
    <w:rsid w:val="00526F70"/>
    <w:rsid w:val="00527813"/>
    <w:rsid w:val="005308B3"/>
    <w:rsid w:val="0053153E"/>
    <w:rsid w:val="005331C8"/>
    <w:rsid w:val="00535462"/>
    <w:rsid w:val="0053694F"/>
    <w:rsid w:val="005447DF"/>
    <w:rsid w:val="00546CEF"/>
    <w:rsid w:val="005470AB"/>
    <w:rsid w:val="00547BF7"/>
    <w:rsid w:val="00551B4F"/>
    <w:rsid w:val="00553D46"/>
    <w:rsid w:val="00562332"/>
    <w:rsid w:val="005660B9"/>
    <w:rsid w:val="005671E3"/>
    <w:rsid w:val="005675AE"/>
    <w:rsid w:val="00567BDF"/>
    <w:rsid w:val="005702DB"/>
    <w:rsid w:val="005721BB"/>
    <w:rsid w:val="00572801"/>
    <w:rsid w:val="00573C82"/>
    <w:rsid w:val="00574212"/>
    <w:rsid w:val="0057439E"/>
    <w:rsid w:val="00581391"/>
    <w:rsid w:val="005815B2"/>
    <w:rsid w:val="00582ACA"/>
    <w:rsid w:val="005834DB"/>
    <w:rsid w:val="005838FC"/>
    <w:rsid w:val="00585D64"/>
    <w:rsid w:val="00590923"/>
    <w:rsid w:val="00591CD4"/>
    <w:rsid w:val="00594A95"/>
    <w:rsid w:val="00597E72"/>
    <w:rsid w:val="005A03AF"/>
    <w:rsid w:val="005A0F99"/>
    <w:rsid w:val="005A1F59"/>
    <w:rsid w:val="005A3F21"/>
    <w:rsid w:val="005A44AF"/>
    <w:rsid w:val="005A5711"/>
    <w:rsid w:val="005A6013"/>
    <w:rsid w:val="005A715A"/>
    <w:rsid w:val="005B244F"/>
    <w:rsid w:val="005B76C3"/>
    <w:rsid w:val="005C0960"/>
    <w:rsid w:val="005C0C3C"/>
    <w:rsid w:val="005C3EE1"/>
    <w:rsid w:val="005C5582"/>
    <w:rsid w:val="005C729C"/>
    <w:rsid w:val="005C76EE"/>
    <w:rsid w:val="005D0749"/>
    <w:rsid w:val="005D24F5"/>
    <w:rsid w:val="005D3784"/>
    <w:rsid w:val="005D41E3"/>
    <w:rsid w:val="005D5ABF"/>
    <w:rsid w:val="005D6BCE"/>
    <w:rsid w:val="005D6BF0"/>
    <w:rsid w:val="005D79C8"/>
    <w:rsid w:val="005D7EA8"/>
    <w:rsid w:val="005E41E0"/>
    <w:rsid w:val="005E5AEF"/>
    <w:rsid w:val="005E69F1"/>
    <w:rsid w:val="005F1C5D"/>
    <w:rsid w:val="005F35A6"/>
    <w:rsid w:val="00601C0B"/>
    <w:rsid w:val="0060216D"/>
    <w:rsid w:val="00605185"/>
    <w:rsid w:val="006076D6"/>
    <w:rsid w:val="0061170E"/>
    <w:rsid w:val="00615DA4"/>
    <w:rsid w:val="006175F5"/>
    <w:rsid w:val="0062034B"/>
    <w:rsid w:val="00620BC6"/>
    <w:rsid w:val="00620E60"/>
    <w:rsid w:val="00622025"/>
    <w:rsid w:val="00622911"/>
    <w:rsid w:val="006243E6"/>
    <w:rsid w:val="006264EE"/>
    <w:rsid w:val="006307FD"/>
    <w:rsid w:val="00631979"/>
    <w:rsid w:val="00633AAB"/>
    <w:rsid w:val="00633DBD"/>
    <w:rsid w:val="00633E54"/>
    <w:rsid w:val="00635747"/>
    <w:rsid w:val="00637305"/>
    <w:rsid w:val="006401C5"/>
    <w:rsid w:val="00640556"/>
    <w:rsid w:val="00640ADB"/>
    <w:rsid w:val="00642146"/>
    <w:rsid w:val="006426C7"/>
    <w:rsid w:val="006427C6"/>
    <w:rsid w:val="00642B2D"/>
    <w:rsid w:val="00642CF2"/>
    <w:rsid w:val="00642D45"/>
    <w:rsid w:val="0065002B"/>
    <w:rsid w:val="006502B8"/>
    <w:rsid w:val="00652169"/>
    <w:rsid w:val="00652484"/>
    <w:rsid w:val="00654065"/>
    <w:rsid w:val="006676D1"/>
    <w:rsid w:val="00667A1B"/>
    <w:rsid w:val="00667E14"/>
    <w:rsid w:val="00671203"/>
    <w:rsid w:val="0067133B"/>
    <w:rsid w:val="00675FC0"/>
    <w:rsid w:val="00677D86"/>
    <w:rsid w:val="00681F50"/>
    <w:rsid w:val="006839AB"/>
    <w:rsid w:val="0069062E"/>
    <w:rsid w:val="00694B08"/>
    <w:rsid w:val="006954BA"/>
    <w:rsid w:val="00696386"/>
    <w:rsid w:val="006A2B0F"/>
    <w:rsid w:val="006A2B8B"/>
    <w:rsid w:val="006A31AE"/>
    <w:rsid w:val="006A423C"/>
    <w:rsid w:val="006A5465"/>
    <w:rsid w:val="006A6414"/>
    <w:rsid w:val="006A7B65"/>
    <w:rsid w:val="006B0089"/>
    <w:rsid w:val="006B14BC"/>
    <w:rsid w:val="006B14EE"/>
    <w:rsid w:val="006B2490"/>
    <w:rsid w:val="006B3189"/>
    <w:rsid w:val="006B4DF2"/>
    <w:rsid w:val="006B524D"/>
    <w:rsid w:val="006B5EAC"/>
    <w:rsid w:val="006C7FBB"/>
    <w:rsid w:val="006D1D51"/>
    <w:rsid w:val="006D4C34"/>
    <w:rsid w:val="006D594C"/>
    <w:rsid w:val="006D5961"/>
    <w:rsid w:val="006D5CBC"/>
    <w:rsid w:val="006E082F"/>
    <w:rsid w:val="006E1F6A"/>
    <w:rsid w:val="006E287A"/>
    <w:rsid w:val="006F2402"/>
    <w:rsid w:val="006F2D7E"/>
    <w:rsid w:val="006F310E"/>
    <w:rsid w:val="006F3620"/>
    <w:rsid w:val="006F5E42"/>
    <w:rsid w:val="00701914"/>
    <w:rsid w:val="00702D49"/>
    <w:rsid w:val="007031E9"/>
    <w:rsid w:val="00703693"/>
    <w:rsid w:val="00704134"/>
    <w:rsid w:val="007045F1"/>
    <w:rsid w:val="007075E5"/>
    <w:rsid w:val="00707664"/>
    <w:rsid w:val="00710A78"/>
    <w:rsid w:val="00715307"/>
    <w:rsid w:val="00715769"/>
    <w:rsid w:val="0071606B"/>
    <w:rsid w:val="00716F52"/>
    <w:rsid w:val="007170ED"/>
    <w:rsid w:val="0071767C"/>
    <w:rsid w:val="0072057E"/>
    <w:rsid w:val="00723DA7"/>
    <w:rsid w:val="007325FA"/>
    <w:rsid w:val="00733F16"/>
    <w:rsid w:val="007351A5"/>
    <w:rsid w:val="00744176"/>
    <w:rsid w:val="007525A7"/>
    <w:rsid w:val="00752A29"/>
    <w:rsid w:val="00753FE7"/>
    <w:rsid w:val="00754003"/>
    <w:rsid w:val="00754115"/>
    <w:rsid w:val="00755DFE"/>
    <w:rsid w:val="00755EE1"/>
    <w:rsid w:val="00756D44"/>
    <w:rsid w:val="00760336"/>
    <w:rsid w:val="00760F55"/>
    <w:rsid w:val="00762746"/>
    <w:rsid w:val="00762921"/>
    <w:rsid w:val="007673A1"/>
    <w:rsid w:val="007706E8"/>
    <w:rsid w:val="0077087F"/>
    <w:rsid w:val="007725FD"/>
    <w:rsid w:val="0077404C"/>
    <w:rsid w:val="0077507D"/>
    <w:rsid w:val="00776BA6"/>
    <w:rsid w:val="00783BF7"/>
    <w:rsid w:val="0078526A"/>
    <w:rsid w:val="00785371"/>
    <w:rsid w:val="00786991"/>
    <w:rsid w:val="0078794C"/>
    <w:rsid w:val="00793283"/>
    <w:rsid w:val="007939E2"/>
    <w:rsid w:val="007946E6"/>
    <w:rsid w:val="00794CF6"/>
    <w:rsid w:val="007A0ACB"/>
    <w:rsid w:val="007A1D08"/>
    <w:rsid w:val="007A2405"/>
    <w:rsid w:val="007A42B0"/>
    <w:rsid w:val="007A514B"/>
    <w:rsid w:val="007A56D3"/>
    <w:rsid w:val="007A6A6F"/>
    <w:rsid w:val="007A7605"/>
    <w:rsid w:val="007B155F"/>
    <w:rsid w:val="007B76D6"/>
    <w:rsid w:val="007C02BD"/>
    <w:rsid w:val="007C2A3D"/>
    <w:rsid w:val="007C5459"/>
    <w:rsid w:val="007C5AEA"/>
    <w:rsid w:val="007C5D9D"/>
    <w:rsid w:val="007D03F2"/>
    <w:rsid w:val="007D1946"/>
    <w:rsid w:val="007D3006"/>
    <w:rsid w:val="007D3670"/>
    <w:rsid w:val="007D5619"/>
    <w:rsid w:val="007D7557"/>
    <w:rsid w:val="007E0375"/>
    <w:rsid w:val="007E419A"/>
    <w:rsid w:val="007E5B79"/>
    <w:rsid w:val="007F11B5"/>
    <w:rsid w:val="007F1306"/>
    <w:rsid w:val="007F1710"/>
    <w:rsid w:val="007F513B"/>
    <w:rsid w:val="007F5465"/>
    <w:rsid w:val="007F68EF"/>
    <w:rsid w:val="007F7BB1"/>
    <w:rsid w:val="008010C9"/>
    <w:rsid w:val="00802962"/>
    <w:rsid w:val="00804874"/>
    <w:rsid w:val="0081020F"/>
    <w:rsid w:val="00810573"/>
    <w:rsid w:val="00810A7B"/>
    <w:rsid w:val="00810AB8"/>
    <w:rsid w:val="00813786"/>
    <w:rsid w:val="00814F40"/>
    <w:rsid w:val="00815253"/>
    <w:rsid w:val="0081543A"/>
    <w:rsid w:val="008166A1"/>
    <w:rsid w:val="00816C1A"/>
    <w:rsid w:val="008177AB"/>
    <w:rsid w:val="00822F12"/>
    <w:rsid w:val="008230D0"/>
    <w:rsid w:val="00824AD5"/>
    <w:rsid w:val="00825235"/>
    <w:rsid w:val="00826D05"/>
    <w:rsid w:val="00832788"/>
    <w:rsid w:val="0083365D"/>
    <w:rsid w:val="00836185"/>
    <w:rsid w:val="00842135"/>
    <w:rsid w:val="00842CC8"/>
    <w:rsid w:val="00843076"/>
    <w:rsid w:val="00843353"/>
    <w:rsid w:val="00843433"/>
    <w:rsid w:val="00844380"/>
    <w:rsid w:val="00844581"/>
    <w:rsid w:val="00845A4E"/>
    <w:rsid w:val="008467D0"/>
    <w:rsid w:val="00847A8A"/>
    <w:rsid w:val="00847D89"/>
    <w:rsid w:val="00850C12"/>
    <w:rsid w:val="0085304B"/>
    <w:rsid w:val="00856AB5"/>
    <w:rsid w:val="0085745B"/>
    <w:rsid w:val="00857888"/>
    <w:rsid w:val="008601FC"/>
    <w:rsid w:val="0086440C"/>
    <w:rsid w:val="0086629F"/>
    <w:rsid w:val="0087180D"/>
    <w:rsid w:val="0087202C"/>
    <w:rsid w:val="0087345F"/>
    <w:rsid w:val="00875371"/>
    <w:rsid w:val="0087610A"/>
    <w:rsid w:val="008805A0"/>
    <w:rsid w:val="00883AC6"/>
    <w:rsid w:val="00883CE9"/>
    <w:rsid w:val="00886522"/>
    <w:rsid w:val="00887F14"/>
    <w:rsid w:val="008901B5"/>
    <w:rsid w:val="00890F40"/>
    <w:rsid w:val="008A18DC"/>
    <w:rsid w:val="008A75A5"/>
    <w:rsid w:val="008B1A8E"/>
    <w:rsid w:val="008B1FE0"/>
    <w:rsid w:val="008B205A"/>
    <w:rsid w:val="008B2ED8"/>
    <w:rsid w:val="008B3A30"/>
    <w:rsid w:val="008B3CD2"/>
    <w:rsid w:val="008B44CE"/>
    <w:rsid w:val="008B6241"/>
    <w:rsid w:val="008C3C43"/>
    <w:rsid w:val="008C622D"/>
    <w:rsid w:val="008D0352"/>
    <w:rsid w:val="008D24CE"/>
    <w:rsid w:val="008D2C5B"/>
    <w:rsid w:val="008D3FD1"/>
    <w:rsid w:val="008D40C7"/>
    <w:rsid w:val="008E0504"/>
    <w:rsid w:val="008E27C5"/>
    <w:rsid w:val="008E5313"/>
    <w:rsid w:val="008E579B"/>
    <w:rsid w:val="008F0EBB"/>
    <w:rsid w:val="008F2CD5"/>
    <w:rsid w:val="008F51A7"/>
    <w:rsid w:val="008F7D61"/>
    <w:rsid w:val="008F7EF4"/>
    <w:rsid w:val="009009BE"/>
    <w:rsid w:val="0090199B"/>
    <w:rsid w:val="00907150"/>
    <w:rsid w:val="00907B35"/>
    <w:rsid w:val="009101FD"/>
    <w:rsid w:val="00912957"/>
    <w:rsid w:val="00915243"/>
    <w:rsid w:val="009173FE"/>
    <w:rsid w:val="009208E7"/>
    <w:rsid w:val="00921238"/>
    <w:rsid w:val="0092670C"/>
    <w:rsid w:val="00926A7B"/>
    <w:rsid w:val="00926D25"/>
    <w:rsid w:val="009274E8"/>
    <w:rsid w:val="00932B1A"/>
    <w:rsid w:val="00935049"/>
    <w:rsid w:val="0093514E"/>
    <w:rsid w:val="00935CEC"/>
    <w:rsid w:val="00936EB6"/>
    <w:rsid w:val="00937113"/>
    <w:rsid w:val="00940DD2"/>
    <w:rsid w:val="0094259D"/>
    <w:rsid w:val="00942AFD"/>
    <w:rsid w:val="009441F8"/>
    <w:rsid w:val="00944DF1"/>
    <w:rsid w:val="00946D5F"/>
    <w:rsid w:val="00947CB0"/>
    <w:rsid w:val="009536CF"/>
    <w:rsid w:val="0095396B"/>
    <w:rsid w:val="00955541"/>
    <w:rsid w:val="00956597"/>
    <w:rsid w:val="00961060"/>
    <w:rsid w:val="00962429"/>
    <w:rsid w:val="00962E02"/>
    <w:rsid w:val="009659F6"/>
    <w:rsid w:val="0096654F"/>
    <w:rsid w:val="009704B0"/>
    <w:rsid w:val="00976E14"/>
    <w:rsid w:val="009770A0"/>
    <w:rsid w:val="00977A74"/>
    <w:rsid w:val="00983322"/>
    <w:rsid w:val="009848BD"/>
    <w:rsid w:val="0098562B"/>
    <w:rsid w:val="0098589F"/>
    <w:rsid w:val="00986036"/>
    <w:rsid w:val="009868DE"/>
    <w:rsid w:val="009901EA"/>
    <w:rsid w:val="00990916"/>
    <w:rsid w:val="00991A1B"/>
    <w:rsid w:val="009930DA"/>
    <w:rsid w:val="00993317"/>
    <w:rsid w:val="00995940"/>
    <w:rsid w:val="009965C3"/>
    <w:rsid w:val="009A2020"/>
    <w:rsid w:val="009A2E70"/>
    <w:rsid w:val="009A576B"/>
    <w:rsid w:val="009A5868"/>
    <w:rsid w:val="009A761B"/>
    <w:rsid w:val="009B64C6"/>
    <w:rsid w:val="009C4A72"/>
    <w:rsid w:val="009C66B2"/>
    <w:rsid w:val="009C6A62"/>
    <w:rsid w:val="009D2C2E"/>
    <w:rsid w:val="009D7850"/>
    <w:rsid w:val="009E2C7D"/>
    <w:rsid w:val="009E787A"/>
    <w:rsid w:val="009F0385"/>
    <w:rsid w:val="009F340C"/>
    <w:rsid w:val="009F5450"/>
    <w:rsid w:val="009F7512"/>
    <w:rsid w:val="00A0059A"/>
    <w:rsid w:val="00A00929"/>
    <w:rsid w:val="00A028B7"/>
    <w:rsid w:val="00A02CB6"/>
    <w:rsid w:val="00A03156"/>
    <w:rsid w:val="00A03DFD"/>
    <w:rsid w:val="00A04AEA"/>
    <w:rsid w:val="00A04FB4"/>
    <w:rsid w:val="00A05F33"/>
    <w:rsid w:val="00A068E2"/>
    <w:rsid w:val="00A10D16"/>
    <w:rsid w:val="00A1196B"/>
    <w:rsid w:val="00A1277B"/>
    <w:rsid w:val="00A14F59"/>
    <w:rsid w:val="00A26990"/>
    <w:rsid w:val="00A314CE"/>
    <w:rsid w:val="00A31688"/>
    <w:rsid w:val="00A329B9"/>
    <w:rsid w:val="00A40238"/>
    <w:rsid w:val="00A413BC"/>
    <w:rsid w:val="00A42A6D"/>
    <w:rsid w:val="00A436C2"/>
    <w:rsid w:val="00A440B5"/>
    <w:rsid w:val="00A44BC4"/>
    <w:rsid w:val="00A464BC"/>
    <w:rsid w:val="00A465A4"/>
    <w:rsid w:val="00A524D9"/>
    <w:rsid w:val="00A535B6"/>
    <w:rsid w:val="00A550DC"/>
    <w:rsid w:val="00A61CAA"/>
    <w:rsid w:val="00A62FCB"/>
    <w:rsid w:val="00A67885"/>
    <w:rsid w:val="00A70691"/>
    <w:rsid w:val="00A70873"/>
    <w:rsid w:val="00A71724"/>
    <w:rsid w:val="00A71C5C"/>
    <w:rsid w:val="00A72053"/>
    <w:rsid w:val="00A72D47"/>
    <w:rsid w:val="00A774C2"/>
    <w:rsid w:val="00A8001D"/>
    <w:rsid w:val="00A8304C"/>
    <w:rsid w:val="00A833AC"/>
    <w:rsid w:val="00A85B09"/>
    <w:rsid w:val="00A86D20"/>
    <w:rsid w:val="00A873AA"/>
    <w:rsid w:val="00A920F2"/>
    <w:rsid w:val="00A941C3"/>
    <w:rsid w:val="00A95C48"/>
    <w:rsid w:val="00A974CB"/>
    <w:rsid w:val="00A97BFD"/>
    <w:rsid w:val="00AB2A3B"/>
    <w:rsid w:val="00AB6FC3"/>
    <w:rsid w:val="00AB755F"/>
    <w:rsid w:val="00AC064A"/>
    <w:rsid w:val="00AC2319"/>
    <w:rsid w:val="00AC3E33"/>
    <w:rsid w:val="00AC6088"/>
    <w:rsid w:val="00AC61B2"/>
    <w:rsid w:val="00AC670C"/>
    <w:rsid w:val="00AD0637"/>
    <w:rsid w:val="00AD0CFC"/>
    <w:rsid w:val="00AD4188"/>
    <w:rsid w:val="00AD75E3"/>
    <w:rsid w:val="00AE2B9D"/>
    <w:rsid w:val="00AE7920"/>
    <w:rsid w:val="00AF0256"/>
    <w:rsid w:val="00AF107A"/>
    <w:rsid w:val="00AF1433"/>
    <w:rsid w:val="00AF2B4D"/>
    <w:rsid w:val="00AF4476"/>
    <w:rsid w:val="00AF51C1"/>
    <w:rsid w:val="00AF6C21"/>
    <w:rsid w:val="00AF7450"/>
    <w:rsid w:val="00B05673"/>
    <w:rsid w:val="00B06CD9"/>
    <w:rsid w:val="00B13459"/>
    <w:rsid w:val="00B1417F"/>
    <w:rsid w:val="00B172A3"/>
    <w:rsid w:val="00B173E1"/>
    <w:rsid w:val="00B20867"/>
    <w:rsid w:val="00B217E4"/>
    <w:rsid w:val="00B23C69"/>
    <w:rsid w:val="00B25C07"/>
    <w:rsid w:val="00B26404"/>
    <w:rsid w:val="00B27158"/>
    <w:rsid w:val="00B27367"/>
    <w:rsid w:val="00B30D86"/>
    <w:rsid w:val="00B32B44"/>
    <w:rsid w:val="00B3564F"/>
    <w:rsid w:val="00B356E1"/>
    <w:rsid w:val="00B36303"/>
    <w:rsid w:val="00B36424"/>
    <w:rsid w:val="00B366AD"/>
    <w:rsid w:val="00B40F7E"/>
    <w:rsid w:val="00B42812"/>
    <w:rsid w:val="00B45F57"/>
    <w:rsid w:val="00B45F72"/>
    <w:rsid w:val="00B4627D"/>
    <w:rsid w:val="00B50D91"/>
    <w:rsid w:val="00B56107"/>
    <w:rsid w:val="00B6142A"/>
    <w:rsid w:val="00B6146E"/>
    <w:rsid w:val="00B62FB9"/>
    <w:rsid w:val="00B6423A"/>
    <w:rsid w:val="00B6451F"/>
    <w:rsid w:val="00B64F08"/>
    <w:rsid w:val="00B66B29"/>
    <w:rsid w:val="00B67F78"/>
    <w:rsid w:val="00B768E5"/>
    <w:rsid w:val="00B76EF7"/>
    <w:rsid w:val="00B77090"/>
    <w:rsid w:val="00B81B0A"/>
    <w:rsid w:val="00B840C1"/>
    <w:rsid w:val="00B8777A"/>
    <w:rsid w:val="00B87E2B"/>
    <w:rsid w:val="00B94D0B"/>
    <w:rsid w:val="00B96DF5"/>
    <w:rsid w:val="00BA0D25"/>
    <w:rsid w:val="00BB4E42"/>
    <w:rsid w:val="00BC0DE9"/>
    <w:rsid w:val="00BC5ECC"/>
    <w:rsid w:val="00BC5EEC"/>
    <w:rsid w:val="00BD2D86"/>
    <w:rsid w:val="00BD3615"/>
    <w:rsid w:val="00BD70F7"/>
    <w:rsid w:val="00BE09B4"/>
    <w:rsid w:val="00BE1D84"/>
    <w:rsid w:val="00BE3A43"/>
    <w:rsid w:val="00BF2F8B"/>
    <w:rsid w:val="00BF38D6"/>
    <w:rsid w:val="00C01D0A"/>
    <w:rsid w:val="00C07A4D"/>
    <w:rsid w:val="00C109AF"/>
    <w:rsid w:val="00C1177B"/>
    <w:rsid w:val="00C13267"/>
    <w:rsid w:val="00C134CD"/>
    <w:rsid w:val="00C142F2"/>
    <w:rsid w:val="00C14C1B"/>
    <w:rsid w:val="00C1582B"/>
    <w:rsid w:val="00C17CB7"/>
    <w:rsid w:val="00C20976"/>
    <w:rsid w:val="00C22BF9"/>
    <w:rsid w:val="00C22F82"/>
    <w:rsid w:val="00C2366A"/>
    <w:rsid w:val="00C257F1"/>
    <w:rsid w:val="00C26C6B"/>
    <w:rsid w:val="00C30CCD"/>
    <w:rsid w:val="00C331ED"/>
    <w:rsid w:val="00C3331E"/>
    <w:rsid w:val="00C33655"/>
    <w:rsid w:val="00C34104"/>
    <w:rsid w:val="00C36AD7"/>
    <w:rsid w:val="00C377F3"/>
    <w:rsid w:val="00C40119"/>
    <w:rsid w:val="00C40748"/>
    <w:rsid w:val="00C459D0"/>
    <w:rsid w:val="00C45DE6"/>
    <w:rsid w:val="00C47810"/>
    <w:rsid w:val="00C47E05"/>
    <w:rsid w:val="00C50BA8"/>
    <w:rsid w:val="00C517BA"/>
    <w:rsid w:val="00C55DBF"/>
    <w:rsid w:val="00C604E1"/>
    <w:rsid w:val="00C61DEF"/>
    <w:rsid w:val="00C63062"/>
    <w:rsid w:val="00C64B19"/>
    <w:rsid w:val="00C6555D"/>
    <w:rsid w:val="00C65571"/>
    <w:rsid w:val="00C65D1C"/>
    <w:rsid w:val="00C700D8"/>
    <w:rsid w:val="00C70991"/>
    <w:rsid w:val="00C715E8"/>
    <w:rsid w:val="00C77419"/>
    <w:rsid w:val="00C802BE"/>
    <w:rsid w:val="00C80A0B"/>
    <w:rsid w:val="00C83E80"/>
    <w:rsid w:val="00C84AF1"/>
    <w:rsid w:val="00C86F15"/>
    <w:rsid w:val="00C97078"/>
    <w:rsid w:val="00CA113C"/>
    <w:rsid w:val="00CA3041"/>
    <w:rsid w:val="00CA327E"/>
    <w:rsid w:val="00CA6962"/>
    <w:rsid w:val="00CA69B4"/>
    <w:rsid w:val="00CA6DD1"/>
    <w:rsid w:val="00CB1E0E"/>
    <w:rsid w:val="00CC29C3"/>
    <w:rsid w:val="00CC321B"/>
    <w:rsid w:val="00CC7F1C"/>
    <w:rsid w:val="00CD2505"/>
    <w:rsid w:val="00CD47A8"/>
    <w:rsid w:val="00CD485D"/>
    <w:rsid w:val="00CD4EE6"/>
    <w:rsid w:val="00CD5E62"/>
    <w:rsid w:val="00CE010E"/>
    <w:rsid w:val="00CE35A6"/>
    <w:rsid w:val="00CE4769"/>
    <w:rsid w:val="00CE53C4"/>
    <w:rsid w:val="00CF28A4"/>
    <w:rsid w:val="00CF5B04"/>
    <w:rsid w:val="00CF702D"/>
    <w:rsid w:val="00CF7F5F"/>
    <w:rsid w:val="00D00F1C"/>
    <w:rsid w:val="00D010B0"/>
    <w:rsid w:val="00D01BE8"/>
    <w:rsid w:val="00D02D87"/>
    <w:rsid w:val="00D03B40"/>
    <w:rsid w:val="00D0536E"/>
    <w:rsid w:val="00D116E1"/>
    <w:rsid w:val="00D1203E"/>
    <w:rsid w:val="00D13950"/>
    <w:rsid w:val="00D15F75"/>
    <w:rsid w:val="00D2394D"/>
    <w:rsid w:val="00D25B64"/>
    <w:rsid w:val="00D27548"/>
    <w:rsid w:val="00D41F4F"/>
    <w:rsid w:val="00D444F8"/>
    <w:rsid w:val="00D470C1"/>
    <w:rsid w:val="00D5043C"/>
    <w:rsid w:val="00D50A66"/>
    <w:rsid w:val="00D50BA3"/>
    <w:rsid w:val="00D56F66"/>
    <w:rsid w:val="00D57316"/>
    <w:rsid w:val="00D61D5F"/>
    <w:rsid w:val="00D62C65"/>
    <w:rsid w:val="00D63B22"/>
    <w:rsid w:val="00D65101"/>
    <w:rsid w:val="00D65F64"/>
    <w:rsid w:val="00D66404"/>
    <w:rsid w:val="00D66DBB"/>
    <w:rsid w:val="00D66E73"/>
    <w:rsid w:val="00D67DD6"/>
    <w:rsid w:val="00D71095"/>
    <w:rsid w:val="00D7372E"/>
    <w:rsid w:val="00D73BBD"/>
    <w:rsid w:val="00D74E80"/>
    <w:rsid w:val="00D7621E"/>
    <w:rsid w:val="00D7631E"/>
    <w:rsid w:val="00D76772"/>
    <w:rsid w:val="00D7684E"/>
    <w:rsid w:val="00D81150"/>
    <w:rsid w:val="00D825CF"/>
    <w:rsid w:val="00D8645E"/>
    <w:rsid w:val="00D91F6E"/>
    <w:rsid w:val="00D95635"/>
    <w:rsid w:val="00DB01D0"/>
    <w:rsid w:val="00DB1602"/>
    <w:rsid w:val="00DB49BF"/>
    <w:rsid w:val="00DB58AA"/>
    <w:rsid w:val="00DB76AC"/>
    <w:rsid w:val="00DC1BC8"/>
    <w:rsid w:val="00DC4604"/>
    <w:rsid w:val="00DC7F28"/>
    <w:rsid w:val="00DD01D0"/>
    <w:rsid w:val="00DD0D1A"/>
    <w:rsid w:val="00DD5FFB"/>
    <w:rsid w:val="00DD75F6"/>
    <w:rsid w:val="00DD7907"/>
    <w:rsid w:val="00DE13C9"/>
    <w:rsid w:val="00DE25DE"/>
    <w:rsid w:val="00DE2D01"/>
    <w:rsid w:val="00DE3025"/>
    <w:rsid w:val="00DE4013"/>
    <w:rsid w:val="00DE4CD6"/>
    <w:rsid w:val="00DE7C16"/>
    <w:rsid w:val="00DF4615"/>
    <w:rsid w:val="00DF50A4"/>
    <w:rsid w:val="00DF5582"/>
    <w:rsid w:val="00DF5CD1"/>
    <w:rsid w:val="00DF6C04"/>
    <w:rsid w:val="00E00392"/>
    <w:rsid w:val="00E00E6E"/>
    <w:rsid w:val="00E01AC4"/>
    <w:rsid w:val="00E043B2"/>
    <w:rsid w:val="00E0494F"/>
    <w:rsid w:val="00E05DD7"/>
    <w:rsid w:val="00E108FA"/>
    <w:rsid w:val="00E11718"/>
    <w:rsid w:val="00E219BA"/>
    <w:rsid w:val="00E312AB"/>
    <w:rsid w:val="00E35405"/>
    <w:rsid w:val="00E3632A"/>
    <w:rsid w:val="00E37B3C"/>
    <w:rsid w:val="00E403DA"/>
    <w:rsid w:val="00E462B9"/>
    <w:rsid w:val="00E50C24"/>
    <w:rsid w:val="00E50F2F"/>
    <w:rsid w:val="00E51C13"/>
    <w:rsid w:val="00E52C41"/>
    <w:rsid w:val="00E53A0F"/>
    <w:rsid w:val="00E540B1"/>
    <w:rsid w:val="00E54BE6"/>
    <w:rsid w:val="00E55995"/>
    <w:rsid w:val="00E5735D"/>
    <w:rsid w:val="00E57B23"/>
    <w:rsid w:val="00E601A6"/>
    <w:rsid w:val="00E60702"/>
    <w:rsid w:val="00E61DBC"/>
    <w:rsid w:val="00E64B3A"/>
    <w:rsid w:val="00E7267E"/>
    <w:rsid w:val="00E7330A"/>
    <w:rsid w:val="00E73C85"/>
    <w:rsid w:val="00E768E4"/>
    <w:rsid w:val="00E81B27"/>
    <w:rsid w:val="00E82B12"/>
    <w:rsid w:val="00E83B44"/>
    <w:rsid w:val="00E8566F"/>
    <w:rsid w:val="00E864D9"/>
    <w:rsid w:val="00E928E9"/>
    <w:rsid w:val="00E9351D"/>
    <w:rsid w:val="00E942EA"/>
    <w:rsid w:val="00E95CB7"/>
    <w:rsid w:val="00EA0880"/>
    <w:rsid w:val="00EA2460"/>
    <w:rsid w:val="00EA3DBD"/>
    <w:rsid w:val="00EA4282"/>
    <w:rsid w:val="00EA598C"/>
    <w:rsid w:val="00EB202E"/>
    <w:rsid w:val="00EB3D9D"/>
    <w:rsid w:val="00EB46DD"/>
    <w:rsid w:val="00EB47DA"/>
    <w:rsid w:val="00EB50BF"/>
    <w:rsid w:val="00EB6BE4"/>
    <w:rsid w:val="00EC070B"/>
    <w:rsid w:val="00EC0BFA"/>
    <w:rsid w:val="00EC5483"/>
    <w:rsid w:val="00EC553B"/>
    <w:rsid w:val="00EC7F74"/>
    <w:rsid w:val="00ED08E8"/>
    <w:rsid w:val="00ED1A64"/>
    <w:rsid w:val="00ED2FF6"/>
    <w:rsid w:val="00ED7F1F"/>
    <w:rsid w:val="00EE3400"/>
    <w:rsid w:val="00EE4825"/>
    <w:rsid w:val="00EE6500"/>
    <w:rsid w:val="00EE74BC"/>
    <w:rsid w:val="00EF0017"/>
    <w:rsid w:val="00EF5A77"/>
    <w:rsid w:val="00EF789F"/>
    <w:rsid w:val="00F00C0B"/>
    <w:rsid w:val="00F02DB1"/>
    <w:rsid w:val="00F03143"/>
    <w:rsid w:val="00F04A18"/>
    <w:rsid w:val="00F055A2"/>
    <w:rsid w:val="00F07DCF"/>
    <w:rsid w:val="00F1157C"/>
    <w:rsid w:val="00F12C91"/>
    <w:rsid w:val="00F14008"/>
    <w:rsid w:val="00F14049"/>
    <w:rsid w:val="00F154C8"/>
    <w:rsid w:val="00F15C81"/>
    <w:rsid w:val="00F22F3A"/>
    <w:rsid w:val="00F25138"/>
    <w:rsid w:val="00F2534D"/>
    <w:rsid w:val="00F3145B"/>
    <w:rsid w:val="00F31B62"/>
    <w:rsid w:val="00F31BA6"/>
    <w:rsid w:val="00F33192"/>
    <w:rsid w:val="00F3507B"/>
    <w:rsid w:val="00F3549A"/>
    <w:rsid w:val="00F36641"/>
    <w:rsid w:val="00F40607"/>
    <w:rsid w:val="00F41BFC"/>
    <w:rsid w:val="00F42DC6"/>
    <w:rsid w:val="00F43DFF"/>
    <w:rsid w:val="00F502C2"/>
    <w:rsid w:val="00F50DE5"/>
    <w:rsid w:val="00F525BF"/>
    <w:rsid w:val="00F53313"/>
    <w:rsid w:val="00F53BBE"/>
    <w:rsid w:val="00F60D56"/>
    <w:rsid w:val="00F6209E"/>
    <w:rsid w:val="00F624FB"/>
    <w:rsid w:val="00F62BF0"/>
    <w:rsid w:val="00F636AC"/>
    <w:rsid w:val="00F64561"/>
    <w:rsid w:val="00F657CB"/>
    <w:rsid w:val="00F671D1"/>
    <w:rsid w:val="00F67A4F"/>
    <w:rsid w:val="00F67E58"/>
    <w:rsid w:val="00F70FD5"/>
    <w:rsid w:val="00F75574"/>
    <w:rsid w:val="00F76D39"/>
    <w:rsid w:val="00F77803"/>
    <w:rsid w:val="00F77C8D"/>
    <w:rsid w:val="00F809D8"/>
    <w:rsid w:val="00F85C03"/>
    <w:rsid w:val="00F91AE5"/>
    <w:rsid w:val="00F91FE8"/>
    <w:rsid w:val="00F95CE6"/>
    <w:rsid w:val="00F97302"/>
    <w:rsid w:val="00FA000C"/>
    <w:rsid w:val="00FA0A04"/>
    <w:rsid w:val="00FA1398"/>
    <w:rsid w:val="00FA4B82"/>
    <w:rsid w:val="00FA51CE"/>
    <w:rsid w:val="00FA66CB"/>
    <w:rsid w:val="00FA788B"/>
    <w:rsid w:val="00FB298D"/>
    <w:rsid w:val="00FB496A"/>
    <w:rsid w:val="00FB523C"/>
    <w:rsid w:val="00FB5D6C"/>
    <w:rsid w:val="00FC10EC"/>
    <w:rsid w:val="00FC2236"/>
    <w:rsid w:val="00FC28A6"/>
    <w:rsid w:val="00FC3D14"/>
    <w:rsid w:val="00FD13E8"/>
    <w:rsid w:val="00FD154B"/>
    <w:rsid w:val="00FD3962"/>
    <w:rsid w:val="00FD45B5"/>
    <w:rsid w:val="00FD50EB"/>
    <w:rsid w:val="00FD6034"/>
    <w:rsid w:val="00FD723A"/>
    <w:rsid w:val="00FE0FA4"/>
    <w:rsid w:val="00FE107A"/>
    <w:rsid w:val="00FE1127"/>
    <w:rsid w:val="00FE2574"/>
    <w:rsid w:val="00FE70C9"/>
    <w:rsid w:val="00FE7E8A"/>
    <w:rsid w:val="00FF01F8"/>
    <w:rsid w:val="00FF0931"/>
    <w:rsid w:val="00FF1C54"/>
    <w:rsid w:val="00FF21AD"/>
    <w:rsid w:val="00FF3252"/>
    <w:rsid w:val="00FF42F1"/>
    <w:rsid w:val="00FF59DF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77F0C"/>
  <w15:docId w15:val="{5F09D757-F4E7-429B-9711-98EE2DB6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AB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C5ABF"/>
    <w:pPr>
      <w:keepNext/>
      <w:bidi/>
      <w:outlineLvl w:val="0"/>
    </w:pPr>
    <w:rPr>
      <w:rFonts w:cs="Simplified Arabic"/>
      <w:sz w:val="24"/>
      <w:szCs w:val="24"/>
    </w:rPr>
  </w:style>
  <w:style w:type="paragraph" w:styleId="Heading2">
    <w:name w:val="heading 2"/>
    <w:basedOn w:val="Normal"/>
    <w:next w:val="Normal"/>
    <w:qFormat/>
    <w:rsid w:val="001C5ABF"/>
    <w:pPr>
      <w:keepNext/>
      <w:bidi/>
      <w:jc w:val="both"/>
      <w:outlineLvl w:val="1"/>
    </w:pPr>
    <w:rPr>
      <w:rFonts w:cs="Simplified Arabic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qFormat/>
    <w:rsid w:val="001C5ABF"/>
    <w:pPr>
      <w:keepNext/>
      <w:bidi/>
      <w:jc w:val="both"/>
      <w:outlineLvl w:val="2"/>
    </w:pPr>
    <w:rPr>
      <w:rFonts w:cs="Simplified Arabi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1C5ABF"/>
    <w:pPr>
      <w:keepNext/>
      <w:bidi/>
      <w:jc w:val="both"/>
      <w:outlineLvl w:val="3"/>
    </w:pPr>
    <w:rPr>
      <w:rFonts w:cs="Simplified Arabic"/>
      <w:b/>
      <w:bCs/>
      <w:sz w:val="36"/>
      <w:szCs w:val="36"/>
    </w:rPr>
  </w:style>
  <w:style w:type="paragraph" w:styleId="Heading5">
    <w:name w:val="heading 5"/>
    <w:basedOn w:val="Normal"/>
    <w:next w:val="Normal"/>
    <w:qFormat/>
    <w:rsid w:val="001C5ABF"/>
    <w:pPr>
      <w:keepNext/>
      <w:bidi/>
      <w:jc w:val="both"/>
      <w:outlineLvl w:val="4"/>
    </w:pPr>
    <w:rPr>
      <w:rFonts w:cs="Simplified Arabic"/>
      <w:b/>
      <w:bCs/>
      <w:i/>
      <w:iCs/>
      <w:sz w:val="36"/>
      <w:szCs w:val="36"/>
    </w:rPr>
  </w:style>
  <w:style w:type="paragraph" w:styleId="Heading6">
    <w:name w:val="heading 6"/>
    <w:basedOn w:val="Normal"/>
    <w:next w:val="Normal"/>
    <w:qFormat/>
    <w:rsid w:val="001C5ABF"/>
    <w:pPr>
      <w:keepNext/>
      <w:jc w:val="center"/>
      <w:outlineLvl w:val="5"/>
    </w:pPr>
    <w:rPr>
      <w:rFonts w:cs="Simplified Arabic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1C5ABF"/>
    <w:pPr>
      <w:keepNext/>
      <w:overflowPunct/>
      <w:autoSpaceDE/>
      <w:autoSpaceDN/>
      <w:bidi/>
      <w:adjustRightInd/>
      <w:jc w:val="center"/>
      <w:textAlignment w:val="auto"/>
      <w:outlineLvl w:val="6"/>
    </w:pPr>
    <w:rPr>
      <w:rFonts w:cs="Simplified Arabic"/>
      <w:b/>
      <w:bCs/>
      <w:noProof/>
      <w:szCs w:val="32"/>
    </w:rPr>
  </w:style>
  <w:style w:type="paragraph" w:styleId="Heading8">
    <w:name w:val="heading 8"/>
    <w:basedOn w:val="Normal"/>
    <w:next w:val="Normal"/>
    <w:qFormat/>
    <w:rsid w:val="001C5ABF"/>
    <w:pPr>
      <w:keepNext/>
      <w:overflowPunct/>
      <w:autoSpaceDE/>
      <w:autoSpaceDN/>
      <w:adjustRightInd/>
      <w:jc w:val="center"/>
      <w:textAlignment w:val="auto"/>
      <w:outlineLvl w:val="7"/>
    </w:pPr>
    <w:rPr>
      <w:rFonts w:cs="Traditional Arabic"/>
      <w:b/>
      <w:bCs/>
      <w:noProof/>
      <w:sz w:val="28"/>
      <w:szCs w:val="22"/>
    </w:rPr>
  </w:style>
  <w:style w:type="paragraph" w:styleId="Heading9">
    <w:name w:val="heading 9"/>
    <w:basedOn w:val="Normal"/>
    <w:next w:val="Normal"/>
    <w:qFormat/>
    <w:rsid w:val="001C5ABF"/>
    <w:pPr>
      <w:keepNext/>
      <w:overflowPunct/>
      <w:autoSpaceDE/>
      <w:autoSpaceDN/>
      <w:bidi/>
      <w:adjustRightInd/>
      <w:spacing w:line="480" w:lineRule="exact"/>
      <w:ind w:left="318"/>
      <w:jc w:val="center"/>
      <w:textAlignment w:val="auto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5A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5AB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rsid w:val="001C5ABF"/>
    <w:pPr>
      <w:bidi/>
      <w:jc w:val="center"/>
    </w:pPr>
    <w:rPr>
      <w:rFonts w:cs="Simplified Arabic"/>
      <w:b/>
      <w:bCs/>
      <w:sz w:val="36"/>
      <w:szCs w:val="36"/>
    </w:rPr>
  </w:style>
  <w:style w:type="paragraph" w:styleId="FootnoteText">
    <w:name w:val="footnote text"/>
    <w:basedOn w:val="Normal"/>
    <w:semiHidden/>
    <w:rsid w:val="001C5ABF"/>
  </w:style>
  <w:style w:type="character" w:styleId="FootnoteReference">
    <w:name w:val="footnote reference"/>
    <w:basedOn w:val="DefaultParagraphFont"/>
    <w:semiHidden/>
    <w:rsid w:val="001C5ABF"/>
    <w:rPr>
      <w:vertAlign w:val="superscript"/>
    </w:rPr>
  </w:style>
  <w:style w:type="paragraph" w:styleId="Title">
    <w:name w:val="Title"/>
    <w:basedOn w:val="Normal"/>
    <w:qFormat/>
    <w:rsid w:val="001C5ABF"/>
    <w:pPr>
      <w:overflowPunct/>
      <w:autoSpaceDE/>
      <w:autoSpaceDN/>
      <w:bidi/>
      <w:adjustRightInd/>
      <w:jc w:val="center"/>
      <w:textAlignment w:val="auto"/>
    </w:pPr>
    <w:rPr>
      <w:rFonts w:cs="Simplified Arabic"/>
      <w:b/>
      <w:bCs/>
      <w:noProof/>
      <w:sz w:val="32"/>
      <w:szCs w:val="28"/>
    </w:rPr>
  </w:style>
  <w:style w:type="character" w:styleId="PageNumber">
    <w:name w:val="page number"/>
    <w:basedOn w:val="DefaultParagraphFont"/>
    <w:semiHidden/>
    <w:rsid w:val="001C5ABF"/>
  </w:style>
  <w:style w:type="paragraph" w:styleId="BodyText2">
    <w:name w:val="Body Text 2"/>
    <w:basedOn w:val="Normal"/>
    <w:semiHidden/>
    <w:rsid w:val="001C5ABF"/>
    <w:pPr>
      <w:bidi/>
    </w:pPr>
    <w:rPr>
      <w:rFonts w:cs="Simplified Arabic"/>
      <w:b/>
      <w:bCs/>
      <w:i/>
      <w:iCs/>
      <w:sz w:val="28"/>
      <w:szCs w:val="28"/>
    </w:rPr>
  </w:style>
  <w:style w:type="paragraph" w:styleId="BodyText3">
    <w:name w:val="Body Text 3"/>
    <w:basedOn w:val="Normal"/>
    <w:semiHidden/>
    <w:rsid w:val="001C5ABF"/>
    <w:pPr>
      <w:bidi/>
      <w:jc w:val="lowKashida"/>
    </w:pPr>
    <w:rPr>
      <w:rFonts w:cs="Simplified Arabic"/>
      <w:sz w:val="26"/>
      <w:szCs w:val="26"/>
    </w:rPr>
  </w:style>
  <w:style w:type="paragraph" w:styleId="BodyTextIndent">
    <w:name w:val="Body Text Indent"/>
    <w:basedOn w:val="Normal"/>
    <w:semiHidden/>
    <w:rsid w:val="001C5ABF"/>
    <w:pPr>
      <w:overflowPunct/>
      <w:autoSpaceDE/>
      <w:autoSpaceDN/>
      <w:bidi/>
      <w:adjustRightInd/>
      <w:jc w:val="lowKashida"/>
      <w:textAlignment w:val="auto"/>
    </w:pPr>
    <w:rPr>
      <w:rFonts w:cs="Simplified Arabic"/>
      <w:snapToGrid w:val="0"/>
      <w:sz w:val="24"/>
    </w:rPr>
  </w:style>
  <w:style w:type="paragraph" w:styleId="Subtitle">
    <w:name w:val="Subtitle"/>
    <w:basedOn w:val="Normal"/>
    <w:qFormat/>
    <w:rsid w:val="001C5ABF"/>
    <w:pPr>
      <w:bidi/>
      <w:jc w:val="center"/>
    </w:pPr>
    <w:rPr>
      <w:rFonts w:cs="Simplified Arabic"/>
      <w:i/>
      <w:iCs/>
      <w:sz w:val="24"/>
      <w:szCs w:val="24"/>
    </w:rPr>
  </w:style>
  <w:style w:type="paragraph" w:styleId="NormalWeb">
    <w:name w:val="Normal (Web)"/>
    <w:basedOn w:val="Normal"/>
    <w:semiHidden/>
    <w:rsid w:val="001C5A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8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430F3"/>
  </w:style>
  <w:style w:type="table" w:styleId="TableGrid">
    <w:name w:val="Table Grid"/>
    <w:basedOn w:val="TableNormal"/>
    <w:uiPriority w:val="59"/>
    <w:rsid w:val="00E6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8497B"/>
    <w:rPr>
      <w:rFonts w:cs="Simplified Arabic"/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C802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9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EB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748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1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3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79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7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799"/>
    <w:rPr>
      <w:b/>
      <w:bCs/>
    </w:rPr>
  </w:style>
  <w:style w:type="paragraph" w:customStyle="1" w:styleId="xmsonormal">
    <w:name w:val="x_msonormal"/>
    <w:basedOn w:val="Normal"/>
    <w:rsid w:val="009009B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F0931"/>
  </w:style>
  <w:style w:type="character" w:customStyle="1" w:styleId="FooterChar">
    <w:name w:val="Footer Char"/>
    <w:basedOn w:val="DefaultParagraphFont"/>
    <w:link w:val="Footer"/>
    <w:uiPriority w:val="99"/>
    <w:rsid w:val="00AE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bubble3D val="0"/>
            <c:explosion val="14"/>
            <c:spPr>
              <a:solidFill>
                <a:schemeClr val="lt1"/>
              </a:solidFill>
              <a:ln w="25400" cap="flat" cmpd="sng" algn="ctr">
                <a:solidFill>
                  <a:schemeClr val="accent2"/>
                </a:solidFill>
                <a:prstDash val="solid"/>
              </a:ln>
              <a:effectLst/>
            </c:spPr>
            <c:extLst>
              <c:ext xmlns:c16="http://schemas.microsoft.com/office/drawing/2014/chart" uri="{C3380CC4-5D6E-409C-BE32-E72D297353CC}">
                <c16:uniqueId val="{00000000-2E5D-49A0-9CF9-929CAC1EDE2F}"/>
              </c:ext>
            </c:extLst>
          </c:dPt>
          <c:dLbls>
            <c:dLbl>
              <c:idx val="0"/>
              <c:layout>
                <c:manualLayout>
                  <c:x val="-5.0621926004567767E-2"/>
                  <c:y val="-0.1932510599636577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5D-49A0-9CF9-929CAC1EDE2F}"/>
                </c:ext>
              </c:extLst>
            </c:dLbl>
            <c:dLbl>
              <c:idx val="1"/>
              <c:layout>
                <c:manualLayout>
                  <c:x val="-0.20598753280839896"/>
                  <c:y val="-0.1562848393950755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5D-49A0-9CF9-929CAC1EDE2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عن بعد</c:v>
                </c:pt>
                <c:pt idx="1">
                  <c:v>وجاهي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6294</c:v>
                </c:pt>
                <c:pt idx="1">
                  <c:v>211060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C7-41D2-A689-21B60930E2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12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عن بعد</c:v>
                </c:pt>
                <c:pt idx="1">
                  <c:v>وجاهي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2.8957369084534905</c:v>
                </c:pt>
                <c:pt idx="1">
                  <c:v>97.104263091546528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1D-4881-AA53-2078D0F4A50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6679380433251842"/>
          <c:y val="0.38408388855239484"/>
          <c:w val="0.20823740665375629"/>
          <c:h val="0.2318322228952152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9522-4454-4596-BACC-300F591D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الجهاز المركزي للاحصاء الفلسطيني</vt:lpstr>
    </vt:vector>
  </TitlesOfParts>
  <Company>company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للاحصاء الفلسطيني</dc:title>
  <dc:creator>mzeidan</dc:creator>
  <cp:lastModifiedBy>LOAY SHEHADEH</cp:lastModifiedBy>
  <cp:revision>2</cp:revision>
  <cp:lastPrinted>2025-03-12T08:17:00Z</cp:lastPrinted>
  <dcterms:created xsi:type="dcterms:W3CDTF">2025-03-12T08:32:00Z</dcterms:created>
  <dcterms:modified xsi:type="dcterms:W3CDTF">2025-03-12T08:32:00Z</dcterms:modified>
</cp:coreProperties>
</file>