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73F8" w14:textId="77777777" w:rsidR="00D6373C" w:rsidRDefault="00D6373C" w:rsidP="00F86B13">
      <w:pPr>
        <w:tabs>
          <w:tab w:val="center" w:pos="4320"/>
          <w:tab w:val="right" w:pos="8640"/>
        </w:tabs>
        <w:snapToGrid w:val="0"/>
        <w:ind w:right="-142"/>
        <w:rPr>
          <w:rFonts w:ascii="Simplified Arabic" w:hAnsi="Simplified Arabic" w:cs="Simplified Arabic"/>
          <w:b/>
          <w:bCs/>
          <w:sz w:val="31"/>
          <w:szCs w:val="31"/>
          <w:rtl/>
          <w:lang w:eastAsia="en-US"/>
        </w:rPr>
      </w:pPr>
    </w:p>
    <w:p w14:paraId="24561667" w14:textId="6ED95C40" w:rsidR="00D6373C" w:rsidRPr="00602A1B" w:rsidRDefault="00D6373C" w:rsidP="00D6373C">
      <w:pPr>
        <w:jc w:val="both"/>
        <w:rPr>
          <w:rFonts w:ascii="Simplified Arabic" w:hAnsi="Simplified Arabic" w:cs="Simplified Arabic"/>
          <w:b/>
          <w:bCs/>
          <w:sz w:val="30"/>
          <w:szCs w:val="30"/>
          <w:rtl/>
          <w:lang w:bidi="ar-EG"/>
        </w:rPr>
      </w:pPr>
      <w:r w:rsidRPr="00602A1B">
        <w:rPr>
          <w:rFonts w:ascii="Simplified Arabic" w:hAnsi="Simplified Arabic" w:cs="Simplified Arabic"/>
          <w:b/>
          <w:bCs/>
          <w:sz w:val="30"/>
          <w:szCs w:val="30"/>
          <w:rtl/>
          <w:lang w:bidi="ar-EG"/>
        </w:rPr>
        <w:t>د.علا عوض، رئيس</w:t>
      </w:r>
      <w:r w:rsidRPr="00602A1B">
        <w:rPr>
          <w:rFonts w:ascii="Simplified Arabic" w:hAnsi="Simplified Arabic" w:cs="Simplified Arabic"/>
          <w:b/>
          <w:bCs/>
          <w:sz w:val="30"/>
          <w:szCs w:val="30"/>
          <w:rtl/>
        </w:rPr>
        <w:t>ة</w:t>
      </w:r>
      <w:r w:rsidRPr="00602A1B">
        <w:rPr>
          <w:rFonts w:ascii="Simplified Arabic" w:hAnsi="Simplified Arabic" w:cs="Simplified Arabic"/>
          <w:b/>
          <w:bCs/>
          <w:sz w:val="30"/>
          <w:szCs w:val="30"/>
          <w:rtl/>
          <w:lang w:bidi="ar-EG"/>
        </w:rPr>
        <w:t xml:space="preserve"> الإحصاء الفلسطيني</w:t>
      </w:r>
      <w:r w:rsidRPr="00602A1B">
        <w:rPr>
          <w:rFonts w:ascii="Simplified Arabic" w:hAnsi="Simplified Arabic" w:cs="Simplified Arabic" w:hint="cs"/>
          <w:b/>
          <w:bCs/>
          <w:sz w:val="30"/>
          <w:szCs w:val="30"/>
          <w:rtl/>
          <w:lang w:bidi="ar-EG"/>
        </w:rPr>
        <w:t>:</w:t>
      </w:r>
    </w:p>
    <w:p w14:paraId="2E381D7E" w14:textId="0D1E860A" w:rsidR="00D6373C" w:rsidRPr="00602A1B" w:rsidRDefault="00D6373C" w:rsidP="00D6373C">
      <w:pPr>
        <w:jc w:val="center"/>
        <w:rPr>
          <w:rFonts w:ascii="Simplified Arabic" w:hAnsi="Simplified Arabic" w:cs="Simplified Arabic"/>
          <w:b/>
          <w:bCs/>
          <w:sz w:val="30"/>
          <w:szCs w:val="30"/>
          <w:rtl/>
        </w:rPr>
      </w:pPr>
      <w:bookmarkStart w:id="0" w:name="_GoBack"/>
      <w:r w:rsidRPr="00602A1B">
        <w:rPr>
          <w:rFonts w:ascii="Simplified Arabic" w:hAnsi="Simplified Arabic" w:cs="Simplified Arabic" w:hint="cs"/>
          <w:b/>
          <w:bCs/>
          <w:sz w:val="30"/>
          <w:szCs w:val="30"/>
          <w:rtl/>
          <w:lang w:bidi="ar-EG"/>
        </w:rPr>
        <w:t xml:space="preserve">تستعرض </w:t>
      </w:r>
      <w:r w:rsidRPr="00602A1B">
        <w:rPr>
          <w:rFonts w:ascii="Simplified Arabic" w:hAnsi="Simplified Arabic" w:cs="Simplified Arabic"/>
          <w:b/>
          <w:bCs/>
          <w:sz w:val="30"/>
          <w:szCs w:val="30"/>
          <w:rtl/>
          <w:lang w:bidi="ar-EG"/>
        </w:rPr>
        <w:t>أوضاع الفلسطينيين في نهاية عام 2022، عشية رأس السنة الجديدة 2023</w:t>
      </w:r>
    </w:p>
    <w:bookmarkEnd w:id="0"/>
    <w:p w14:paraId="676E7316" w14:textId="7734C449" w:rsidR="00FC4692" w:rsidRPr="00F86B13" w:rsidRDefault="00F86B13" w:rsidP="00BA67C8">
      <w:pPr>
        <w:rPr>
          <w:rFonts w:ascii="Simplified Arabic" w:hAnsi="Simplified Arabic" w:cs="Simplified Arabic"/>
          <w:b/>
          <w:bCs/>
          <w:sz w:val="16"/>
          <w:szCs w:val="16"/>
          <w:rtl/>
        </w:rPr>
      </w:pPr>
      <w:r>
        <w:rPr>
          <w:rFonts w:ascii="Simplified Arabic" w:hAnsi="Simplified Arabic" w:cs="Simplified Arabic" w:hint="cs"/>
          <w:b/>
          <w:bCs/>
          <w:sz w:val="16"/>
          <w:szCs w:val="16"/>
          <w:rtl/>
        </w:rPr>
        <w:t xml:space="preserve"> </w:t>
      </w:r>
    </w:p>
    <w:p w14:paraId="287DF23F" w14:textId="2379692A" w:rsidR="00CE75AE" w:rsidRPr="00F86B13" w:rsidRDefault="00CE75AE" w:rsidP="00C6307D">
      <w:pPr>
        <w:jc w:val="both"/>
        <w:rPr>
          <w:rFonts w:ascii="Simplified Arabic" w:hAnsi="Simplified Arabic" w:cs="Simplified Arabic"/>
          <w:b/>
          <w:bCs/>
          <w:sz w:val="26"/>
          <w:szCs w:val="26"/>
          <w:rtl/>
        </w:rPr>
      </w:pPr>
      <w:r w:rsidRPr="00F86B13">
        <w:rPr>
          <w:rFonts w:ascii="Simplified Arabic" w:hAnsi="Simplified Arabic" w:cs="Simplified Arabic"/>
          <w:b/>
          <w:bCs/>
          <w:sz w:val="26"/>
          <w:szCs w:val="26"/>
          <w:rtl/>
        </w:rPr>
        <w:t xml:space="preserve">مع نهاية العام </w:t>
      </w:r>
      <w:r w:rsidR="00771F9B" w:rsidRPr="00F86B13">
        <w:rPr>
          <w:rFonts w:ascii="Simplified Arabic" w:hAnsi="Simplified Arabic" w:cs="Simplified Arabic"/>
          <w:b/>
          <w:bCs/>
          <w:sz w:val="26"/>
          <w:szCs w:val="26"/>
          <w:rtl/>
        </w:rPr>
        <w:t>2022</w:t>
      </w:r>
      <w:r w:rsidRPr="00F86B13">
        <w:rPr>
          <w:rFonts w:ascii="Simplified Arabic" w:hAnsi="Simplified Arabic" w:cs="Simplified Arabic"/>
          <w:b/>
          <w:bCs/>
          <w:sz w:val="26"/>
          <w:szCs w:val="26"/>
          <w:rtl/>
        </w:rPr>
        <w:t xml:space="preserve"> </w:t>
      </w:r>
      <w:r w:rsidR="003A3097" w:rsidRPr="00F86B13">
        <w:rPr>
          <w:rFonts w:ascii="Simplified Arabic" w:hAnsi="Simplified Arabic" w:cs="Simplified Arabic"/>
          <w:b/>
          <w:bCs/>
          <w:sz w:val="26"/>
          <w:szCs w:val="26"/>
          <w:rtl/>
        </w:rPr>
        <w:t xml:space="preserve">وصل عدد السكان في </w:t>
      </w:r>
      <w:r w:rsidR="00D51DAF" w:rsidRPr="00F86B13">
        <w:rPr>
          <w:rFonts w:ascii="Simplified Arabic" w:hAnsi="Simplified Arabic" w:cs="Simplified Arabic"/>
          <w:b/>
          <w:bCs/>
          <w:sz w:val="26"/>
          <w:szCs w:val="26"/>
          <w:rtl/>
        </w:rPr>
        <w:t>فلسطين على حدود 1967</w:t>
      </w:r>
      <w:r w:rsidR="003A3097" w:rsidRPr="00F86B13">
        <w:rPr>
          <w:rFonts w:ascii="Simplified Arabic" w:hAnsi="Simplified Arabic" w:cs="Simplified Arabic"/>
          <w:b/>
          <w:bCs/>
          <w:sz w:val="26"/>
          <w:szCs w:val="26"/>
          <w:rtl/>
        </w:rPr>
        <w:t xml:space="preserve"> </w:t>
      </w:r>
      <w:r w:rsidR="00E45640" w:rsidRPr="00F86B13">
        <w:rPr>
          <w:rFonts w:ascii="Simplified Arabic" w:hAnsi="Simplified Arabic" w:cs="Simplified Arabic"/>
          <w:b/>
          <w:bCs/>
          <w:sz w:val="26"/>
          <w:szCs w:val="26"/>
          <w:rtl/>
        </w:rPr>
        <w:t>نحو</w:t>
      </w:r>
      <w:r w:rsidR="003A3097" w:rsidRPr="00F86B13">
        <w:rPr>
          <w:rFonts w:ascii="Simplified Arabic" w:hAnsi="Simplified Arabic" w:cs="Simplified Arabic"/>
          <w:b/>
          <w:bCs/>
          <w:sz w:val="26"/>
          <w:szCs w:val="26"/>
          <w:rtl/>
        </w:rPr>
        <w:t xml:space="preserve"> </w:t>
      </w:r>
      <w:r w:rsidR="00C6307D" w:rsidRPr="00F86B13">
        <w:rPr>
          <w:rFonts w:ascii="Simplified Arabic" w:hAnsi="Simplified Arabic" w:cs="Simplified Arabic"/>
          <w:b/>
          <w:bCs/>
          <w:sz w:val="26"/>
          <w:szCs w:val="26"/>
        </w:rPr>
        <w:t>5.4</w:t>
      </w:r>
      <w:r w:rsidR="003A3097" w:rsidRPr="00F86B13">
        <w:rPr>
          <w:rFonts w:ascii="Simplified Arabic" w:hAnsi="Simplified Arabic" w:cs="Simplified Arabic"/>
          <w:b/>
          <w:bCs/>
          <w:sz w:val="26"/>
          <w:szCs w:val="26"/>
          <w:rtl/>
        </w:rPr>
        <w:t xml:space="preserve"> </w:t>
      </w:r>
      <w:r w:rsidR="00E45640" w:rsidRPr="00F86B13">
        <w:rPr>
          <w:rFonts w:ascii="Simplified Arabic" w:hAnsi="Simplified Arabic" w:cs="Simplified Arabic"/>
          <w:b/>
          <w:bCs/>
          <w:sz w:val="26"/>
          <w:szCs w:val="26"/>
          <w:rtl/>
        </w:rPr>
        <w:t>مليون</w:t>
      </w:r>
      <w:r w:rsidR="003A3097" w:rsidRPr="00F86B13">
        <w:rPr>
          <w:rFonts w:ascii="Simplified Arabic" w:hAnsi="Simplified Arabic" w:cs="Simplified Arabic"/>
          <w:b/>
          <w:bCs/>
          <w:sz w:val="26"/>
          <w:szCs w:val="26"/>
          <w:rtl/>
        </w:rPr>
        <w:t xml:space="preserve"> نسمة بنسبة زيادة سنوية بلغت 2.4%، و</w:t>
      </w:r>
      <w:r w:rsidR="00CF7FEE" w:rsidRPr="00F86B13">
        <w:rPr>
          <w:rFonts w:ascii="Simplified Arabic" w:hAnsi="Simplified Arabic" w:cs="Simplified Arabic"/>
          <w:b/>
          <w:bCs/>
          <w:sz w:val="26"/>
          <w:szCs w:val="26"/>
          <w:rtl/>
        </w:rPr>
        <w:t xml:space="preserve">لا زال ما يقارب </w:t>
      </w:r>
      <w:r w:rsidR="0097356F" w:rsidRPr="00F86B13">
        <w:rPr>
          <w:rFonts w:ascii="Simplified Arabic" w:hAnsi="Simplified Arabic" w:cs="Simplified Arabic"/>
          <w:b/>
          <w:bCs/>
          <w:sz w:val="26"/>
          <w:szCs w:val="26"/>
        </w:rPr>
        <w:t>7</w:t>
      </w:r>
      <w:r w:rsidR="00CF7FEE" w:rsidRPr="00F86B13">
        <w:rPr>
          <w:rFonts w:ascii="Simplified Arabic" w:hAnsi="Simplified Arabic" w:cs="Simplified Arabic"/>
          <w:b/>
          <w:bCs/>
          <w:sz w:val="26"/>
          <w:szCs w:val="26"/>
          <w:rtl/>
        </w:rPr>
        <w:t xml:space="preserve"> مليون فلسطيني يعيشون في الشتات، يحلمون بالعودة الى وطنهم، في الوقت الذي يلتهم فيه الاحتلال الاسرائيلي الارض لإقامة المزيد من الوحدات الاستيطانية</w:t>
      </w:r>
      <w:r w:rsidR="00B67686" w:rsidRPr="00F86B13">
        <w:rPr>
          <w:rFonts w:ascii="Simplified Arabic" w:hAnsi="Simplified Arabic" w:cs="Simplified Arabic"/>
          <w:b/>
          <w:bCs/>
          <w:sz w:val="26"/>
          <w:szCs w:val="26"/>
          <w:rtl/>
        </w:rPr>
        <w:t xml:space="preserve"> ويعزل أكثر من </w:t>
      </w:r>
      <w:r w:rsidR="00D948B5" w:rsidRPr="00F86B13">
        <w:rPr>
          <w:rFonts w:ascii="Simplified Arabic" w:hAnsi="Simplified Arabic" w:cs="Simplified Arabic"/>
          <w:b/>
          <w:bCs/>
          <w:sz w:val="26"/>
          <w:szCs w:val="26"/>
          <w:rtl/>
        </w:rPr>
        <w:t>2.</w:t>
      </w:r>
      <w:r w:rsidR="00771F9B" w:rsidRPr="00F86B13">
        <w:rPr>
          <w:rFonts w:ascii="Simplified Arabic" w:hAnsi="Simplified Arabic" w:cs="Simplified Arabic"/>
          <w:b/>
          <w:bCs/>
          <w:sz w:val="26"/>
          <w:szCs w:val="26"/>
          <w:rtl/>
        </w:rPr>
        <w:t>2</w:t>
      </w:r>
      <w:r w:rsidR="00B67686" w:rsidRPr="00F86B13">
        <w:rPr>
          <w:rFonts w:ascii="Simplified Arabic" w:hAnsi="Simplified Arabic" w:cs="Simplified Arabic"/>
          <w:b/>
          <w:bCs/>
          <w:sz w:val="26"/>
          <w:szCs w:val="26"/>
          <w:rtl/>
        </w:rPr>
        <w:t xml:space="preserve"> مليون فلسطيني في قطاع غزة.</w:t>
      </w:r>
      <w:r w:rsidR="003A3097" w:rsidRPr="00F86B13">
        <w:rPr>
          <w:rFonts w:ascii="Simplified Arabic" w:hAnsi="Simplified Arabic" w:cs="Simplified Arabic"/>
          <w:b/>
          <w:bCs/>
          <w:sz w:val="26"/>
          <w:szCs w:val="26"/>
          <w:rtl/>
        </w:rPr>
        <w:t xml:space="preserve"> </w:t>
      </w:r>
    </w:p>
    <w:p w14:paraId="03C42922" w14:textId="77777777" w:rsidR="00F86B13" w:rsidRPr="00F86B13" w:rsidRDefault="00F86B13" w:rsidP="00C6307D">
      <w:pPr>
        <w:jc w:val="both"/>
        <w:rPr>
          <w:rFonts w:ascii="Simplified Arabic" w:hAnsi="Simplified Arabic" w:cs="Simplified Arabic"/>
          <w:b/>
          <w:bCs/>
          <w:sz w:val="16"/>
          <w:szCs w:val="16"/>
          <w:rtl/>
        </w:rPr>
      </w:pPr>
    </w:p>
    <w:p w14:paraId="721B5F9A" w14:textId="45BFC380" w:rsidR="00F86B13" w:rsidRDefault="00D6373C" w:rsidP="00D6373C">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w:t>
      </w:r>
      <w:r w:rsidR="00F86B13" w:rsidRPr="00BA67C8">
        <w:rPr>
          <w:rFonts w:ascii="Simplified Arabic" w:hAnsi="Simplified Arabic" w:cs="Simplified Arabic"/>
          <w:b/>
          <w:bCs/>
          <w:sz w:val="28"/>
          <w:szCs w:val="28"/>
          <w:rtl/>
          <w:lang w:bidi="ar-EG"/>
        </w:rPr>
        <w:t>استعرضت</w:t>
      </w:r>
      <w:r w:rsidR="00FC62C1">
        <w:rPr>
          <w:rFonts w:ascii="Simplified Arabic" w:hAnsi="Simplified Arabic" w:cs="Simplified Arabic" w:hint="cs"/>
          <w:b/>
          <w:bCs/>
          <w:sz w:val="28"/>
          <w:szCs w:val="28"/>
          <w:rtl/>
          <w:lang w:bidi="ar-EG"/>
        </w:rPr>
        <w:t xml:space="preserve"> معالي</w:t>
      </w:r>
      <w:r w:rsidR="00F86B13" w:rsidRPr="00BA67C8">
        <w:rPr>
          <w:rFonts w:ascii="Simplified Arabic" w:hAnsi="Simplified Arabic" w:cs="Simplified Arabic"/>
          <w:b/>
          <w:bCs/>
          <w:sz w:val="28"/>
          <w:szCs w:val="28"/>
          <w:rtl/>
          <w:lang w:bidi="ar-EG"/>
        </w:rPr>
        <w:t xml:space="preserve"> د. عوض، أوضاع</w:t>
      </w:r>
      <w:r>
        <w:rPr>
          <w:rFonts w:ascii="Simplified Arabic" w:hAnsi="Simplified Arabic" w:cs="Simplified Arabic"/>
          <w:b/>
          <w:bCs/>
          <w:sz w:val="28"/>
          <w:szCs w:val="28"/>
          <w:rtl/>
          <w:lang w:bidi="ar-EG"/>
        </w:rPr>
        <w:t xml:space="preserve"> الفلسطينيين في نهاية عام 2022</w:t>
      </w:r>
      <w:r w:rsidR="00F86B13" w:rsidRPr="00BA67C8">
        <w:rPr>
          <w:rFonts w:ascii="Simplified Arabic" w:hAnsi="Simplified Arabic" w:cs="Simplified Arabic"/>
          <w:b/>
          <w:bCs/>
          <w:sz w:val="28"/>
          <w:szCs w:val="28"/>
          <w:rtl/>
          <w:lang w:bidi="ar-EG"/>
        </w:rPr>
        <w:t>، على النحو الآتي:</w:t>
      </w:r>
    </w:p>
    <w:p w14:paraId="7AF31265" w14:textId="77777777" w:rsidR="00D6373C" w:rsidRPr="00FC4692" w:rsidRDefault="00D6373C" w:rsidP="00D6373C">
      <w:pPr>
        <w:jc w:val="both"/>
        <w:rPr>
          <w:rFonts w:ascii="Simplified Arabic" w:hAnsi="Simplified Arabic" w:cs="Simplified Arabic"/>
          <w:b/>
          <w:bCs/>
          <w:sz w:val="28"/>
          <w:szCs w:val="28"/>
          <w:rtl/>
        </w:rPr>
      </w:pPr>
    </w:p>
    <w:p w14:paraId="1440C6F6" w14:textId="7701F0FE" w:rsidR="00C723E9" w:rsidRPr="00BA67C8" w:rsidRDefault="000D332A" w:rsidP="00771F9B">
      <w:pPr>
        <w:jc w:val="both"/>
        <w:rPr>
          <w:rFonts w:ascii="Simplified Arabic" w:hAnsi="Simplified Arabic" w:cs="Simplified Arabic"/>
          <w:b/>
          <w:bCs/>
          <w:sz w:val="28"/>
          <w:szCs w:val="28"/>
          <w:rtl/>
          <w:lang w:bidi="ar-EG"/>
        </w:rPr>
      </w:pPr>
      <w:r w:rsidRPr="00BA67C8">
        <w:rPr>
          <w:rFonts w:ascii="Simplified Arabic" w:hAnsi="Simplified Arabic" w:cs="Simplified Arabic"/>
          <w:b/>
          <w:bCs/>
          <w:sz w:val="28"/>
          <w:szCs w:val="28"/>
          <w:rtl/>
        </w:rPr>
        <w:t xml:space="preserve">حوالي </w:t>
      </w:r>
      <w:r w:rsidR="00D948B5" w:rsidRPr="00BA67C8">
        <w:rPr>
          <w:rFonts w:ascii="Simplified Arabic" w:hAnsi="Simplified Arabic" w:cs="Simplified Arabic"/>
          <w:b/>
          <w:bCs/>
          <w:sz w:val="28"/>
          <w:szCs w:val="28"/>
          <w:rtl/>
        </w:rPr>
        <w:t>14</w:t>
      </w:r>
      <w:r w:rsidR="00771F9B" w:rsidRPr="00BA67C8">
        <w:rPr>
          <w:rFonts w:ascii="Simplified Arabic" w:hAnsi="Simplified Arabic" w:cs="Simplified Arabic"/>
          <w:b/>
          <w:bCs/>
          <w:sz w:val="28"/>
          <w:szCs w:val="28"/>
          <w:rtl/>
        </w:rPr>
        <w:t>.3</w:t>
      </w:r>
      <w:r w:rsidR="00915822" w:rsidRPr="00BA67C8">
        <w:rPr>
          <w:rFonts w:ascii="Simplified Arabic" w:hAnsi="Simplified Arabic" w:cs="Simplified Arabic"/>
          <w:b/>
          <w:bCs/>
          <w:sz w:val="28"/>
          <w:szCs w:val="28"/>
          <w:rtl/>
          <w:lang w:bidi="ar-EG"/>
        </w:rPr>
        <w:t xml:space="preserve"> مليون فلسطيني في العالم مع نهاية عام </w:t>
      </w:r>
      <w:r w:rsidR="00771F9B" w:rsidRPr="00BA67C8">
        <w:rPr>
          <w:rFonts w:ascii="Simplified Arabic" w:hAnsi="Simplified Arabic" w:cs="Simplified Arabic"/>
          <w:b/>
          <w:bCs/>
          <w:sz w:val="28"/>
          <w:szCs w:val="28"/>
          <w:rtl/>
          <w:lang w:bidi="ar-EG"/>
        </w:rPr>
        <w:t>2022</w:t>
      </w:r>
    </w:p>
    <w:p w14:paraId="141D99E6" w14:textId="51BDCE29" w:rsidR="00C723E9" w:rsidRPr="00BA67C8" w:rsidRDefault="00C723E9" w:rsidP="00E45640">
      <w:pPr>
        <w:jc w:val="lowKashida"/>
        <w:rPr>
          <w:rFonts w:ascii="Simplified Arabic" w:hAnsi="Simplified Arabic" w:cs="Simplified Arabic"/>
          <w:sz w:val="26"/>
          <w:szCs w:val="26"/>
        </w:rPr>
      </w:pPr>
      <w:r w:rsidRPr="00BA67C8">
        <w:rPr>
          <w:rFonts w:ascii="Simplified Arabic" w:hAnsi="Simplified Arabic" w:cs="Simplified Arabic"/>
          <w:sz w:val="26"/>
          <w:szCs w:val="26"/>
          <w:rtl/>
          <w:lang w:eastAsia="en-US"/>
        </w:rPr>
        <w:t xml:space="preserve">بلغ عـدد الفلسطينيين المقدر فـي </w:t>
      </w:r>
      <w:r w:rsidR="00A131EE" w:rsidRPr="00BA67C8">
        <w:rPr>
          <w:rFonts w:ascii="Simplified Arabic" w:hAnsi="Simplified Arabic" w:cs="Simplified Arabic"/>
          <w:sz w:val="26"/>
          <w:szCs w:val="26"/>
          <w:rtl/>
          <w:lang w:eastAsia="en-US"/>
        </w:rPr>
        <w:t xml:space="preserve">نهاية عام </w:t>
      </w:r>
      <w:r w:rsidR="00771F9B" w:rsidRPr="00BA67C8">
        <w:rPr>
          <w:rFonts w:ascii="Simplified Arabic" w:hAnsi="Simplified Arabic" w:cs="Simplified Arabic"/>
          <w:sz w:val="26"/>
          <w:szCs w:val="26"/>
          <w:rtl/>
          <w:lang w:eastAsia="en-US"/>
        </w:rPr>
        <w:t>2022</w:t>
      </w:r>
      <w:r w:rsidR="00007967" w:rsidRPr="00BA67C8">
        <w:rPr>
          <w:rFonts w:ascii="Simplified Arabic" w:hAnsi="Simplified Arabic" w:cs="Simplified Arabic"/>
          <w:sz w:val="26"/>
          <w:szCs w:val="26"/>
          <w:rtl/>
          <w:lang w:eastAsia="en-US"/>
        </w:rPr>
        <w:t xml:space="preserve"> </w:t>
      </w:r>
      <w:r w:rsidRPr="00BA67C8">
        <w:rPr>
          <w:rFonts w:ascii="Simplified Arabic" w:hAnsi="Simplified Arabic" w:cs="Simplified Arabic"/>
          <w:sz w:val="26"/>
          <w:szCs w:val="26"/>
          <w:rtl/>
          <w:lang w:eastAsia="en-US"/>
        </w:rPr>
        <w:t xml:space="preserve">حوالي </w:t>
      </w:r>
      <w:r w:rsidR="00771F9B" w:rsidRPr="00BA67C8">
        <w:rPr>
          <w:rFonts w:ascii="Simplified Arabic" w:hAnsi="Simplified Arabic" w:cs="Simplified Arabic"/>
          <w:sz w:val="26"/>
          <w:szCs w:val="26"/>
          <w:rtl/>
          <w:lang w:eastAsia="en-US"/>
        </w:rPr>
        <w:t>14.3</w:t>
      </w:r>
      <w:r w:rsidR="00D948B5" w:rsidRPr="00BA67C8">
        <w:rPr>
          <w:rFonts w:ascii="Simplified Arabic" w:hAnsi="Simplified Arabic" w:cs="Simplified Arabic"/>
          <w:sz w:val="26"/>
          <w:szCs w:val="26"/>
          <w:rtl/>
          <w:lang w:eastAsia="en-US"/>
        </w:rPr>
        <w:t xml:space="preserve"> </w:t>
      </w:r>
      <w:r w:rsidRPr="00BA67C8">
        <w:rPr>
          <w:rFonts w:ascii="Simplified Arabic" w:hAnsi="Simplified Arabic" w:cs="Simplified Arabic"/>
          <w:sz w:val="26"/>
          <w:szCs w:val="26"/>
          <w:rtl/>
          <w:lang w:eastAsia="en-US"/>
        </w:rPr>
        <w:t xml:space="preserve">مليون فلسطيني؛ </w:t>
      </w:r>
      <w:r w:rsidR="00D948B5" w:rsidRPr="00BA67C8">
        <w:rPr>
          <w:rFonts w:ascii="Simplified Arabic" w:hAnsi="Simplified Arabic" w:cs="Simplified Arabic"/>
          <w:sz w:val="26"/>
          <w:szCs w:val="26"/>
          <w:rtl/>
          <w:lang w:eastAsia="en-US"/>
        </w:rPr>
        <w:t>5.</w:t>
      </w:r>
      <w:r w:rsidR="00771F9B" w:rsidRPr="00BA67C8">
        <w:rPr>
          <w:rFonts w:ascii="Simplified Arabic" w:hAnsi="Simplified Arabic" w:cs="Simplified Arabic"/>
          <w:sz w:val="26"/>
          <w:szCs w:val="26"/>
          <w:rtl/>
          <w:lang w:eastAsia="en-US"/>
        </w:rPr>
        <w:t>4</w:t>
      </w:r>
      <w:r w:rsidRPr="00BA67C8">
        <w:rPr>
          <w:rFonts w:ascii="Simplified Arabic" w:hAnsi="Simplified Arabic" w:cs="Simplified Arabic"/>
          <w:sz w:val="26"/>
          <w:szCs w:val="26"/>
          <w:rtl/>
          <w:lang w:eastAsia="en-US"/>
        </w:rPr>
        <w:t xml:space="preserve"> مليون فـي </w:t>
      </w:r>
      <w:r w:rsidR="003B4E32" w:rsidRPr="00BA67C8">
        <w:rPr>
          <w:rFonts w:ascii="Simplified Arabic" w:hAnsi="Simplified Arabic" w:cs="Simplified Arabic"/>
          <w:sz w:val="26"/>
          <w:szCs w:val="26"/>
          <w:rtl/>
          <w:lang w:eastAsia="en-US"/>
        </w:rPr>
        <w:t xml:space="preserve">دولة </w:t>
      </w:r>
      <w:r w:rsidR="00312B2B" w:rsidRPr="00BA67C8">
        <w:rPr>
          <w:rFonts w:ascii="Simplified Arabic" w:hAnsi="Simplified Arabic" w:cs="Simplified Arabic"/>
          <w:sz w:val="26"/>
          <w:szCs w:val="26"/>
          <w:rtl/>
          <w:lang w:eastAsia="en-US"/>
        </w:rPr>
        <w:t>فلسطين</w:t>
      </w:r>
      <w:r w:rsidR="002B475E" w:rsidRPr="00BA67C8">
        <w:rPr>
          <w:rFonts w:ascii="Simplified Arabic" w:hAnsi="Simplified Arabic" w:cs="Simplified Arabic"/>
          <w:sz w:val="26"/>
          <w:szCs w:val="26"/>
          <w:rtl/>
          <w:lang w:eastAsia="en-US"/>
        </w:rPr>
        <w:t xml:space="preserve">، يقيم </w:t>
      </w:r>
      <w:r w:rsidR="00F424EB" w:rsidRPr="00BA67C8">
        <w:rPr>
          <w:rFonts w:ascii="Simplified Arabic" w:hAnsi="Simplified Arabic" w:cs="Simplified Arabic"/>
          <w:sz w:val="26"/>
          <w:szCs w:val="26"/>
          <w:rtl/>
          <w:lang w:eastAsia="en-US"/>
        </w:rPr>
        <w:t>أكثر</w:t>
      </w:r>
      <w:r w:rsidR="002B475E" w:rsidRPr="00BA67C8">
        <w:rPr>
          <w:rFonts w:ascii="Simplified Arabic" w:hAnsi="Simplified Arabic" w:cs="Simplified Arabic"/>
          <w:sz w:val="26"/>
          <w:szCs w:val="26"/>
          <w:rtl/>
          <w:lang w:eastAsia="en-US"/>
        </w:rPr>
        <w:t xml:space="preserve"> من ثلثهم في قطاع غزة</w:t>
      </w:r>
      <w:r w:rsidRPr="00BA67C8">
        <w:rPr>
          <w:rFonts w:ascii="Simplified Arabic" w:hAnsi="Simplified Arabic" w:cs="Simplified Arabic"/>
          <w:sz w:val="26"/>
          <w:szCs w:val="26"/>
          <w:rtl/>
          <w:lang w:eastAsia="en-US"/>
        </w:rPr>
        <w:t>، و</w:t>
      </w:r>
      <w:r w:rsidR="002B2F8F" w:rsidRPr="00BA67C8">
        <w:rPr>
          <w:rFonts w:ascii="Simplified Arabic" w:hAnsi="Simplified Arabic" w:cs="Simplified Arabic"/>
          <w:sz w:val="26"/>
          <w:szCs w:val="26"/>
          <w:rtl/>
          <w:lang w:eastAsia="en-US"/>
        </w:rPr>
        <w:t xml:space="preserve">حوالي </w:t>
      </w:r>
      <w:r w:rsidR="0082798F" w:rsidRPr="00BA67C8">
        <w:rPr>
          <w:rFonts w:ascii="Simplified Arabic" w:hAnsi="Simplified Arabic" w:cs="Simplified Arabic"/>
          <w:sz w:val="26"/>
          <w:szCs w:val="26"/>
          <w:lang w:eastAsia="en-US"/>
        </w:rPr>
        <w:t>1.</w:t>
      </w:r>
      <w:r w:rsidR="00D948B5" w:rsidRPr="00BA67C8">
        <w:rPr>
          <w:rFonts w:ascii="Simplified Arabic" w:hAnsi="Simplified Arabic" w:cs="Simplified Arabic"/>
          <w:sz w:val="26"/>
          <w:szCs w:val="26"/>
          <w:lang w:eastAsia="en-US"/>
        </w:rPr>
        <w:t>7</w:t>
      </w:r>
      <w:r w:rsidRPr="00BA67C8">
        <w:rPr>
          <w:rFonts w:ascii="Simplified Arabic" w:hAnsi="Simplified Arabic" w:cs="Simplified Arabic"/>
          <w:sz w:val="26"/>
          <w:szCs w:val="26"/>
          <w:rtl/>
          <w:lang w:eastAsia="en-US"/>
        </w:rPr>
        <w:t xml:space="preserve"> مليون فلسطيني في </w:t>
      </w:r>
      <w:r w:rsidR="004F4CED" w:rsidRPr="00BA67C8">
        <w:rPr>
          <w:rFonts w:ascii="Simplified Arabic" w:hAnsi="Simplified Arabic" w:cs="Simplified Arabic"/>
          <w:sz w:val="26"/>
          <w:szCs w:val="26"/>
          <w:rtl/>
          <w:lang w:eastAsia="en-US"/>
        </w:rPr>
        <w:t>أراضي 1948</w:t>
      </w:r>
      <w:r w:rsidRPr="00BA67C8">
        <w:rPr>
          <w:rFonts w:ascii="Simplified Arabic" w:hAnsi="Simplified Arabic" w:cs="Simplified Arabic"/>
          <w:sz w:val="26"/>
          <w:szCs w:val="26"/>
          <w:rtl/>
          <w:lang w:eastAsia="en-US"/>
        </w:rPr>
        <w:t xml:space="preserve">، وما يقارب </w:t>
      </w:r>
      <w:r w:rsidR="006C09C3" w:rsidRPr="00BA67C8">
        <w:rPr>
          <w:rFonts w:ascii="Simplified Arabic" w:hAnsi="Simplified Arabic" w:cs="Simplified Arabic"/>
          <w:sz w:val="26"/>
          <w:szCs w:val="26"/>
          <w:lang w:eastAsia="en-US"/>
        </w:rPr>
        <w:t>6.</w:t>
      </w:r>
      <w:r w:rsidR="00771F9B" w:rsidRPr="00BA67C8">
        <w:rPr>
          <w:rFonts w:ascii="Simplified Arabic" w:hAnsi="Simplified Arabic" w:cs="Simplified Arabic"/>
          <w:sz w:val="26"/>
          <w:szCs w:val="26"/>
          <w:lang w:eastAsia="en-US"/>
        </w:rPr>
        <w:t>4</w:t>
      </w:r>
      <w:r w:rsidR="006C09C3" w:rsidRPr="00BA67C8">
        <w:rPr>
          <w:rFonts w:ascii="Simplified Arabic" w:hAnsi="Simplified Arabic" w:cs="Simplified Arabic"/>
          <w:sz w:val="26"/>
          <w:szCs w:val="26"/>
          <w:rtl/>
          <w:lang w:eastAsia="en-US"/>
        </w:rPr>
        <w:t xml:space="preserve"> مليون</w:t>
      </w:r>
      <w:r w:rsidRPr="00BA67C8">
        <w:rPr>
          <w:rFonts w:ascii="Simplified Arabic" w:hAnsi="Simplified Arabic" w:cs="Simplified Arabic"/>
          <w:sz w:val="26"/>
          <w:szCs w:val="26"/>
          <w:rtl/>
          <w:lang w:eastAsia="en-US"/>
        </w:rPr>
        <w:t xml:space="preserve"> في الدول العربية ونحو </w:t>
      </w:r>
      <w:r w:rsidR="00771F9B" w:rsidRPr="00BA67C8">
        <w:rPr>
          <w:rFonts w:ascii="Simplified Arabic" w:hAnsi="Simplified Arabic" w:cs="Simplified Arabic"/>
          <w:sz w:val="26"/>
          <w:szCs w:val="26"/>
          <w:lang w:eastAsia="en-US"/>
        </w:rPr>
        <w:t>761</w:t>
      </w:r>
      <w:r w:rsidR="00E240AE" w:rsidRPr="00BA67C8">
        <w:rPr>
          <w:rFonts w:ascii="Simplified Arabic" w:hAnsi="Simplified Arabic" w:cs="Simplified Arabic"/>
          <w:sz w:val="26"/>
          <w:szCs w:val="26"/>
          <w:rtl/>
          <w:lang w:eastAsia="en-US"/>
        </w:rPr>
        <w:t xml:space="preserve"> </w:t>
      </w:r>
      <w:r w:rsidRPr="00BA67C8">
        <w:rPr>
          <w:rFonts w:ascii="Simplified Arabic" w:hAnsi="Simplified Arabic" w:cs="Simplified Arabic"/>
          <w:sz w:val="26"/>
          <w:szCs w:val="26"/>
          <w:rtl/>
          <w:lang w:eastAsia="en-US"/>
        </w:rPr>
        <w:t>ألف في الدول الأجنبية.</w:t>
      </w:r>
      <w:r w:rsidRPr="00BA67C8">
        <w:rPr>
          <w:rFonts w:ascii="Simplified Arabic" w:hAnsi="Simplified Arabic" w:cs="Simplified Arabic"/>
          <w:sz w:val="26"/>
          <w:szCs w:val="26"/>
        </w:rPr>
        <w:t xml:space="preserve"> </w:t>
      </w:r>
      <w:r w:rsidR="00771F9B" w:rsidRPr="00BA67C8">
        <w:rPr>
          <w:rFonts w:ascii="Simplified Arabic" w:hAnsi="Simplified Arabic" w:cs="Simplified Arabic"/>
          <w:sz w:val="26"/>
          <w:szCs w:val="26"/>
          <w:rtl/>
        </w:rPr>
        <w:t>و</w:t>
      </w:r>
      <w:r w:rsidR="00D12347" w:rsidRPr="00BA67C8">
        <w:rPr>
          <w:rFonts w:ascii="Simplified Arabic" w:hAnsi="Simplified Arabic" w:cs="Simplified Arabic"/>
          <w:noProof/>
          <w:sz w:val="26"/>
          <w:szCs w:val="26"/>
          <w:rtl/>
          <w:lang w:eastAsia="en-US"/>
        </w:rPr>
        <w:t xml:space="preserve">من المتوقع ان يبلغ عدد </w:t>
      </w:r>
      <w:r w:rsidR="00D30306" w:rsidRPr="00BA67C8">
        <w:rPr>
          <w:rFonts w:ascii="Simplified Arabic" w:hAnsi="Simplified Arabic" w:cs="Simplified Arabic"/>
          <w:noProof/>
          <w:sz w:val="26"/>
          <w:szCs w:val="26"/>
          <w:rtl/>
          <w:lang w:eastAsia="en-US"/>
        </w:rPr>
        <w:t>اليهود</w:t>
      </w:r>
      <w:r w:rsidR="00D12347" w:rsidRPr="00BA67C8">
        <w:rPr>
          <w:rFonts w:ascii="Simplified Arabic" w:hAnsi="Simplified Arabic" w:cs="Simplified Arabic"/>
          <w:noProof/>
          <w:sz w:val="26"/>
          <w:szCs w:val="26"/>
          <w:rtl/>
          <w:lang w:eastAsia="en-US"/>
        </w:rPr>
        <w:t xml:space="preserve"> </w:t>
      </w:r>
      <w:r w:rsidR="00771F9B" w:rsidRPr="00BA67C8">
        <w:rPr>
          <w:rFonts w:ascii="Simplified Arabic" w:hAnsi="Simplified Arabic" w:cs="Simplified Arabic"/>
          <w:noProof/>
          <w:sz w:val="26"/>
          <w:szCs w:val="26"/>
          <w:lang w:eastAsia="en-US"/>
        </w:rPr>
        <w:t>7.1</w:t>
      </w:r>
      <w:r w:rsidR="00D12347" w:rsidRPr="00BA67C8">
        <w:rPr>
          <w:rFonts w:ascii="Simplified Arabic" w:hAnsi="Simplified Arabic" w:cs="Simplified Arabic"/>
          <w:noProof/>
          <w:sz w:val="26"/>
          <w:szCs w:val="26"/>
          <w:rtl/>
          <w:lang w:eastAsia="en-US"/>
        </w:rPr>
        <w:t xml:space="preserve"> مليون مع نهاية عام </w:t>
      </w:r>
      <w:r w:rsidR="00771F9B" w:rsidRPr="00BA67C8">
        <w:rPr>
          <w:rFonts w:ascii="Simplified Arabic" w:hAnsi="Simplified Arabic" w:cs="Simplified Arabic"/>
          <w:noProof/>
          <w:sz w:val="26"/>
          <w:szCs w:val="26"/>
          <w:lang w:eastAsia="en-US"/>
        </w:rPr>
        <w:t>2022</w:t>
      </w:r>
      <w:r w:rsidR="00D12347" w:rsidRPr="00BA67C8">
        <w:rPr>
          <w:rFonts w:ascii="Simplified Arabic" w:hAnsi="Simplified Arabic" w:cs="Simplified Arabic"/>
          <w:noProof/>
          <w:sz w:val="26"/>
          <w:szCs w:val="26"/>
          <w:rtl/>
          <w:lang w:eastAsia="en-US"/>
        </w:rPr>
        <w:t xml:space="preserve">.  </w:t>
      </w:r>
      <w:r w:rsidR="00771F9B" w:rsidRPr="00BA67C8">
        <w:rPr>
          <w:rFonts w:ascii="Simplified Arabic" w:hAnsi="Simplified Arabic" w:cs="Simplified Arabic"/>
          <w:noProof/>
          <w:sz w:val="26"/>
          <w:szCs w:val="26"/>
          <w:rtl/>
          <w:lang w:eastAsia="en-US"/>
        </w:rPr>
        <w:t xml:space="preserve">وبذلك يتساوى عدد الفلسطينيين واليهود في فلسطين التاريخية مع </w:t>
      </w:r>
      <w:r w:rsidR="00E45640" w:rsidRPr="00BA67C8">
        <w:rPr>
          <w:rFonts w:ascii="Simplified Arabic" w:hAnsi="Simplified Arabic" w:cs="Simplified Arabic"/>
          <w:noProof/>
          <w:sz w:val="26"/>
          <w:szCs w:val="26"/>
          <w:rtl/>
          <w:lang w:eastAsia="en-US"/>
        </w:rPr>
        <w:t xml:space="preserve"> </w:t>
      </w:r>
      <w:r w:rsidR="00771F9B" w:rsidRPr="00BA67C8">
        <w:rPr>
          <w:rFonts w:ascii="Simplified Arabic" w:hAnsi="Simplified Arabic" w:cs="Simplified Arabic"/>
          <w:noProof/>
          <w:sz w:val="26"/>
          <w:szCs w:val="26"/>
          <w:rtl/>
          <w:lang w:eastAsia="en-US"/>
        </w:rPr>
        <w:t xml:space="preserve">نهاية </w:t>
      </w:r>
      <w:r w:rsidR="00E45640" w:rsidRPr="00BA67C8">
        <w:rPr>
          <w:rFonts w:ascii="Simplified Arabic" w:hAnsi="Simplified Arabic" w:cs="Simplified Arabic"/>
          <w:noProof/>
          <w:sz w:val="26"/>
          <w:szCs w:val="26"/>
          <w:rtl/>
          <w:lang w:eastAsia="en-US"/>
        </w:rPr>
        <w:t>هذا العام</w:t>
      </w:r>
      <w:r w:rsidR="00D12347" w:rsidRPr="00BA67C8">
        <w:rPr>
          <w:rFonts w:ascii="Simplified Arabic" w:hAnsi="Simplified Arabic" w:cs="Simplified Arabic"/>
          <w:noProof/>
          <w:sz w:val="26"/>
          <w:szCs w:val="26"/>
          <w:rtl/>
          <w:lang w:eastAsia="en-US"/>
        </w:rPr>
        <w:t xml:space="preserve">، حيث سيصبح عدد الفلسطينين </w:t>
      </w:r>
      <w:r w:rsidR="00D30306" w:rsidRPr="00BA67C8">
        <w:rPr>
          <w:rFonts w:ascii="Simplified Arabic" w:hAnsi="Simplified Arabic" w:cs="Simplified Arabic"/>
          <w:noProof/>
          <w:sz w:val="26"/>
          <w:szCs w:val="26"/>
          <w:rtl/>
          <w:lang w:eastAsia="en-US"/>
        </w:rPr>
        <w:t xml:space="preserve">واليهود </w:t>
      </w:r>
      <w:r w:rsidR="00D12347" w:rsidRPr="00BA67C8">
        <w:rPr>
          <w:rFonts w:ascii="Simplified Arabic" w:hAnsi="Simplified Arabic" w:cs="Simplified Arabic"/>
          <w:noProof/>
          <w:sz w:val="26"/>
          <w:szCs w:val="26"/>
          <w:rtl/>
          <w:lang w:eastAsia="en-US"/>
        </w:rPr>
        <w:t>حوالي 7.1 مليون لكل منهم.</w:t>
      </w:r>
    </w:p>
    <w:p w14:paraId="4EA5BE75" w14:textId="77777777" w:rsidR="0082798F" w:rsidRPr="00F86B13" w:rsidRDefault="0082798F" w:rsidP="00BA67C8">
      <w:pPr>
        <w:rPr>
          <w:rFonts w:ascii="Simplified Arabic" w:hAnsi="Simplified Arabic" w:cs="Simplified Arabic"/>
          <w:sz w:val="10"/>
          <w:szCs w:val="10"/>
          <w:rtl/>
          <w:lang w:eastAsia="en-US"/>
        </w:rPr>
      </w:pPr>
    </w:p>
    <w:p w14:paraId="4D3E6999" w14:textId="4BF65C56" w:rsidR="000B2730" w:rsidRPr="00BA67C8" w:rsidRDefault="000B2730" w:rsidP="00E45640">
      <w:pPr>
        <w:jc w:val="both"/>
        <w:rPr>
          <w:rFonts w:ascii="Simplified Arabic" w:hAnsi="Simplified Arabic" w:cs="Simplified Arabic"/>
          <w:b/>
          <w:bCs/>
          <w:sz w:val="28"/>
          <w:szCs w:val="28"/>
        </w:rPr>
      </w:pPr>
      <w:r w:rsidRPr="00BA67C8">
        <w:rPr>
          <w:rFonts w:ascii="Simplified Arabic" w:hAnsi="Simplified Arabic" w:cs="Simplified Arabic"/>
          <w:b/>
          <w:bCs/>
          <w:sz w:val="28"/>
          <w:szCs w:val="28"/>
          <w:rtl/>
        </w:rPr>
        <w:t>المجتمع الفلسطيني فتي وأكثر من ثلث سكانه دون 15 سنة</w:t>
      </w:r>
    </w:p>
    <w:p w14:paraId="6E65ED18" w14:textId="070C0DC4" w:rsidR="000B2730" w:rsidRPr="00BA67C8" w:rsidRDefault="000B2730" w:rsidP="00547D66">
      <w:pPr>
        <w:jc w:val="lowKashida"/>
        <w:rPr>
          <w:rFonts w:ascii="Simplified Arabic" w:hAnsi="Simplified Arabic" w:cs="Simplified Arabic"/>
          <w:sz w:val="26"/>
          <w:szCs w:val="26"/>
          <w:lang w:val="en-GB"/>
        </w:rPr>
      </w:pPr>
      <w:r w:rsidRPr="00BA67C8">
        <w:rPr>
          <w:rFonts w:ascii="Simplified Arabic" w:hAnsi="Simplified Arabic" w:cs="Simplified Arabic"/>
          <w:sz w:val="26"/>
          <w:szCs w:val="26"/>
          <w:rtl/>
          <w:lang w:val="en-GB"/>
        </w:rPr>
        <w:t xml:space="preserve">تقدر نسبة الأفراد في الفئة العمريـة 0-14 سنة في نهاية عام </w:t>
      </w:r>
      <w:r w:rsidR="00547D66" w:rsidRPr="00BA67C8">
        <w:rPr>
          <w:rFonts w:ascii="Simplified Arabic" w:hAnsi="Simplified Arabic" w:cs="Simplified Arabic"/>
          <w:sz w:val="26"/>
          <w:szCs w:val="26"/>
          <w:rtl/>
          <w:lang w:val="en-GB"/>
        </w:rPr>
        <w:t>2022</w:t>
      </w:r>
      <w:r w:rsidRPr="00BA67C8">
        <w:rPr>
          <w:rFonts w:ascii="Simplified Arabic" w:hAnsi="Simplified Arabic" w:cs="Simplified Arabic"/>
          <w:sz w:val="26"/>
          <w:szCs w:val="26"/>
          <w:rtl/>
          <w:lang w:val="en-GB"/>
        </w:rPr>
        <w:t xml:space="preserve"> بحوالي </w:t>
      </w:r>
      <w:r w:rsidRPr="00BA67C8">
        <w:rPr>
          <w:rFonts w:ascii="Simplified Arabic" w:hAnsi="Simplified Arabic" w:cs="Simplified Arabic"/>
          <w:sz w:val="26"/>
          <w:szCs w:val="26"/>
          <w:lang w:val="en-GB"/>
        </w:rPr>
        <w:t>38</w:t>
      </w:r>
      <w:r w:rsidRPr="00BA67C8">
        <w:rPr>
          <w:rFonts w:ascii="Simplified Arabic" w:hAnsi="Simplified Arabic" w:cs="Simplified Arabic"/>
          <w:sz w:val="26"/>
          <w:szCs w:val="26"/>
          <w:rtl/>
          <w:lang w:val="en-GB"/>
        </w:rPr>
        <w:t xml:space="preserve">% من مجمل السكان فـي فلسطين، بـواقع </w:t>
      </w:r>
      <w:r w:rsidRPr="00BA67C8">
        <w:rPr>
          <w:rFonts w:ascii="Simplified Arabic" w:hAnsi="Simplified Arabic" w:cs="Simplified Arabic"/>
          <w:sz w:val="26"/>
          <w:szCs w:val="26"/>
          <w:lang w:val="en-GB"/>
        </w:rPr>
        <w:t>36</w:t>
      </w:r>
      <w:r w:rsidRPr="00BA67C8">
        <w:rPr>
          <w:rFonts w:ascii="Simplified Arabic" w:hAnsi="Simplified Arabic" w:cs="Simplified Arabic"/>
          <w:sz w:val="26"/>
          <w:szCs w:val="26"/>
          <w:rtl/>
          <w:lang w:val="en-GB"/>
        </w:rPr>
        <w:t>% في الضفة الغربية و</w:t>
      </w:r>
      <w:r w:rsidRPr="00BA67C8">
        <w:rPr>
          <w:rFonts w:ascii="Simplified Arabic" w:hAnsi="Simplified Arabic" w:cs="Simplified Arabic"/>
          <w:sz w:val="26"/>
          <w:szCs w:val="26"/>
          <w:lang w:val="en-GB"/>
        </w:rPr>
        <w:t>41</w:t>
      </w:r>
      <w:r w:rsidRPr="00BA67C8">
        <w:rPr>
          <w:rFonts w:ascii="Simplified Arabic" w:hAnsi="Simplified Arabic" w:cs="Simplified Arabic"/>
          <w:sz w:val="26"/>
          <w:szCs w:val="26"/>
          <w:rtl/>
          <w:lang w:val="en-GB"/>
        </w:rPr>
        <w:t xml:space="preserve">% في قطاع غزة.  ويلاحظ انخفاض نسبة الأفراد الذين تبلغ أعمارهم 65 سنة فأكثر، حيث قدرت نسبتهم في نهاية عام </w:t>
      </w:r>
      <w:r w:rsidR="00547D66" w:rsidRPr="00BA67C8">
        <w:rPr>
          <w:rFonts w:ascii="Simplified Arabic" w:hAnsi="Simplified Arabic" w:cs="Simplified Arabic"/>
          <w:sz w:val="26"/>
          <w:szCs w:val="26"/>
          <w:rtl/>
          <w:lang w:val="en-GB"/>
        </w:rPr>
        <w:t>2022</w:t>
      </w:r>
      <w:r w:rsidRPr="00BA67C8">
        <w:rPr>
          <w:rFonts w:ascii="Simplified Arabic" w:hAnsi="Simplified Arabic" w:cs="Simplified Arabic"/>
          <w:sz w:val="26"/>
          <w:szCs w:val="26"/>
          <w:rtl/>
          <w:lang w:val="en-GB"/>
        </w:rPr>
        <w:t xml:space="preserve"> بحوالي 3% في فلسطين، بواقع 4% في الضفة الغربية و3% في قطاع غزة.</w:t>
      </w:r>
    </w:p>
    <w:p w14:paraId="4788674B" w14:textId="77777777" w:rsidR="0062353B" w:rsidRPr="00F86B13" w:rsidRDefault="0062353B" w:rsidP="00BA67C8">
      <w:pPr>
        <w:pStyle w:val="Heading1"/>
        <w:rPr>
          <w:rFonts w:ascii="Simplified Arabic" w:hAnsi="Simplified Arabic" w:cs="Simplified Arabic"/>
          <w:sz w:val="10"/>
          <w:szCs w:val="10"/>
          <w:rtl/>
          <w:lang w:val="en-GB"/>
        </w:rPr>
      </w:pPr>
    </w:p>
    <w:p w14:paraId="56EF8B73" w14:textId="77777777" w:rsidR="00C723E9" w:rsidRPr="00BA67C8" w:rsidRDefault="00721AED" w:rsidP="0065077E">
      <w:pPr>
        <w:pStyle w:val="Heading1"/>
        <w:jc w:val="both"/>
        <w:rPr>
          <w:rFonts w:ascii="Simplified Arabic" w:hAnsi="Simplified Arabic" w:cs="Simplified Arabic"/>
          <w:sz w:val="28"/>
          <w:szCs w:val="28"/>
          <w:rtl/>
        </w:rPr>
      </w:pPr>
      <w:r w:rsidRPr="00BA67C8">
        <w:rPr>
          <w:rFonts w:ascii="Simplified Arabic" w:hAnsi="Simplified Arabic" w:cs="Simplified Arabic"/>
          <w:sz w:val="28"/>
          <w:szCs w:val="28"/>
          <w:rtl/>
        </w:rPr>
        <w:t>انخفاض في</w:t>
      </w:r>
      <w:r w:rsidR="00C723E9" w:rsidRPr="00BA67C8">
        <w:rPr>
          <w:rFonts w:ascii="Simplified Arabic" w:hAnsi="Simplified Arabic" w:cs="Simplified Arabic"/>
          <w:sz w:val="28"/>
          <w:szCs w:val="28"/>
          <w:rtl/>
        </w:rPr>
        <w:t xml:space="preserve"> معدلات الخصوبة </w:t>
      </w:r>
    </w:p>
    <w:p w14:paraId="3C33FCD0" w14:textId="77777777" w:rsidR="006958BA" w:rsidRPr="00BA67C8" w:rsidRDefault="00C723E9" w:rsidP="00C02032">
      <w:pPr>
        <w:tabs>
          <w:tab w:val="left" w:pos="5400"/>
        </w:tabs>
        <w:jc w:val="lowKashida"/>
        <w:rPr>
          <w:rFonts w:ascii="Simplified Arabic" w:hAnsi="Simplified Arabic" w:cs="Simplified Arabic"/>
          <w:sz w:val="26"/>
          <w:szCs w:val="26"/>
          <w:rtl/>
          <w:lang w:eastAsia="en-US"/>
        </w:rPr>
      </w:pPr>
      <w:r w:rsidRPr="00BA67C8">
        <w:rPr>
          <w:rFonts w:ascii="Simplified Arabic" w:hAnsi="Simplified Arabic" w:cs="Simplified Arabic"/>
          <w:sz w:val="26"/>
          <w:szCs w:val="26"/>
          <w:rtl/>
          <w:lang w:eastAsia="en-US"/>
        </w:rPr>
        <w:t>انخفض معدل الخصوبة الكل</w:t>
      </w:r>
      <w:r w:rsidR="008D5D94" w:rsidRPr="00BA67C8">
        <w:rPr>
          <w:rFonts w:ascii="Simplified Arabic" w:hAnsi="Simplified Arabic" w:cs="Simplified Arabic"/>
          <w:sz w:val="26"/>
          <w:szCs w:val="26"/>
          <w:rtl/>
          <w:lang w:eastAsia="en-US"/>
        </w:rPr>
        <w:t>ية</w:t>
      </w:r>
      <w:r w:rsidRPr="00BA67C8">
        <w:rPr>
          <w:rFonts w:ascii="Simplified Arabic" w:hAnsi="Simplified Arabic" w:cs="Simplified Arabic"/>
          <w:sz w:val="26"/>
          <w:szCs w:val="26"/>
          <w:rtl/>
          <w:lang w:eastAsia="en-US"/>
        </w:rPr>
        <w:t xml:space="preserve"> </w:t>
      </w:r>
      <w:r w:rsidR="00770980" w:rsidRPr="00BA67C8">
        <w:rPr>
          <w:rFonts w:ascii="Simplified Arabic" w:hAnsi="Simplified Arabic" w:cs="Simplified Arabic"/>
          <w:sz w:val="26"/>
          <w:szCs w:val="26"/>
          <w:rtl/>
          <w:lang w:eastAsia="en-US"/>
        </w:rPr>
        <w:t xml:space="preserve">خلال الفترة </w:t>
      </w:r>
      <w:r w:rsidR="00E46B3C" w:rsidRPr="00BA67C8">
        <w:rPr>
          <w:rFonts w:ascii="Simplified Arabic" w:hAnsi="Simplified Arabic" w:cs="Simplified Arabic"/>
          <w:sz w:val="26"/>
          <w:szCs w:val="26"/>
          <w:rtl/>
          <w:lang w:eastAsia="en-US"/>
        </w:rPr>
        <w:t>(</w:t>
      </w:r>
      <w:r w:rsidR="0082798F" w:rsidRPr="00BA67C8">
        <w:rPr>
          <w:rFonts w:ascii="Simplified Arabic" w:hAnsi="Simplified Arabic" w:cs="Simplified Arabic"/>
          <w:sz w:val="26"/>
          <w:szCs w:val="26"/>
          <w:lang w:eastAsia="en-US"/>
        </w:rPr>
        <w:t>2017</w:t>
      </w:r>
      <w:r w:rsidR="00770980" w:rsidRPr="00BA67C8">
        <w:rPr>
          <w:rFonts w:ascii="Simplified Arabic" w:hAnsi="Simplified Arabic" w:cs="Simplified Arabic"/>
          <w:sz w:val="26"/>
          <w:szCs w:val="26"/>
          <w:rtl/>
          <w:lang w:eastAsia="en-US"/>
        </w:rPr>
        <w:t>-</w:t>
      </w:r>
      <w:r w:rsidR="0082798F" w:rsidRPr="00BA67C8">
        <w:rPr>
          <w:rFonts w:ascii="Simplified Arabic" w:hAnsi="Simplified Arabic" w:cs="Simplified Arabic"/>
          <w:sz w:val="26"/>
          <w:szCs w:val="26"/>
          <w:lang w:eastAsia="en-US"/>
        </w:rPr>
        <w:t>2019</w:t>
      </w:r>
      <w:r w:rsidR="00E46B3C" w:rsidRPr="00BA67C8">
        <w:rPr>
          <w:rFonts w:ascii="Simplified Arabic" w:hAnsi="Simplified Arabic" w:cs="Simplified Arabic"/>
          <w:sz w:val="26"/>
          <w:szCs w:val="26"/>
          <w:rtl/>
          <w:lang w:eastAsia="en-US"/>
        </w:rPr>
        <w:t>)</w:t>
      </w:r>
      <w:r w:rsidRPr="00BA67C8">
        <w:rPr>
          <w:rFonts w:ascii="Simplified Arabic" w:hAnsi="Simplified Arabic" w:cs="Simplified Arabic"/>
          <w:sz w:val="26"/>
          <w:szCs w:val="26"/>
          <w:rtl/>
          <w:lang w:eastAsia="en-US"/>
        </w:rPr>
        <w:t xml:space="preserve"> إلى</w:t>
      </w:r>
      <w:r w:rsidR="00C02032" w:rsidRPr="00BA67C8">
        <w:rPr>
          <w:rFonts w:ascii="Simplified Arabic" w:hAnsi="Simplified Arabic" w:cs="Simplified Arabic"/>
          <w:sz w:val="26"/>
          <w:szCs w:val="26"/>
          <w:rtl/>
          <w:lang w:eastAsia="en-US"/>
        </w:rPr>
        <w:t xml:space="preserve"> نحو </w:t>
      </w:r>
      <w:r w:rsidR="00D51DAF" w:rsidRPr="00BA67C8">
        <w:rPr>
          <w:rFonts w:ascii="Simplified Arabic" w:hAnsi="Simplified Arabic" w:cs="Simplified Arabic"/>
          <w:sz w:val="26"/>
          <w:szCs w:val="26"/>
          <w:rtl/>
          <w:lang w:eastAsia="en-US"/>
        </w:rPr>
        <w:t xml:space="preserve">4 </w:t>
      </w:r>
      <w:r w:rsidR="00C02032" w:rsidRPr="00BA67C8">
        <w:rPr>
          <w:rFonts w:ascii="Simplified Arabic" w:hAnsi="Simplified Arabic" w:cs="Simplified Arabic"/>
          <w:sz w:val="26"/>
          <w:szCs w:val="26"/>
          <w:rtl/>
          <w:lang w:eastAsia="en-US"/>
        </w:rPr>
        <w:t>مواليد</w:t>
      </w:r>
      <w:r w:rsidR="00E46B3C" w:rsidRPr="00BA67C8">
        <w:rPr>
          <w:rFonts w:ascii="Simplified Arabic" w:hAnsi="Simplified Arabic" w:cs="Simplified Arabic"/>
          <w:sz w:val="26"/>
          <w:szCs w:val="26"/>
          <w:rtl/>
          <w:lang w:eastAsia="en-US"/>
        </w:rPr>
        <w:t>،</w:t>
      </w:r>
      <w:r w:rsidRPr="00BA67C8">
        <w:rPr>
          <w:rFonts w:ascii="Simplified Arabic" w:hAnsi="Simplified Arabic" w:cs="Simplified Arabic"/>
          <w:sz w:val="26"/>
          <w:szCs w:val="26"/>
          <w:rtl/>
          <w:lang w:eastAsia="en-US"/>
        </w:rPr>
        <w:t xml:space="preserve"> مقارنة مع </w:t>
      </w:r>
      <w:r w:rsidR="00D51DAF" w:rsidRPr="00BA67C8">
        <w:rPr>
          <w:rFonts w:ascii="Simplified Arabic" w:hAnsi="Simplified Arabic" w:cs="Simplified Arabic"/>
          <w:sz w:val="26"/>
          <w:szCs w:val="26"/>
          <w:rtl/>
          <w:lang w:eastAsia="en-US"/>
        </w:rPr>
        <w:t xml:space="preserve">5 </w:t>
      </w:r>
      <w:r w:rsidR="00203F81" w:rsidRPr="00BA67C8">
        <w:rPr>
          <w:rFonts w:ascii="Simplified Arabic" w:hAnsi="Simplified Arabic" w:cs="Simplified Arabic"/>
          <w:sz w:val="26"/>
          <w:szCs w:val="26"/>
          <w:rtl/>
          <w:lang w:eastAsia="en-US"/>
        </w:rPr>
        <w:t>مواليد</w:t>
      </w:r>
      <w:r w:rsidR="00312577" w:rsidRPr="00BA67C8">
        <w:rPr>
          <w:rFonts w:ascii="Simplified Arabic" w:hAnsi="Simplified Arabic" w:cs="Simplified Arabic"/>
          <w:sz w:val="26"/>
          <w:szCs w:val="26"/>
          <w:rtl/>
          <w:lang w:eastAsia="en-US"/>
        </w:rPr>
        <w:t xml:space="preserve"> </w:t>
      </w:r>
      <w:r w:rsidRPr="00BA67C8">
        <w:rPr>
          <w:rFonts w:ascii="Simplified Arabic" w:hAnsi="Simplified Arabic" w:cs="Simplified Arabic"/>
          <w:sz w:val="26"/>
          <w:szCs w:val="26"/>
          <w:rtl/>
          <w:lang w:eastAsia="en-US"/>
        </w:rPr>
        <w:t xml:space="preserve">عام </w:t>
      </w:r>
      <w:r w:rsidR="0034535D" w:rsidRPr="00BA67C8">
        <w:rPr>
          <w:rFonts w:ascii="Simplified Arabic" w:hAnsi="Simplified Arabic" w:cs="Simplified Arabic"/>
          <w:sz w:val="26"/>
          <w:szCs w:val="26"/>
          <w:rtl/>
          <w:lang w:eastAsia="en-US"/>
        </w:rPr>
        <w:t>1999</w:t>
      </w:r>
      <w:r w:rsidRPr="00BA67C8">
        <w:rPr>
          <w:rFonts w:ascii="Simplified Arabic" w:hAnsi="Simplified Arabic" w:cs="Simplified Arabic"/>
          <w:sz w:val="26"/>
          <w:szCs w:val="26"/>
          <w:rtl/>
          <w:lang w:eastAsia="en-US"/>
        </w:rPr>
        <w:t xml:space="preserve">؛ </w:t>
      </w:r>
      <w:r w:rsidR="00D51DAF" w:rsidRPr="00BA67C8">
        <w:rPr>
          <w:rFonts w:ascii="Simplified Arabic" w:hAnsi="Simplified Arabic" w:cs="Simplified Arabic"/>
          <w:sz w:val="26"/>
          <w:szCs w:val="26"/>
          <w:rtl/>
          <w:lang w:eastAsia="en-US"/>
        </w:rPr>
        <w:t xml:space="preserve">4 </w:t>
      </w:r>
      <w:r w:rsidR="00C02032" w:rsidRPr="00BA67C8">
        <w:rPr>
          <w:rFonts w:ascii="Simplified Arabic" w:hAnsi="Simplified Arabic" w:cs="Simplified Arabic"/>
          <w:sz w:val="26"/>
          <w:szCs w:val="26"/>
          <w:rtl/>
          <w:lang w:eastAsia="en-US"/>
        </w:rPr>
        <w:t>مواليد</w:t>
      </w:r>
      <w:r w:rsidRPr="00BA67C8">
        <w:rPr>
          <w:rFonts w:ascii="Simplified Arabic" w:hAnsi="Simplified Arabic" w:cs="Simplified Arabic"/>
          <w:sz w:val="26"/>
          <w:szCs w:val="26"/>
          <w:rtl/>
          <w:lang w:eastAsia="en-US"/>
        </w:rPr>
        <w:t xml:space="preserve"> في الضفة الغربية </w:t>
      </w:r>
      <w:r w:rsidR="00D51DAF" w:rsidRPr="00BA67C8">
        <w:rPr>
          <w:rFonts w:ascii="Simplified Arabic" w:hAnsi="Simplified Arabic" w:cs="Simplified Arabic"/>
          <w:sz w:val="26"/>
          <w:szCs w:val="26"/>
          <w:rtl/>
          <w:lang w:eastAsia="en-US"/>
        </w:rPr>
        <w:t>و</w:t>
      </w:r>
      <w:r w:rsidR="004A128C" w:rsidRPr="00BA67C8">
        <w:rPr>
          <w:rFonts w:ascii="Simplified Arabic" w:hAnsi="Simplified Arabic" w:cs="Simplified Arabic"/>
          <w:sz w:val="26"/>
          <w:szCs w:val="26"/>
          <w:rtl/>
          <w:lang w:eastAsia="en-US"/>
        </w:rPr>
        <w:t>4</w:t>
      </w:r>
      <w:r w:rsidR="00026B13" w:rsidRPr="00BA67C8">
        <w:rPr>
          <w:rFonts w:ascii="Simplified Arabic" w:hAnsi="Simplified Arabic" w:cs="Simplified Arabic"/>
          <w:sz w:val="26"/>
          <w:szCs w:val="26"/>
          <w:rtl/>
          <w:lang w:eastAsia="en-US"/>
        </w:rPr>
        <w:t xml:space="preserve"> </w:t>
      </w:r>
      <w:r w:rsidR="00203F81" w:rsidRPr="00BA67C8">
        <w:rPr>
          <w:rFonts w:ascii="Simplified Arabic" w:hAnsi="Simplified Arabic" w:cs="Simplified Arabic"/>
          <w:sz w:val="26"/>
          <w:szCs w:val="26"/>
          <w:rtl/>
          <w:lang w:eastAsia="en-US"/>
        </w:rPr>
        <w:t>مواليد</w:t>
      </w:r>
      <w:r w:rsidRPr="00BA67C8">
        <w:rPr>
          <w:rFonts w:ascii="Simplified Arabic" w:hAnsi="Simplified Arabic" w:cs="Simplified Arabic"/>
          <w:sz w:val="26"/>
          <w:szCs w:val="26"/>
          <w:rtl/>
          <w:lang w:eastAsia="en-US"/>
        </w:rPr>
        <w:t xml:space="preserve"> في قطاع غزة.</w:t>
      </w:r>
      <w:r w:rsidR="002B475E" w:rsidRPr="00BA67C8">
        <w:rPr>
          <w:rFonts w:ascii="Simplified Arabic" w:hAnsi="Simplified Arabic" w:cs="Simplified Arabic"/>
          <w:sz w:val="26"/>
          <w:szCs w:val="26"/>
          <w:rtl/>
          <w:lang w:eastAsia="en-US"/>
        </w:rPr>
        <w:t xml:space="preserve"> </w:t>
      </w:r>
    </w:p>
    <w:p w14:paraId="63D6C6CB" w14:textId="77777777" w:rsidR="00F86B13" w:rsidRPr="00F86B13" w:rsidRDefault="00F86B13" w:rsidP="006958BA">
      <w:pPr>
        <w:jc w:val="center"/>
        <w:rPr>
          <w:rFonts w:ascii="Simplified Arabic" w:hAnsi="Simplified Arabic" w:cs="Simplified Arabic"/>
          <w:b/>
          <w:bCs/>
          <w:sz w:val="10"/>
          <w:szCs w:val="10"/>
          <w:rtl/>
          <w:lang w:eastAsia="en-US"/>
        </w:rPr>
      </w:pPr>
    </w:p>
    <w:p w14:paraId="7B586416" w14:textId="3E3A763D" w:rsidR="006958BA" w:rsidRPr="00BA67C8" w:rsidRDefault="006958BA" w:rsidP="006958BA">
      <w:pPr>
        <w:jc w:val="center"/>
        <w:rPr>
          <w:rFonts w:ascii="Simplified Arabic" w:hAnsi="Simplified Arabic" w:cs="Simplified Arabic"/>
          <w:b/>
          <w:bCs/>
          <w:sz w:val="28"/>
          <w:szCs w:val="28"/>
          <w:rtl/>
          <w:lang w:eastAsia="en-US"/>
        </w:rPr>
      </w:pPr>
      <w:r w:rsidRPr="00BA67C8">
        <w:rPr>
          <w:rFonts w:ascii="Simplified Arabic" w:hAnsi="Simplified Arabic" w:cs="Simplified Arabic"/>
          <w:b/>
          <w:bCs/>
          <w:sz w:val="28"/>
          <w:szCs w:val="28"/>
          <w:rtl/>
          <w:lang w:eastAsia="en-US"/>
        </w:rPr>
        <w:t>معدل الخصوبة في دولة فلسطين حسب المنطقة، سنوات مختارة</w:t>
      </w:r>
    </w:p>
    <w:tbl>
      <w:tblPr>
        <w:tblStyle w:val="TableGrid"/>
        <w:bidiVisual/>
        <w:tblW w:w="0" w:type="auto"/>
        <w:jc w:val="center"/>
        <w:tblLook w:val="04A0" w:firstRow="1" w:lastRow="0" w:firstColumn="1" w:lastColumn="0" w:noHBand="0" w:noVBand="1"/>
      </w:tblPr>
      <w:tblGrid>
        <w:gridCol w:w="7228"/>
      </w:tblGrid>
      <w:tr w:rsidR="006958BA" w:rsidRPr="00BA67C8" w14:paraId="0E9CD148" w14:textId="77777777" w:rsidTr="00BA67C8">
        <w:trPr>
          <w:trHeight w:val="2773"/>
          <w:jc w:val="center"/>
        </w:trPr>
        <w:tc>
          <w:tcPr>
            <w:tcW w:w="7228" w:type="dxa"/>
          </w:tcPr>
          <w:p w14:paraId="09048CDE" w14:textId="77777777" w:rsidR="006958BA" w:rsidRPr="00BA67C8" w:rsidRDefault="006958BA" w:rsidP="00056113">
            <w:pPr>
              <w:rPr>
                <w:rFonts w:ascii="Simplified Arabic" w:hAnsi="Simplified Arabic" w:cs="Simplified Arabic"/>
                <w:b/>
                <w:bCs/>
                <w:sz w:val="26"/>
                <w:szCs w:val="26"/>
                <w:rtl/>
                <w:lang w:eastAsia="en-US"/>
              </w:rPr>
            </w:pPr>
            <w:r w:rsidRPr="00BA67C8">
              <w:rPr>
                <w:rFonts w:ascii="Simplified Arabic" w:hAnsi="Simplified Arabic" w:cs="Simplified Arabic"/>
                <w:noProof/>
                <w:sz w:val="26"/>
                <w:szCs w:val="26"/>
                <w:rtl/>
                <w:lang w:eastAsia="en-US"/>
              </w:rPr>
              <w:drawing>
                <wp:inline distT="0" distB="0" distL="0" distR="0" wp14:anchorId="3FD664CD" wp14:editId="6F2D26AC">
                  <wp:extent cx="4419600" cy="1720850"/>
                  <wp:effectExtent l="0" t="0" r="0" b="0"/>
                  <wp:docPr id="1"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DF0854E" w14:textId="77777777" w:rsidR="00BA67C8" w:rsidRPr="00BA67C8" w:rsidRDefault="00BA67C8" w:rsidP="006958BA">
      <w:pPr>
        <w:ind w:firstLine="1408"/>
        <w:jc w:val="both"/>
        <w:rPr>
          <w:rFonts w:ascii="Simplified Arabic" w:hAnsi="Simplified Arabic" w:cs="Simplified Arabic"/>
          <w:noProof/>
          <w:sz w:val="16"/>
          <w:szCs w:val="16"/>
          <w:rtl/>
          <w:lang w:eastAsia="en-US"/>
        </w:rPr>
      </w:pPr>
    </w:p>
    <w:p w14:paraId="1CFF0228" w14:textId="7D0402E8" w:rsidR="006958BA" w:rsidRPr="00BA67C8" w:rsidRDefault="006958BA" w:rsidP="00BA67C8">
      <w:pPr>
        <w:tabs>
          <w:tab w:val="left" w:pos="1266"/>
        </w:tabs>
        <w:ind w:firstLine="1266"/>
        <w:jc w:val="both"/>
        <w:rPr>
          <w:rFonts w:ascii="Simplified Arabic" w:hAnsi="Simplified Arabic" w:cs="Simplified Arabic"/>
          <w:sz w:val="20"/>
          <w:szCs w:val="20"/>
          <w:rtl/>
        </w:rPr>
      </w:pPr>
      <w:r w:rsidRPr="00BA67C8">
        <w:rPr>
          <w:rFonts w:ascii="Simplified Arabic" w:hAnsi="Simplified Arabic" w:cs="Simplified Arabic"/>
          <w:sz w:val="20"/>
          <w:szCs w:val="20"/>
          <w:rtl/>
        </w:rPr>
        <w:t>المصدر: الجهاز المركزي للإحصاء الفلسطيني، 2022.  قاعدة بيانات المسح الصحي الديمغرافي، 2004.</w:t>
      </w:r>
    </w:p>
    <w:p w14:paraId="7E027884" w14:textId="77777777" w:rsidR="006958BA" w:rsidRPr="00BA67C8" w:rsidRDefault="006958BA" w:rsidP="00BA67C8">
      <w:pPr>
        <w:tabs>
          <w:tab w:val="left" w:pos="1266"/>
        </w:tabs>
        <w:ind w:firstLine="1266"/>
        <w:jc w:val="both"/>
        <w:rPr>
          <w:rFonts w:ascii="Simplified Arabic" w:hAnsi="Simplified Arabic" w:cs="Simplified Arabic"/>
          <w:sz w:val="20"/>
          <w:szCs w:val="20"/>
          <w:rtl/>
        </w:rPr>
      </w:pPr>
      <w:r w:rsidRPr="00BA67C8">
        <w:rPr>
          <w:rFonts w:ascii="Simplified Arabic" w:hAnsi="Simplified Arabic" w:cs="Simplified Arabic"/>
          <w:sz w:val="20"/>
          <w:szCs w:val="20"/>
          <w:rtl/>
        </w:rPr>
        <w:t>المصدر: الجهاز المركزي للإحصاء الفلسطيني، 2022.  قاعدة بيانات المسح الفلسطيني العنقودي متعدد المؤشرات، 2019-2020.</w:t>
      </w:r>
    </w:p>
    <w:p w14:paraId="02E11F61" w14:textId="6D1676BB" w:rsidR="00C723E9" w:rsidRPr="00BA67C8" w:rsidRDefault="00C723E9" w:rsidP="00BA67C8">
      <w:pPr>
        <w:tabs>
          <w:tab w:val="left" w:pos="5400"/>
        </w:tabs>
        <w:rPr>
          <w:rFonts w:ascii="Simplified Arabic" w:hAnsi="Simplified Arabic" w:cs="Simplified Arabic"/>
          <w:b/>
          <w:bCs/>
          <w:sz w:val="16"/>
          <w:szCs w:val="16"/>
          <w:rtl/>
          <w:lang w:eastAsia="en-US"/>
        </w:rPr>
      </w:pPr>
    </w:p>
    <w:p w14:paraId="031C6948" w14:textId="0754CF60" w:rsidR="00327F56" w:rsidRPr="00BA67C8" w:rsidRDefault="00327F56" w:rsidP="00327F56">
      <w:pPr>
        <w:keepNext/>
        <w:ind w:right="-180"/>
        <w:outlineLvl w:val="5"/>
        <w:rPr>
          <w:rFonts w:ascii="Simplified Arabic" w:hAnsi="Simplified Arabic" w:cs="Simplified Arabic"/>
          <w:b/>
          <w:bCs/>
          <w:sz w:val="28"/>
          <w:szCs w:val="28"/>
        </w:rPr>
      </w:pPr>
      <w:r w:rsidRPr="00BA67C8">
        <w:rPr>
          <w:rFonts w:ascii="Simplified Arabic" w:hAnsi="Simplified Arabic" w:cs="Simplified Arabic"/>
          <w:b/>
          <w:bCs/>
          <w:sz w:val="28"/>
          <w:szCs w:val="28"/>
          <w:rtl/>
        </w:rPr>
        <w:lastRenderedPageBreak/>
        <w:t xml:space="preserve">معدلات الوفيات الاطفال والرضع تتجه نحو الانخفاض </w:t>
      </w:r>
    </w:p>
    <w:p w14:paraId="73FF8F86" w14:textId="3CFDDB94" w:rsidR="00327F56" w:rsidRPr="00BA67C8" w:rsidRDefault="00327F56" w:rsidP="00327F56">
      <w:pPr>
        <w:snapToGrid w:val="0"/>
        <w:jc w:val="both"/>
        <w:rPr>
          <w:rFonts w:ascii="Simplified Arabic" w:hAnsi="Simplified Arabic" w:cs="Simplified Arabic"/>
          <w:sz w:val="26"/>
          <w:szCs w:val="26"/>
          <w:rtl/>
        </w:rPr>
      </w:pPr>
      <w:r w:rsidRPr="00BA67C8">
        <w:rPr>
          <w:rFonts w:ascii="Simplified Arabic" w:hAnsi="Simplified Arabic" w:cs="Simplified Arabic"/>
          <w:sz w:val="26"/>
          <w:szCs w:val="26"/>
          <w:rtl/>
        </w:rPr>
        <w:t xml:space="preserve">بلغ معدل وفيات الأطفال دون سن الخامسة في دولة فلسطين 14 طفلاً لكل ألف ولادة حية خلال الفترة 2015-2019؛ 15 في الضفة الغربية و14 في قطاع غزة. من جانب اخر بلغت معدلات وفيات الرضع 12 طفلاً لكل ألف ولادة حية لنفس الفترة؛ 12 في الضفة الغربية و13 طفل في قطاع غزة.  وتشير البيانات الى انخفاض في معدل وفيات الأطفال خلال العشرة سنوات السابقة اذ بلغ 15 طفلا لكل </w:t>
      </w:r>
      <w:r w:rsidR="005E5B2C" w:rsidRPr="00BA67C8">
        <w:rPr>
          <w:rFonts w:ascii="Simplified Arabic" w:hAnsi="Simplified Arabic" w:cs="Simplified Arabic"/>
          <w:sz w:val="26"/>
          <w:szCs w:val="26"/>
          <w:rtl/>
        </w:rPr>
        <w:t>ألف</w:t>
      </w:r>
      <w:r w:rsidRPr="00BA67C8">
        <w:rPr>
          <w:rFonts w:ascii="Simplified Arabic" w:hAnsi="Simplified Arabic" w:cs="Simplified Arabic"/>
          <w:sz w:val="26"/>
          <w:szCs w:val="26"/>
          <w:rtl/>
        </w:rPr>
        <w:t xml:space="preserve"> ولادة حية.</w:t>
      </w:r>
    </w:p>
    <w:p w14:paraId="2B3CB45B" w14:textId="77777777" w:rsidR="00327F56" w:rsidRPr="00F86B13" w:rsidRDefault="00327F56" w:rsidP="00BA67C8">
      <w:pPr>
        <w:pStyle w:val="Heading1"/>
        <w:rPr>
          <w:rFonts w:ascii="Simplified Arabic" w:hAnsi="Simplified Arabic" w:cs="Simplified Arabic"/>
          <w:sz w:val="10"/>
          <w:szCs w:val="10"/>
        </w:rPr>
      </w:pPr>
    </w:p>
    <w:p w14:paraId="6F7ED839" w14:textId="65313149" w:rsidR="00771F9B" w:rsidRPr="00BA67C8" w:rsidRDefault="00771F9B" w:rsidP="00C6307D">
      <w:pPr>
        <w:pStyle w:val="Heading1"/>
        <w:jc w:val="both"/>
        <w:rPr>
          <w:rFonts w:ascii="Simplified Arabic" w:hAnsi="Simplified Arabic" w:cs="Simplified Arabic"/>
          <w:sz w:val="28"/>
          <w:szCs w:val="28"/>
        </w:rPr>
      </w:pPr>
      <w:r w:rsidRPr="00BA67C8">
        <w:rPr>
          <w:rFonts w:ascii="Simplified Arabic" w:hAnsi="Simplified Arabic" w:cs="Simplified Arabic"/>
          <w:sz w:val="28"/>
          <w:szCs w:val="28"/>
          <w:rtl/>
        </w:rPr>
        <w:t xml:space="preserve">انخفاض في متوسط حجم الأسرة </w:t>
      </w:r>
    </w:p>
    <w:p w14:paraId="703A06F4" w14:textId="4CBA4E92" w:rsidR="00771F9B" w:rsidRPr="00BA67C8" w:rsidRDefault="00771F9B" w:rsidP="00F25549">
      <w:pPr>
        <w:jc w:val="lowKashida"/>
        <w:rPr>
          <w:rFonts w:ascii="Simplified Arabic" w:hAnsi="Simplified Arabic" w:cs="Simplified Arabic"/>
          <w:sz w:val="26"/>
          <w:szCs w:val="26"/>
          <w:rtl/>
          <w:lang w:val="en-GB"/>
        </w:rPr>
      </w:pPr>
      <w:r w:rsidRPr="00BA67C8">
        <w:rPr>
          <w:rFonts w:ascii="Simplified Arabic" w:hAnsi="Simplified Arabic" w:cs="Simplified Arabic"/>
          <w:sz w:val="26"/>
          <w:szCs w:val="26"/>
          <w:rtl/>
          <w:lang w:val="en-GB"/>
        </w:rPr>
        <w:t xml:space="preserve">انخفض متوسط حجم الأسرة إلى </w:t>
      </w:r>
      <w:r w:rsidR="00F25549" w:rsidRPr="00BA67C8">
        <w:rPr>
          <w:rFonts w:ascii="Simplified Arabic" w:hAnsi="Simplified Arabic" w:cs="Simplified Arabic"/>
          <w:sz w:val="26"/>
          <w:szCs w:val="26"/>
          <w:rtl/>
          <w:lang w:val="en-GB"/>
        </w:rPr>
        <w:t>5</w:t>
      </w:r>
      <w:r w:rsidR="00482FAD" w:rsidRPr="00BA67C8">
        <w:rPr>
          <w:rFonts w:ascii="Simplified Arabic" w:hAnsi="Simplified Arabic" w:cs="Simplified Arabic"/>
          <w:sz w:val="26"/>
          <w:szCs w:val="26"/>
          <w:rtl/>
          <w:lang w:val="en-GB"/>
        </w:rPr>
        <w:t xml:space="preserve"> </w:t>
      </w:r>
      <w:r w:rsidR="00C02032" w:rsidRPr="00BA67C8">
        <w:rPr>
          <w:rFonts w:ascii="Simplified Arabic" w:hAnsi="Simplified Arabic" w:cs="Simplified Arabic"/>
          <w:sz w:val="26"/>
          <w:szCs w:val="26"/>
          <w:rtl/>
          <w:lang w:val="en-GB"/>
        </w:rPr>
        <w:t>افراد</w:t>
      </w:r>
      <w:r w:rsidRPr="00BA67C8">
        <w:rPr>
          <w:rFonts w:ascii="Simplified Arabic" w:hAnsi="Simplified Arabic" w:cs="Simplified Arabic"/>
          <w:sz w:val="26"/>
          <w:szCs w:val="26"/>
          <w:rtl/>
          <w:lang w:val="en-GB"/>
        </w:rPr>
        <w:t xml:space="preserve"> عام </w:t>
      </w:r>
      <w:r w:rsidR="00482FAD" w:rsidRPr="00BA67C8">
        <w:rPr>
          <w:rFonts w:ascii="Simplified Arabic" w:hAnsi="Simplified Arabic" w:cs="Simplified Arabic"/>
          <w:sz w:val="26"/>
          <w:szCs w:val="26"/>
          <w:rtl/>
          <w:lang w:val="en-GB"/>
        </w:rPr>
        <w:t>2021</w:t>
      </w:r>
      <w:r w:rsidRPr="00BA67C8">
        <w:rPr>
          <w:rFonts w:ascii="Simplified Arabic" w:hAnsi="Simplified Arabic" w:cs="Simplified Arabic"/>
          <w:sz w:val="26"/>
          <w:szCs w:val="26"/>
          <w:rtl/>
          <w:lang w:val="en-GB"/>
        </w:rPr>
        <w:t xml:space="preserve"> مقارنة بـ </w:t>
      </w:r>
      <w:r w:rsidR="00F25549" w:rsidRPr="00BA67C8">
        <w:rPr>
          <w:rFonts w:ascii="Simplified Arabic" w:hAnsi="Simplified Arabic" w:cs="Simplified Arabic"/>
          <w:sz w:val="26"/>
          <w:szCs w:val="26"/>
          <w:rtl/>
          <w:lang w:val="en-GB"/>
        </w:rPr>
        <w:t>6</w:t>
      </w:r>
      <w:r w:rsidRPr="00BA67C8">
        <w:rPr>
          <w:rFonts w:ascii="Simplified Arabic" w:hAnsi="Simplified Arabic" w:cs="Simplified Arabic"/>
          <w:sz w:val="26"/>
          <w:szCs w:val="26"/>
          <w:rtl/>
          <w:lang w:val="en-GB"/>
        </w:rPr>
        <w:t xml:space="preserve"> </w:t>
      </w:r>
      <w:r w:rsidR="00F25549" w:rsidRPr="00BA67C8">
        <w:rPr>
          <w:rFonts w:ascii="Simplified Arabic" w:hAnsi="Simplified Arabic" w:cs="Simplified Arabic"/>
          <w:sz w:val="26"/>
          <w:szCs w:val="26"/>
          <w:rtl/>
          <w:lang w:val="en-GB"/>
        </w:rPr>
        <w:t>افراد</w:t>
      </w:r>
      <w:r w:rsidRPr="00BA67C8">
        <w:rPr>
          <w:rFonts w:ascii="Simplified Arabic" w:hAnsi="Simplified Arabic" w:cs="Simplified Arabic"/>
          <w:sz w:val="26"/>
          <w:szCs w:val="26"/>
          <w:rtl/>
          <w:lang w:val="en-GB"/>
        </w:rPr>
        <w:t xml:space="preserve"> عام </w:t>
      </w:r>
      <w:r w:rsidR="00482FAD" w:rsidRPr="00BA67C8">
        <w:rPr>
          <w:rFonts w:ascii="Simplified Arabic" w:hAnsi="Simplified Arabic" w:cs="Simplified Arabic"/>
          <w:sz w:val="26"/>
          <w:szCs w:val="26"/>
          <w:rtl/>
          <w:lang w:val="en-GB"/>
        </w:rPr>
        <w:t>2010</w:t>
      </w:r>
      <w:r w:rsidRPr="00BA67C8">
        <w:rPr>
          <w:rFonts w:ascii="Simplified Arabic" w:hAnsi="Simplified Arabic" w:cs="Simplified Arabic"/>
          <w:sz w:val="26"/>
          <w:szCs w:val="26"/>
          <w:rtl/>
          <w:lang w:val="en-GB"/>
        </w:rPr>
        <w:t xml:space="preserve">؛ بواقع </w:t>
      </w:r>
      <w:r w:rsidR="00F25549" w:rsidRPr="00BA67C8">
        <w:rPr>
          <w:rFonts w:ascii="Simplified Arabic" w:hAnsi="Simplified Arabic" w:cs="Simplified Arabic"/>
          <w:sz w:val="26"/>
          <w:szCs w:val="26"/>
          <w:rtl/>
          <w:lang w:val="en-GB"/>
        </w:rPr>
        <w:t>5</w:t>
      </w:r>
      <w:r w:rsidRPr="00BA67C8">
        <w:rPr>
          <w:rFonts w:ascii="Simplified Arabic" w:hAnsi="Simplified Arabic" w:cs="Simplified Arabic"/>
          <w:sz w:val="26"/>
          <w:szCs w:val="26"/>
          <w:rtl/>
          <w:lang w:val="en-GB"/>
        </w:rPr>
        <w:t xml:space="preserve"> </w:t>
      </w:r>
      <w:r w:rsidR="00F25549" w:rsidRPr="00BA67C8">
        <w:rPr>
          <w:rFonts w:ascii="Simplified Arabic" w:hAnsi="Simplified Arabic" w:cs="Simplified Arabic"/>
          <w:sz w:val="26"/>
          <w:szCs w:val="26"/>
          <w:rtl/>
          <w:lang w:val="en-GB"/>
        </w:rPr>
        <w:t>افراد</w:t>
      </w:r>
      <w:r w:rsidRPr="00BA67C8">
        <w:rPr>
          <w:rFonts w:ascii="Simplified Arabic" w:hAnsi="Simplified Arabic" w:cs="Simplified Arabic"/>
          <w:sz w:val="26"/>
          <w:szCs w:val="26"/>
          <w:rtl/>
          <w:lang w:val="en-GB"/>
        </w:rPr>
        <w:t xml:space="preserve"> في الضفة الغربية </w:t>
      </w:r>
      <w:r w:rsidR="00F25549" w:rsidRPr="00BA67C8">
        <w:rPr>
          <w:rFonts w:ascii="Simplified Arabic" w:hAnsi="Simplified Arabic" w:cs="Simplified Arabic"/>
          <w:sz w:val="26"/>
          <w:szCs w:val="26"/>
          <w:rtl/>
          <w:lang w:val="en-GB"/>
        </w:rPr>
        <w:t>و6</w:t>
      </w:r>
      <w:r w:rsidRPr="00BA67C8">
        <w:rPr>
          <w:rFonts w:ascii="Simplified Arabic" w:hAnsi="Simplified Arabic" w:cs="Simplified Arabic"/>
          <w:sz w:val="26"/>
          <w:szCs w:val="26"/>
          <w:rtl/>
          <w:lang w:val="en-GB"/>
        </w:rPr>
        <w:t xml:space="preserve"> </w:t>
      </w:r>
      <w:r w:rsidR="00F25549" w:rsidRPr="00BA67C8">
        <w:rPr>
          <w:rFonts w:ascii="Simplified Arabic" w:hAnsi="Simplified Arabic" w:cs="Simplified Arabic"/>
          <w:sz w:val="26"/>
          <w:szCs w:val="26"/>
          <w:rtl/>
          <w:lang w:val="en-GB"/>
        </w:rPr>
        <w:t>افراد</w:t>
      </w:r>
      <w:r w:rsidRPr="00BA67C8">
        <w:rPr>
          <w:rFonts w:ascii="Simplified Arabic" w:hAnsi="Simplified Arabic" w:cs="Simplified Arabic"/>
          <w:sz w:val="26"/>
          <w:szCs w:val="26"/>
          <w:rtl/>
          <w:lang w:val="en-GB"/>
        </w:rPr>
        <w:t xml:space="preserve"> في قطاع غزة.</w:t>
      </w:r>
    </w:p>
    <w:p w14:paraId="7D29AF68" w14:textId="77777777" w:rsidR="00771F9B" w:rsidRPr="00F86B13" w:rsidRDefault="00771F9B" w:rsidP="00BA67C8">
      <w:pPr>
        <w:rPr>
          <w:rFonts w:ascii="Simplified Arabic" w:hAnsi="Simplified Arabic" w:cs="Simplified Arabic"/>
          <w:b/>
          <w:bCs/>
          <w:sz w:val="10"/>
          <w:szCs w:val="10"/>
          <w:lang w:eastAsia="en-US"/>
        </w:rPr>
      </w:pPr>
    </w:p>
    <w:p w14:paraId="256C986B" w14:textId="7EEE7136" w:rsidR="00376D4C" w:rsidRPr="00F86B13" w:rsidRDefault="00376D4C" w:rsidP="00F86B13">
      <w:pPr>
        <w:jc w:val="center"/>
        <w:rPr>
          <w:rFonts w:ascii="Simplified Arabic" w:hAnsi="Simplified Arabic" w:cs="Simplified Arabic"/>
          <w:b/>
          <w:bCs/>
          <w:sz w:val="28"/>
          <w:szCs w:val="28"/>
          <w:rtl/>
        </w:rPr>
      </w:pPr>
      <w:r w:rsidRPr="00BA67C8">
        <w:rPr>
          <w:rFonts w:ascii="Simplified Arabic" w:hAnsi="Simplified Arabic" w:cs="Simplified Arabic"/>
          <w:b/>
          <w:bCs/>
          <w:sz w:val="28"/>
          <w:szCs w:val="28"/>
          <w:rtl/>
        </w:rPr>
        <w:t>متوسط حجم الأسرة في فلسطين حسب المنطقة، 2021،2010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376D4C" w:rsidRPr="00BA67C8" w14:paraId="7DCF5375" w14:textId="77777777" w:rsidTr="00F86B13">
        <w:trPr>
          <w:trHeight w:val="2952"/>
          <w:jc w:val="center"/>
        </w:trPr>
        <w:tc>
          <w:tcPr>
            <w:tcW w:w="6653" w:type="dxa"/>
          </w:tcPr>
          <w:p w14:paraId="563D0400" w14:textId="77777777" w:rsidR="00376D4C" w:rsidRPr="00BA67C8" w:rsidRDefault="00376D4C" w:rsidP="00056113">
            <w:pPr>
              <w:jc w:val="both"/>
              <w:rPr>
                <w:rFonts w:ascii="Simplified Arabic" w:hAnsi="Simplified Arabic" w:cs="Simplified Arabic"/>
                <w:b/>
                <w:bCs/>
                <w:sz w:val="26"/>
                <w:szCs w:val="26"/>
                <w:rtl/>
              </w:rPr>
            </w:pPr>
            <w:r w:rsidRPr="00BA67C8">
              <w:rPr>
                <w:rFonts w:ascii="Simplified Arabic" w:hAnsi="Simplified Arabic" w:cs="Simplified Arabic"/>
                <w:b/>
                <w:bCs/>
                <w:noProof/>
                <w:sz w:val="26"/>
                <w:szCs w:val="26"/>
                <w:lang w:eastAsia="en-US"/>
              </w:rPr>
              <w:drawing>
                <wp:inline distT="0" distB="0" distL="0" distR="0" wp14:anchorId="3F1A6B8F" wp14:editId="0160C49A">
                  <wp:extent cx="4097655" cy="174307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7674F9D5" w14:textId="77777777" w:rsidR="00BA67C8" w:rsidRPr="00BA67C8" w:rsidRDefault="00BA67C8" w:rsidP="00BA63C4">
      <w:pPr>
        <w:jc w:val="both"/>
        <w:rPr>
          <w:rFonts w:ascii="Simplified Arabic" w:hAnsi="Simplified Arabic" w:cs="Simplified Arabic"/>
          <w:b/>
          <w:bCs/>
          <w:sz w:val="16"/>
          <w:szCs w:val="16"/>
          <w:rtl/>
        </w:rPr>
      </w:pPr>
    </w:p>
    <w:p w14:paraId="15C19915" w14:textId="75270EF0" w:rsidR="00376D4C" w:rsidRPr="00BA67C8" w:rsidRDefault="00376D4C" w:rsidP="00BA63C4">
      <w:pPr>
        <w:jc w:val="both"/>
        <w:rPr>
          <w:rFonts w:ascii="Simplified Arabic" w:hAnsi="Simplified Arabic" w:cs="Simplified Arabic"/>
          <w:b/>
          <w:bCs/>
          <w:sz w:val="20"/>
          <w:szCs w:val="20"/>
          <w:rtl/>
        </w:rPr>
      </w:pPr>
      <w:r w:rsidRPr="00BA67C8">
        <w:rPr>
          <w:rFonts w:ascii="Simplified Arabic" w:hAnsi="Simplified Arabic" w:cs="Simplified Arabic"/>
          <w:b/>
          <w:bCs/>
          <w:sz w:val="20"/>
          <w:szCs w:val="20"/>
          <w:rtl/>
        </w:rPr>
        <w:t xml:space="preserve">المصدر: الجهاز المركزي للإحصاء الفلسطيني، </w:t>
      </w:r>
      <w:r w:rsidRPr="00BA67C8">
        <w:rPr>
          <w:rFonts w:ascii="Simplified Arabic" w:hAnsi="Simplified Arabic" w:cs="Simplified Arabic"/>
          <w:b/>
          <w:bCs/>
          <w:sz w:val="20"/>
          <w:szCs w:val="20"/>
        </w:rPr>
        <w:t>2022</w:t>
      </w:r>
      <w:r w:rsidRPr="00BA67C8">
        <w:rPr>
          <w:rFonts w:ascii="Simplified Arabic" w:hAnsi="Simplified Arabic" w:cs="Simplified Arabic"/>
          <w:sz w:val="20"/>
          <w:szCs w:val="20"/>
          <w:rtl/>
        </w:rPr>
        <w:t>.  تقديرات مبنية على نتائج مسح القوى العاملة ونتائج التعداد العام للسكان والمساكن والمنشآت لللأعوام 2021،2010.  رام الله - فلسطين.</w:t>
      </w:r>
    </w:p>
    <w:p w14:paraId="608AFC04" w14:textId="77777777" w:rsidR="00376D4C" w:rsidRPr="00F86B13" w:rsidRDefault="00376D4C" w:rsidP="00BA67C8">
      <w:pPr>
        <w:pStyle w:val="Heading7"/>
        <w:rPr>
          <w:rFonts w:ascii="Simplified Arabic" w:hAnsi="Simplified Arabic"/>
          <w:sz w:val="10"/>
          <w:szCs w:val="10"/>
        </w:rPr>
      </w:pPr>
    </w:p>
    <w:p w14:paraId="533EF324" w14:textId="4BE9B9D5" w:rsidR="00A613F9" w:rsidRPr="00BA67C8" w:rsidRDefault="00A613F9" w:rsidP="00A613F9">
      <w:pPr>
        <w:pStyle w:val="Heading7"/>
        <w:jc w:val="both"/>
        <w:rPr>
          <w:rFonts w:ascii="Simplified Arabic" w:hAnsi="Simplified Arabic"/>
          <w:sz w:val="28"/>
          <w:szCs w:val="28"/>
        </w:rPr>
      </w:pPr>
      <w:r w:rsidRPr="00BA67C8">
        <w:rPr>
          <w:rFonts w:ascii="Simplified Arabic" w:hAnsi="Simplified Arabic"/>
          <w:sz w:val="28"/>
          <w:szCs w:val="28"/>
          <w:rtl/>
        </w:rPr>
        <w:t>ارتفاع كبير في نسب التدخين وفجوة كبيرة بين الضفة الغربية وقطاع غزة</w:t>
      </w:r>
    </w:p>
    <w:p w14:paraId="514BFD0A" w14:textId="77777777" w:rsidR="00F25549" w:rsidRPr="00BA67C8" w:rsidRDefault="00A613F9" w:rsidP="00A613F9">
      <w:pPr>
        <w:jc w:val="both"/>
        <w:rPr>
          <w:rFonts w:ascii="Simplified Arabic" w:hAnsi="Simplified Arabic" w:cs="Simplified Arabic"/>
          <w:sz w:val="26"/>
          <w:szCs w:val="26"/>
          <w:rtl/>
        </w:rPr>
      </w:pPr>
      <w:r w:rsidRPr="00BA67C8">
        <w:rPr>
          <w:rFonts w:ascii="Simplified Arabic" w:hAnsi="Simplified Arabic" w:cs="Simplified Arabic"/>
          <w:sz w:val="26"/>
          <w:szCs w:val="26"/>
          <w:rtl/>
        </w:rPr>
        <w:t xml:space="preserve"> أشارت نتائج مسح التدخين واستهلاك التبغ، 2021 الى ان هناك ارتفاع في نسبة الأفراد 18 سنة فأكثر الذين يدخنون منتجاً أو أكثر من منتجات التبغ المدخن (السجائر المصنعة، والسجائر الملفوفة يدويا، والسيجار، والنرجيلة) في فلسطين الى نحو 31% من اجمالي الأفراد 18 سنة فأكثر في العام 2021، في حين كانت هذه النسبة لعام 2010 نحو 23%. وعلى مستوى المنطقة فقد أشارت نتائج المسح إلى فجوة كبيرة بين الضفة الغربية وقطاع غزة وارتفاع واضح في نسبة انتشار التدخين</w:t>
      </w:r>
      <w:r w:rsidRPr="00BA67C8">
        <w:rPr>
          <w:rFonts w:ascii="Simplified Arabic" w:hAnsi="Simplified Arabic" w:cs="Simplified Arabic"/>
          <w:sz w:val="26"/>
          <w:szCs w:val="26"/>
        </w:rPr>
        <w:t xml:space="preserve"> </w:t>
      </w:r>
      <w:r w:rsidRPr="00BA67C8">
        <w:rPr>
          <w:rFonts w:ascii="Simplified Arabic" w:hAnsi="Simplified Arabic" w:cs="Simplified Arabic"/>
          <w:sz w:val="26"/>
          <w:szCs w:val="26"/>
          <w:rtl/>
        </w:rPr>
        <w:t>بين الأفراد 18 سنة فأكثر في الضفة الغربية، إذ بلغت لعام 2021 في الضفة الغربية نحو 40% مقابل 17% في قطاع غزة.</w:t>
      </w:r>
    </w:p>
    <w:p w14:paraId="31027F79" w14:textId="728E1F19" w:rsidR="00A613F9" w:rsidRPr="00F86B13" w:rsidRDefault="00A613F9" w:rsidP="00BA67C8">
      <w:pPr>
        <w:rPr>
          <w:rFonts w:ascii="Simplified Arabic" w:hAnsi="Simplified Arabic" w:cs="Simplified Arabic"/>
          <w:sz w:val="10"/>
          <w:szCs w:val="10"/>
          <w:rtl/>
        </w:rPr>
      </w:pPr>
      <w:r w:rsidRPr="00F86B13">
        <w:rPr>
          <w:rFonts w:ascii="Simplified Arabic" w:hAnsi="Simplified Arabic" w:cs="Simplified Arabic"/>
          <w:sz w:val="10"/>
          <w:szCs w:val="10"/>
          <w:rtl/>
        </w:rPr>
        <w:t xml:space="preserve"> </w:t>
      </w:r>
    </w:p>
    <w:p w14:paraId="235B9ECA" w14:textId="3A079D4B" w:rsidR="00A613F9" w:rsidRPr="00BA67C8" w:rsidRDefault="00A613F9" w:rsidP="00A613F9">
      <w:pPr>
        <w:jc w:val="center"/>
        <w:rPr>
          <w:rFonts w:ascii="Simplified Arabic" w:hAnsi="Simplified Arabic" w:cs="Simplified Arabic"/>
          <w:b/>
          <w:bCs/>
          <w:sz w:val="26"/>
          <w:szCs w:val="26"/>
          <w:rtl/>
        </w:rPr>
      </w:pPr>
      <w:r w:rsidRPr="00BA67C8">
        <w:rPr>
          <w:rFonts w:ascii="Simplified Arabic" w:hAnsi="Simplified Arabic" w:cs="Simplified Arabic"/>
          <w:b/>
          <w:bCs/>
          <w:sz w:val="26"/>
          <w:szCs w:val="26"/>
          <w:rtl/>
        </w:rPr>
        <w:t>نسبة التدخين بين الأفراد (18 سنة فأكثر) حسب المنطقة والجنس للأعوام 2010، 2021</w:t>
      </w:r>
    </w:p>
    <w:tbl>
      <w:tblPr>
        <w:tblStyle w:val="LightShading-Accent4"/>
        <w:bidiVisu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0"/>
        <w:gridCol w:w="741"/>
        <w:gridCol w:w="740"/>
        <w:gridCol w:w="741"/>
        <w:gridCol w:w="740"/>
        <w:gridCol w:w="741"/>
      </w:tblGrid>
      <w:tr w:rsidR="00BA67C8" w:rsidRPr="00BA67C8" w14:paraId="02A8D94D" w14:textId="77777777" w:rsidTr="00F86B13">
        <w:trPr>
          <w:cnfStyle w:val="100000000000" w:firstRow="1" w:lastRow="0" w:firstColumn="0" w:lastColumn="0" w:oddVBand="0" w:evenVBand="0" w:oddHBand="0"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none" w:sz="0" w:space="0" w:color="auto"/>
              <w:left w:val="none" w:sz="0" w:space="0" w:color="auto"/>
              <w:bottom w:val="none" w:sz="0" w:space="0" w:color="auto"/>
              <w:right w:val="none" w:sz="0" w:space="0" w:color="auto"/>
            </w:tcBorders>
          </w:tcPr>
          <w:p w14:paraId="281CD6D2" w14:textId="77777777" w:rsidR="00A613F9" w:rsidRPr="00BA67C8" w:rsidRDefault="00A613F9">
            <w:pPr>
              <w:jc w:val="center"/>
              <w:rPr>
                <w:rFonts w:asciiTheme="majorBidi" w:hAnsiTheme="majorBidi" w:cstheme="majorBidi"/>
                <w:color w:val="auto"/>
                <w:rtl/>
                <w:lang w:eastAsia="en-US"/>
              </w:rPr>
            </w:pPr>
          </w:p>
          <w:p w14:paraId="756A099B" w14:textId="77777777" w:rsidR="00A613F9" w:rsidRPr="00BA67C8" w:rsidRDefault="00A613F9">
            <w:pPr>
              <w:jc w:val="center"/>
              <w:rPr>
                <w:rFonts w:asciiTheme="majorBidi" w:hAnsiTheme="majorBidi" w:cstheme="majorBidi"/>
                <w:color w:val="auto"/>
                <w:rtl/>
                <w:lang w:eastAsia="en-US"/>
              </w:rPr>
            </w:pPr>
            <w:r w:rsidRPr="00BA67C8">
              <w:rPr>
                <w:rFonts w:asciiTheme="majorBidi" w:hAnsiTheme="majorBidi" w:cstheme="majorBidi"/>
                <w:color w:val="auto"/>
                <w:rtl/>
                <w:lang w:eastAsia="en-US"/>
              </w:rPr>
              <w:t>المنطقة</w:t>
            </w:r>
          </w:p>
        </w:tc>
        <w:tc>
          <w:tcPr>
            <w:tcW w:w="1481" w:type="dxa"/>
            <w:gridSpan w:val="2"/>
            <w:tcBorders>
              <w:top w:val="none" w:sz="0" w:space="0" w:color="auto"/>
              <w:left w:val="none" w:sz="0" w:space="0" w:color="auto"/>
              <w:bottom w:val="none" w:sz="0" w:space="0" w:color="auto"/>
              <w:right w:val="none" w:sz="0" w:space="0" w:color="auto"/>
            </w:tcBorders>
            <w:vAlign w:val="center"/>
            <w:hideMark/>
          </w:tcPr>
          <w:p w14:paraId="7FFF7EE8" w14:textId="77777777" w:rsidR="00A613F9" w:rsidRPr="00BA67C8" w:rsidRDefault="00A613F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كلا الجنسين</w:t>
            </w:r>
          </w:p>
        </w:tc>
        <w:tc>
          <w:tcPr>
            <w:tcW w:w="1481" w:type="dxa"/>
            <w:gridSpan w:val="2"/>
            <w:tcBorders>
              <w:top w:val="none" w:sz="0" w:space="0" w:color="auto"/>
              <w:left w:val="none" w:sz="0" w:space="0" w:color="auto"/>
              <w:bottom w:val="none" w:sz="0" w:space="0" w:color="auto"/>
              <w:right w:val="none" w:sz="0" w:space="0" w:color="auto"/>
            </w:tcBorders>
            <w:vAlign w:val="center"/>
            <w:hideMark/>
          </w:tcPr>
          <w:p w14:paraId="07B49760" w14:textId="77777777" w:rsidR="00A613F9" w:rsidRPr="00BA67C8" w:rsidRDefault="00A613F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ذكور</w:t>
            </w:r>
          </w:p>
        </w:tc>
        <w:tc>
          <w:tcPr>
            <w:tcW w:w="1481" w:type="dxa"/>
            <w:gridSpan w:val="2"/>
            <w:tcBorders>
              <w:top w:val="none" w:sz="0" w:space="0" w:color="auto"/>
              <w:left w:val="none" w:sz="0" w:space="0" w:color="auto"/>
              <w:bottom w:val="none" w:sz="0" w:space="0" w:color="auto"/>
              <w:right w:val="none" w:sz="0" w:space="0" w:color="auto"/>
            </w:tcBorders>
            <w:vAlign w:val="center"/>
            <w:hideMark/>
          </w:tcPr>
          <w:p w14:paraId="361FF28D" w14:textId="77777777" w:rsidR="00A613F9" w:rsidRPr="00BA67C8" w:rsidRDefault="00A613F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إناث</w:t>
            </w:r>
          </w:p>
        </w:tc>
      </w:tr>
      <w:tr w:rsidR="00BA67C8" w:rsidRPr="00BA67C8" w14:paraId="0FC48161" w14:textId="77777777" w:rsidTr="00F86B13">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531" w:type="dxa"/>
            <w:vMerge/>
            <w:tcBorders>
              <w:left w:val="none" w:sz="0" w:space="0" w:color="auto"/>
              <w:right w:val="none" w:sz="0" w:space="0" w:color="auto"/>
            </w:tcBorders>
            <w:vAlign w:val="center"/>
            <w:hideMark/>
          </w:tcPr>
          <w:p w14:paraId="22A51CCA" w14:textId="77777777" w:rsidR="00A613F9" w:rsidRPr="00BA67C8" w:rsidRDefault="00A613F9">
            <w:pPr>
              <w:rPr>
                <w:rFonts w:asciiTheme="majorBidi" w:hAnsiTheme="majorBidi" w:cstheme="majorBidi"/>
                <w:color w:val="auto"/>
                <w:lang w:eastAsia="en-US"/>
              </w:rPr>
            </w:pPr>
          </w:p>
        </w:tc>
        <w:tc>
          <w:tcPr>
            <w:tcW w:w="740" w:type="dxa"/>
            <w:tcBorders>
              <w:left w:val="none" w:sz="0" w:space="0" w:color="auto"/>
              <w:right w:val="none" w:sz="0" w:space="0" w:color="auto"/>
            </w:tcBorders>
            <w:vAlign w:val="center"/>
            <w:hideMark/>
          </w:tcPr>
          <w:p w14:paraId="334E459B" w14:textId="77777777" w:rsidR="00A613F9" w:rsidRPr="00BA67C8" w:rsidRDefault="00A613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2010</w:t>
            </w:r>
          </w:p>
        </w:tc>
        <w:tc>
          <w:tcPr>
            <w:tcW w:w="740" w:type="dxa"/>
            <w:tcBorders>
              <w:left w:val="none" w:sz="0" w:space="0" w:color="auto"/>
              <w:right w:val="none" w:sz="0" w:space="0" w:color="auto"/>
            </w:tcBorders>
            <w:vAlign w:val="center"/>
            <w:hideMark/>
          </w:tcPr>
          <w:p w14:paraId="5CD11C14" w14:textId="77777777" w:rsidR="00A613F9" w:rsidRPr="00BA67C8" w:rsidRDefault="00A613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2021</w:t>
            </w:r>
          </w:p>
        </w:tc>
        <w:tc>
          <w:tcPr>
            <w:tcW w:w="740" w:type="dxa"/>
            <w:tcBorders>
              <w:left w:val="none" w:sz="0" w:space="0" w:color="auto"/>
              <w:right w:val="none" w:sz="0" w:space="0" w:color="auto"/>
            </w:tcBorders>
            <w:vAlign w:val="center"/>
            <w:hideMark/>
          </w:tcPr>
          <w:p w14:paraId="5D2F2420" w14:textId="77777777" w:rsidR="00A613F9" w:rsidRPr="00BA67C8" w:rsidRDefault="00A613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lang w:eastAsia="en-US"/>
              </w:rPr>
              <w:t>2010</w:t>
            </w:r>
          </w:p>
        </w:tc>
        <w:tc>
          <w:tcPr>
            <w:tcW w:w="740" w:type="dxa"/>
            <w:tcBorders>
              <w:left w:val="none" w:sz="0" w:space="0" w:color="auto"/>
              <w:right w:val="none" w:sz="0" w:space="0" w:color="auto"/>
            </w:tcBorders>
            <w:vAlign w:val="center"/>
            <w:hideMark/>
          </w:tcPr>
          <w:p w14:paraId="7489B8F0" w14:textId="77777777" w:rsidR="00A613F9" w:rsidRPr="00BA67C8" w:rsidRDefault="00A613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lang w:eastAsia="en-US"/>
              </w:rPr>
              <w:t>2021</w:t>
            </w:r>
          </w:p>
        </w:tc>
        <w:tc>
          <w:tcPr>
            <w:tcW w:w="740" w:type="dxa"/>
            <w:tcBorders>
              <w:left w:val="none" w:sz="0" w:space="0" w:color="auto"/>
              <w:right w:val="none" w:sz="0" w:space="0" w:color="auto"/>
            </w:tcBorders>
            <w:vAlign w:val="center"/>
            <w:hideMark/>
          </w:tcPr>
          <w:p w14:paraId="6288BCCE" w14:textId="77777777" w:rsidR="00A613F9" w:rsidRPr="00BA67C8" w:rsidRDefault="00A613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lang w:eastAsia="en-US"/>
              </w:rPr>
              <w:t>2010</w:t>
            </w:r>
          </w:p>
        </w:tc>
        <w:tc>
          <w:tcPr>
            <w:tcW w:w="740" w:type="dxa"/>
            <w:tcBorders>
              <w:left w:val="none" w:sz="0" w:space="0" w:color="auto"/>
              <w:right w:val="none" w:sz="0" w:space="0" w:color="auto"/>
            </w:tcBorders>
            <w:vAlign w:val="center"/>
            <w:hideMark/>
          </w:tcPr>
          <w:p w14:paraId="32C02126" w14:textId="77777777" w:rsidR="00A613F9" w:rsidRPr="00BA67C8" w:rsidRDefault="00A613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lang w:eastAsia="en-US"/>
              </w:rPr>
              <w:t>2021</w:t>
            </w:r>
          </w:p>
        </w:tc>
      </w:tr>
      <w:tr w:rsidR="00BA67C8" w:rsidRPr="00BA67C8" w14:paraId="24E4D4D9" w14:textId="77777777" w:rsidTr="00F86B13">
        <w:trPr>
          <w:trHeight w:hRule="exact" w:val="548"/>
          <w:jc w:val="center"/>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14:paraId="00A42029" w14:textId="77777777" w:rsidR="00A613F9" w:rsidRPr="00BA67C8" w:rsidRDefault="00A613F9">
            <w:pPr>
              <w:rPr>
                <w:rFonts w:asciiTheme="majorBidi" w:hAnsiTheme="majorBidi" w:cstheme="majorBidi"/>
                <w:color w:val="auto"/>
                <w:rtl/>
                <w:lang w:eastAsia="en-US"/>
              </w:rPr>
            </w:pPr>
            <w:r w:rsidRPr="00BA67C8">
              <w:rPr>
                <w:rFonts w:asciiTheme="majorBidi" w:hAnsiTheme="majorBidi" w:cstheme="majorBidi"/>
                <w:color w:val="auto"/>
                <w:rtl/>
                <w:lang w:eastAsia="en-US"/>
              </w:rPr>
              <w:t>فلسطين</w:t>
            </w:r>
          </w:p>
        </w:tc>
        <w:tc>
          <w:tcPr>
            <w:tcW w:w="740" w:type="dxa"/>
            <w:vAlign w:val="center"/>
            <w:hideMark/>
          </w:tcPr>
          <w:p w14:paraId="33728808"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BA67C8">
              <w:rPr>
                <w:rFonts w:asciiTheme="majorBidi" w:hAnsiTheme="majorBidi" w:cstheme="majorBidi"/>
                <w:b/>
                <w:bCs/>
                <w:color w:val="auto"/>
                <w:rtl/>
                <w:lang w:eastAsia="en-US"/>
              </w:rPr>
              <w:t>22.5</w:t>
            </w:r>
          </w:p>
        </w:tc>
        <w:tc>
          <w:tcPr>
            <w:tcW w:w="740" w:type="dxa"/>
            <w:vAlign w:val="center"/>
            <w:hideMark/>
          </w:tcPr>
          <w:p w14:paraId="4BD96B28"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BA67C8">
              <w:rPr>
                <w:rFonts w:asciiTheme="majorBidi" w:hAnsiTheme="majorBidi" w:cstheme="majorBidi"/>
                <w:b/>
                <w:bCs/>
                <w:color w:val="auto"/>
                <w:rtl/>
                <w:lang w:eastAsia="en-US"/>
              </w:rPr>
              <w:t>31.3</w:t>
            </w:r>
          </w:p>
        </w:tc>
        <w:tc>
          <w:tcPr>
            <w:tcW w:w="740" w:type="dxa"/>
            <w:vAlign w:val="center"/>
            <w:hideMark/>
          </w:tcPr>
          <w:p w14:paraId="6EF0B11C"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rPr>
            </w:pPr>
            <w:r w:rsidRPr="00BA67C8">
              <w:rPr>
                <w:rFonts w:asciiTheme="majorBidi" w:hAnsiTheme="majorBidi" w:cstheme="majorBidi"/>
                <w:b/>
                <w:bCs/>
                <w:color w:val="auto"/>
                <w:rtl/>
              </w:rPr>
              <w:t>41.9</w:t>
            </w:r>
          </w:p>
        </w:tc>
        <w:tc>
          <w:tcPr>
            <w:tcW w:w="740" w:type="dxa"/>
            <w:vAlign w:val="center"/>
            <w:hideMark/>
          </w:tcPr>
          <w:p w14:paraId="22C783F2"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BA67C8">
              <w:rPr>
                <w:rFonts w:asciiTheme="majorBidi" w:hAnsiTheme="majorBidi" w:cstheme="majorBidi"/>
                <w:b/>
                <w:bCs/>
                <w:color w:val="auto"/>
                <w:rtl/>
                <w:lang w:eastAsia="en-US"/>
              </w:rPr>
              <w:t>54.4</w:t>
            </w:r>
          </w:p>
        </w:tc>
        <w:tc>
          <w:tcPr>
            <w:tcW w:w="740" w:type="dxa"/>
            <w:vAlign w:val="center"/>
            <w:hideMark/>
          </w:tcPr>
          <w:p w14:paraId="5B1DAFA8"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rPr>
            </w:pPr>
            <w:r w:rsidRPr="00BA67C8">
              <w:rPr>
                <w:rFonts w:asciiTheme="majorBidi" w:hAnsiTheme="majorBidi" w:cstheme="majorBidi"/>
                <w:b/>
                <w:bCs/>
                <w:color w:val="auto"/>
                <w:rtl/>
              </w:rPr>
              <w:t>2.3</w:t>
            </w:r>
          </w:p>
        </w:tc>
        <w:tc>
          <w:tcPr>
            <w:tcW w:w="740" w:type="dxa"/>
            <w:vAlign w:val="center"/>
            <w:hideMark/>
          </w:tcPr>
          <w:p w14:paraId="1CE8AA95"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BA67C8">
              <w:rPr>
                <w:rFonts w:asciiTheme="majorBidi" w:hAnsiTheme="majorBidi" w:cstheme="majorBidi"/>
                <w:b/>
                <w:bCs/>
                <w:color w:val="auto"/>
                <w:rtl/>
                <w:lang w:eastAsia="en-US"/>
              </w:rPr>
              <w:t>7.7</w:t>
            </w:r>
          </w:p>
        </w:tc>
      </w:tr>
      <w:tr w:rsidR="00BA67C8" w:rsidRPr="00BA67C8" w14:paraId="16C03F7D" w14:textId="77777777" w:rsidTr="00F86B13">
        <w:trPr>
          <w:cnfStyle w:val="000000100000" w:firstRow="0" w:lastRow="0" w:firstColumn="0" w:lastColumn="0" w:oddVBand="0" w:evenVBand="0" w:oddHBand="1" w:evenHBand="0" w:firstRowFirstColumn="0" w:firstRowLastColumn="0" w:lastRowFirstColumn="0" w:lastRowLastColumn="0"/>
          <w:trHeight w:hRule="exact" w:val="548"/>
          <w:jc w:val="center"/>
        </w:trPr>
        <w:tc>
          <w:tcPr>
            <w:cnfStyle w:val="001000000000" w:firstRow="0" w:lastRow="0" w:firstColumn="1" w:lastColumn="0" w:oddVBand="0" w:evenVBand="0" w:oddHBand="0" w:evenHBand="0" w:firstRowFirstColumn="0" w:firstRowLastColumn="0" w:lastRowFirstColumn="0" w:lastRowLastColumn="0"/>
            <w:tcW w:w="1531" w:type="dxa"/>
            <w:tcBorders>
              <w:left w:val="none" w:sz="0" w:space="0" w:color="auto"/>
              <w:right w:val="none" w:sz="0" w:space="0" w:color="auto"/>
            </w:tcBorders>
            <w:vAlign w:val="center"/>
            <w:hideMark/>
          </w:tcPr>
          <w:p w14:paraId="79C63D94" w14:textId="77777777" w:rsidR="00A613F9" w:rsidRPr="00BA67C8" w:rsidRDefault="00A613F9">
            <w:pPr>
              <w:rPr>
                <w:rFonts w:asciiTheme="majorBidi" w:hAnsiTheme="majorBidi" w:cstheme="majorBidi"/>
                <w:b w:val="0"/>
                <w:bCs w:val="0"/>
                <w:color w:val="auto"/>
                <w:lang w:eastAsia="en-US"/>
              </w:rPr>
            </w:pPr>
            <w:r w:rsidRPr="00BA67C8">
              <w:rPr>
                <w:rFonts w:asciiTheme="majorBidi" w:hAnsiTheme="majorBidi" w:cstheme="majorBidi"/>
                <w:b w:val="0"/>
                <w:bCs w:val="0"/>
                <w:color w:val="auto"/>
                <w:rtl/>
                <w:lang w:eastAsia="en-US"/>
              </w:rPr>
              <w:t>الضفة الغربية</w:t>
            </w:r>
          </w:p>
        </w:tc>
        <w:tc>
          <w:tcPr>
            <w:tcW w:w="740" w:type="dxa"/>
            <w:tcBorders>
              <w:left w:val="none" w:sz="0" w:space="0" w:color="auto"/>
              <w:right w:val="none" w:sz="0" w:space="0" w:color="auto"/>
            </w:tcBorders>
            <w:vAlign w:val="center"/>
            <w:hideMark/>
          </w:tcPr>
          <w:p w14:paraId="4535522C" w14:textId="77777777" w:rsidR="00A613F9" w:rsidRPr="00BA67C8" w:rsidRDefault="00A613F9" w:rsidP="00F86B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25.5</w:t>
            </w:r>
          </w:p>
        </w:tc>
        <w:tc>
          <w:tcPr>
            <w:tcW w:w="740" w:type="dxa"/>
            <w:tcBorders>
              <w:left w:val="none" w:sz="0" w:space="0" w:color="auto"/>
              <w:right w:val="none" w:sz="0" w:space="0" w:color="auto"/>
            </w:tcBorders>
            <w:vAlign w:val="center"/>
            <w:hideMark/>
          </w:tcPr>
          <w:p w14:paraId="299E421E" w14:textId="77777777" w:rsidR="00A613F9" w:rsidRPr="00BA67C8" w:rsidRDefault="00A613F9" w:rsidP="00F86B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BA67C8">
              <w:rPr>
                <w:rFonts w:asciiTheme="majorBidi" w:hAnsiTheme="majorBidi" w:cstheme="majorBidi"/>
                <w:color w:val="auto"/>
                <w:rtl/>
                <w:lang w:eastAsia="en-US"/>
              </w:rPr>
              <w:t>40.1</w:t>
            </w:r>
          </w:p>
        </w:tc>
        <w:tc>
          <w:tcPr>
            <w:tcW w:w="740" w:type="dxa"/>
            <w:tcBorders>
              <w:left w:val="none" w:sz="0" w:space="0" w:color="auto"/>
              <w:right w:val="none" w:sz="0" w:space="0" w:color="auto"/>
            </w:tcBorders>
            <w:vAlign w:val="center"/>
            <w:hideMark/>
          </w:tcPr>
          <w:p w14:paraId="375B5476" w14:textId="77777777" w:rsidR="00A613F9" w:rsidRPr="00BA67C8" w:rsidRDefault="00A613F9" w:rsidP="00F86B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BA67C8">
              <w:rPr>
                <w:rFonts w:asciiTheme="majorBidi" w:hAnsiTheme="majorBidi" w:cstheme="majorBidi"/>
                <w:color w:val="auto"/>
                <w:rtl/>
              </w:rPr>
              <w:t>49.5</w:t>
            </w:r>
          </w:p>
        </w:tc>
        <w:tc>
          <w:tcPr>
            <w:tcW w:w="740" w:type="dxa"/>
            <w:tcBorders>
              <w:left w:val="none" w:sz="0" w:space="0" w:color="auto"/>
              <w:right w:val="none" w:sz="0" w:space="0" w:color="auto"/>
            </w:tcBorders>
            <w:vAlign w:val="center"/>
            <w:hideMark/>
          </w:tcPr>
          <w:p w14:paraId="45C40B5C" w14:textId="77777777" w:rsidR="00A613F9" w:rsidRPr="00BA67C8" w:rsidRDefault="00A613F9" w:rsidP="00F86B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BA67C8">
              <w:rPr>
                <w:rFonts w:asciiTheme="majorBidi" w:hAnsiTheme="majorBidi" w:cstheme="majorBidi"/>
                <w:color w:val="auto"/>
                <w:rtl/>
                <w:lang w:eastAsia="en-US"/>
              </w:rPr>
              <w:t>67.2</w:t>
            </w:r>
          </w:p>
        </w:tc>
        <w:tc>
          <w:tcPr>
            <w:tcW w:w="740" w:type="dxa"/>
            <w:tcBorders>
              <w:left w:val="none" w:sz="0" w:space="0" w:color="auto"/>
              <w:right w:val="none" w:sz="0" w:space="0" w:color="auto"/>
            </w:tcBorders>
            <w:vAlign w:val="center"/>
            <w:hideMark/>
          </w:tcPr>
          <w:p w14:paraId="0CF48FC2" w14:textId="77777777" w:rsidR="00A613F9" w:rsidRPr="00BA67C8" w:rsidRDefault="00A613F9" w:rsidP="00F86B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BA67C8">
              <w:rPr>
                <w:rFonts w:asciiTheme="majorBidi" w:hAnsiTheme="majorBidi" w:cstheme="majorBidi"/>
                <w:color w:val="auto"/>
                <w:rtl/>
              </w:rPr>
              <w:t>3.5</w:t>
            </w:r>
          </w:p>
        </w:tc>
        <w:tc>
          <w:tcPr>
            <w:tcW w:w="740" w:type="dxa"/>
            <w:tcBorders>
              <w:left w:val="none" w:sz="0" w:space="0" w:color="auto"/>
              <w:right w:val="none" w:sz="0" w:space="0" w:color="auto"/>
            </w:tcBorders>
            <w:vAlign w:val="center"/>
            <w:hideMark/>
          </w:tcPr>
          <w:p w14:paraId="1D3BB5F5" w14:textId="77777777" w:rsidR="00A613F9" w:rsidRPr="00BA67C8" w:rsidRDefault="00A613F9" w:rsidP="00F86B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BA67C8">
              <w:rPr>
                <w:rFonts w:asciiTheme="majorBidi" w:hAnsiTheme="majorBidi" w:cstheme="majorBidi"/>
                <w:color w:val="auto"/>
                <w:rtl/>
                <w:lang w:eastAsia="en-US"/>
              </w:rPr>
              <w:t>12.2</w:t>
            </w:r>
          </w:p>
        </w:tc>
      </w:tr>
      <w:tr w:rsidR="00BA67C8" w:rsidRPr="00BA67C8" w14:paraId="5729B872" w14:textId="77777777" w:rsidTr="00F86B13">
        <w:trPr>
          <w:trHeight w:hRule="exact" w:val="628"/>
          <w:jc w:val="center"/>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14:paraId="68505CD3" w14:textId="77777777" w:rsidR="00A613F9" w:rsidRPr="00BA67C8" w:rsidRDefault="00A613F9">
            <w:pPr>
              <w:rPr>
                <w:rFonts w:asciiTheme="majorBidi" w:hAnsiTheme="majorBidi" w:cstheme="majorBidi"/>
                <w:b w:val="0"/>
                <w:bCs w:val="0"/>
                <w:color w:val="auto"/>
                <w:lang w:eastAsia="en-US"/>
              </w:rPr>
            </w:pPr>
            <w:r w:rsidRPr="00BA67C8">
              <w:rPr>
                <w:rFonts w:asciiTheme="majorBidi" w:hAnsiTheme="majorBidi" w:cstheme="majorBidi"/>
                <w:b w:val="0"/>
                <w:bCs w:val="0"/>
                <w:color w:val="auto"/>
                <w:rtl/>
                <w:lang w:eastAsia="en-US"/>
              </w:rPr>
              <w:t>قطاع غزة</w:t>
            </w:r>
          </w:p>
        </w:tc>
        <w:tc>
          <w:tcPr>
            <w:tcW w:w="740" w:type="dxa"/>
            <w:vAlign w:val="center"/>
            <w:hideMark/>
          </w:tcPr>
          <w:p w14:paraId="6E05F041"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14.6</w:t>
            </w:r>
          </w:p>
        </w:tc>
        <w:tc>
          <w:tcPr>
            <w:tcW w:w="740" w:type="dxa"/>
            <w:vAlign w:val="center"/>
            <w:hideMark/>
          </w:tcPr>
          <w:p w14:paraId="616B05EF" w14:textId="77777777" w:rsidR="00F86B13" w:rsidRPr="00F86B13" w:rsidRDefault="00F86B13" w:rsidP="00F86B1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16"/>
                <w:szCs w:val="16"/>
                <w:rtl/>
                <w:lang w:eastAsia="en-US"/>
              </w:rPr>
            </w:pPr>
          </w:p>
          <w:p w14:paraId="5C29D0BF" w14:textId="5CBD336F" w:rsidR="00F86B13" w:rsidRDefault="00A613F9" w:rsidP="00F86B1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BA67C8">
              <w:rPr>
                <w:rFonts w:asciiTheme="majorBidi" w:hAnsiTheme="majorBidi" w:cstheme="majorBidi"/>
                <w:color w:val="auto"/>
                <w:rtl/>
                <w:lang w:eastAsia="en-US"/>
              </w:rPr>
              <w:t>17.0</w:t>
            </w:r>
          </w:p>
          <w:p w14:paraId="326FFEDC" w14:textId="77777777" w:rsidR="00F86B13" w:rsidRDefault="00F86B13"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p>
          <w:p w14:paraId="03418092" w14:textId="77777777" w:rsidR="00F86B13" w:rsidRDefault="00F86B13" w:rsidP="00F86B1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p>
          <w:p w14:paraId="4F9D874F" w14:textId="77777777" w:rsidR="00F86B13" w:rsidRPr="00F86B13" w:rsidRDefault="00F86B13" w:rsidP="00F86B1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p>
          <w:p w14:paraId="0CD14420" w14:textId="77777777" w:rsidR="00F86B13" w:rsidRPr="00F86B13" w:rsidRDefault="00F86B13"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eastAsia="en-US"/>
              </w:rPr>
            </w:pPr>
          </w:p>
          <w:p w14:paraId="45AEC7EC" w14:textId="2564133D" w:rsidR="00F86B13" w:rsidRDefault="00F86B13"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eastAsia="en-US"/>
              </w:rPr>
            </w:pPr>
          </w:p>
          <w:p w14:paraId="0B42BF04" w14:textId="77777777" w:rsidR="00A613F9" w:rsidRPr="00F86B13"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eastAsia="en-US"/>
              </w:rPr>
            </w:pPr>
          </w:p>
        </w:tc>
        <w:tc>
          <w:tcPr>
            <w:tcW w:w="740" w:type="dxa"/>
            <w:vAlign w:val="center"/>
            <w:hideMark/>
          </w:tcPr>
          <w:p w14:paraId="2356EAB7"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BA67C8">
              <w:rPr>
                <w:rFonts w:asciiTheme="majorBidi" w:hAnsiTheme="majorBidi" w:cstheme="majorBidi"/>
                <w:color w:val="auto"/>
                <w:rtl/>
              </w:rPr>
              <w:t>28.2</w:t>
            </w:r>
          </w:p>
        </w:tc>
        <w:tc>
          <w:tcPr>
            <w:tcW w:w="740" w:type="dxa"/>
            <w:vAlign w:val="center"/>
            <w:hideMark/>
          </w:tcPr>
          <w:p w14:paraId="587731D7"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BA67C8">
              <w:rPr>
                <w:rFonts w:asciiTheme="majorBidi" w:hAnsiTheme="majorBidi" w:cstheme="majorBidi"/>
                <w:color w:val="auto"/>
                <w:rtl/>
                <w:lang w:eastAsia="en-US"/>
              </w:rPr>
              <w:t>33.3</w:t>
            </w:r>
          </w:p>
        </w:tc>
        <w:tc>
          <w:tcPr>
            <w:tcW w:w="740" w:type="dxa"/>
            <w:vAlign w:val="center"/>
            <w:hideMark/>
          </w:tcPr>
          <w:p w14:paraId="6FBFEA42"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BA67C8">
              <w:rPr>
                <w:rFonts w:asciiTheme="majorBidi" w:hAnsiTheme="majorBidi" w:cstheme="majorBidi"/>
                <w:color w:val="auto"/>
                <w:rtl/>
              </w:rPr>
              <w:t>0.2</w:t>
            </w:r>
          </w:p>
        </w:tc>
        <w:tc>
          <w:tcPr>
            <w:tcW w:w="740" w:type="dxa"/>
            <w:vAlign w:val="center"/>
            <w:hideMark/>
          </w:tcPr>
          <w:p w14:paraId="308AC80F" w14:textId="77777777" w:rsidR="00A613F9" w:rsidRPr="00BA67C8" w:rsidRDefault="00A613F9" w:rsidP="00F86B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BA67C8">
              <w:rPr>
                <w:rFonts w:asciiTheme="majorBidi" w:hAnsiTheme="majorBidi" w:cstheme="majorBidi"/>
                <w:color w:val="auto"/>
                <w:rtl/>
                <w:lang w:eastAsia="en-US"/>
              </w:rPr>
              <w:t>0.5</w:t>
            </w:r>
          </w:p>
        </w:tc>
      </w:tr>
    </w:tbl>
    <w:p w14:paraId="38996F02" w14:textId="77777777" w:rsidR="00BA67C8" w:rsidRPr="00BA67C8" w:rsidRDefault="00BA67C8" w:rsidP="00C6307D">
      <w:pPr>
        <w:pStyle w:val="Heading1"/>
        <w:jc w:val="both"/>
        <w:rPr>
          <w:rFonts w:ascii="Simplified Arabic" w:hAnsi="Simplified Arabic" w:cs="Simplified Arabic"/>
          <w:sz w:val="16"/>
          <w:szCs w:val="16"/>
          <w:rtl/>
        </w:rPr>
      </w:pPr>
    </w:p>
    <w:p w14:paraId="0FDAFF97" w14:textId="62E9A630" w:rsidR="001B0EF1" w:rsidRPr="00F86B13" w:rsidRDefault="001B0EF1" w:rsidP="00C6307D">
      <w:pPr>
        <w:pStyle w:val="Heading1"/>
        <w:jc w:val="both"/>
        <w:rPr>
          <w:rFonts w:ascii="Simplified Arabic" w:hAnsi="Simplified Arabic" w:cs="Simplified Arabic"/>
          <w:sz w:val="28"/>
          <w:szCs w:val="28"/>
          <w:rtl/>
        </w:rPr>
      </w:pPr>
      <w:r w:rsidRPr="00F86B13">
        <w:rPr>
          <w:rFonts w:ascii="Simplified Arabic" w:hAnsi="Simplified Arabic" w:cs="Simplified Arabic"/>
          <w:sz w:val="28"/>
          <w:szCs w:val="28"/>
          <w:rtl/>
        </w:rPr>
        <w:t>البطالة، لا سيما بين الخريجين الشباب، لا زالت أبرز التحديات</w:t>
      </w:r>
    </w:p>
    <w:p w14:paraId="5F8BEB7E" w14:textId="29107533" w:rsidR="001B0EF1" w:rsidRPr="00BA67C8" w:rsidRDefault="001B0EF1" w:rsidP="00560DF5">
      <w:pPr>
        <w:tabs>
          <w:tab w:val="left" w:pos="-1"/>
        </w:tabs>
        <w:ind w:left="-1"/>
        <w:jc w:val="both"/>
        <w:rPr>
          <w:rFonts w:ascii="Simplified Arabic" w:hAnsi="Simplified Arabic" w:cs="Simplified Arabic"/>
          <w:sz w:val="26"/>
          <w:szCs w:val="26"/>
          <w:lang w:val="en-GB"/>
        </w:rPr>
      </w:pPr>
      <w:r w:rsidRPr="00BA67C8">
        <w:rPr>
          <w:rFonts w:ascii="Simplified Arabic" w:hAnsi="Simplified Arabic" w:cs="Simplified Arabic"/>
          <w:sz w:val="26"/>
          <w:szCs w:val="26"/>
          <w:rtl/>
          <w:lang w:val="en-GB"/>
        </w:rPr>
        <w:t xml:space="preserve">على الرغم من </w:t>
      </w:r>
      <w:r w:rsidR="00560DF5" w:rsidRPr="00BA67C8">
        <w:rPr>
          <w:rFonts w:ascii="Simplified Arabic" w:hAnsi="Simplified Arabic" w:cs="Simplified Arabic"/>
          <w:sz w:val="26"/>
          <w:szCs w:val="26"/>
          <w:rtl/>
          <w:lang w:val="en-GB"/>
        </w:rPr>
        <w:t>التعافي</w:t>
      </w:r>
      <w:r w:rsidRPr="00BA67C8">
        <w:rPr>
          <w:rFonts w:ascii="Simplified Arabic" w:hAnsi="Simplified Arabic" w:cs="Simplified Arabic"/>
          <w:sz w:val="26"/>
          <w:szCs w:val="26"/>
          <w:rtl/>
          <w:lang w:val="en-GB"/>
        </w:rPr>
        <w:t xml:space="preserve"> التدريجي في أداء الاقتصاد الفلسطيني خلال النصف الأول من عام 2022، والارتفاع الذي سجل في عدد العاملين في معظم الأنشطة الاقتصادية، الا ان معدل البطالة لا يزال مرتفع، ويعود الارتفاع في معدل البطالة الى الارتفاع الكبير في معدلات البطالة في قطاع غزة حيث ما يقارب نصف المشاركين في القوى العاملة </w:t>
      </w:r>
      <w:r w:rsidR="00E45640" w:rsidRPr="00BA67C8">
        <w:rPr>
          <w:rFonts w:ascii="Simplified Arabic" w:hAnsi="Simplified Arabic" w:cs="Simplified Arabic"/>
          <w:sz w:val="26"/>
          <w:szCs w:val="26"/>
          <w:rtl/>
          <w:lang w:val="en-GB"/>
        </w:rPr>
        <w:t>45%</w:t>
      </w:r>
      <w:r w:rsidRPr="00BA67C8">
        <w:rPr>
          <w:rFonts w:ascii="Simplified Arabic" w:hAnsi="Simplified Arabic" w:cs="Simplified Arabic"/>
          <w:sz w:val="26"/>
          <w:szCs w:val="26"/>
          <w:rtl/>
          <w:lang w:val="en-GB"/>
        </w:rPr>
        <w:t xml:space="preserve"> هم عاطل</w:t>
      </w:r>
      <w:r w:rsidR="00E45640" w:rsidRPr="00BA67C8">
        <w:rPr>
          <w:rFonts w:ascii="Simplified Arabic" w:hAnsi="Simplified Arabic" w:cs="Simplified Arabic"/>
          <w:sz w:val="26"/>
          <w:szCs w:val="26"/>
          <w:rtl/>
          <w:lang w:val="en-GB"/>
        </w:rPr>
        <w:t>ون</w:t>
      </w:r>
      <w:r w:rsidRPr="00BA67C8">
        <w:rPr>
          <w:rFonts w:ascii="Simplified Arabic" w:hAnsi="Simplified Arabic" w:cs="Simplified Arabic"/>
          <w:sz w:val="26"/>
          <w:szCs w:val="26"/>
          <w:rtl/>
          <w:lang w:val="en-GB"/>
        </w:rPr>
        <w:t xml:space="preserve"> عن العمل مقارنة مع حوالي 14% في الضفة الغربية، </w:t>
      </w:r>
      <w:r w:rsidR="00E45640" w:rsidRPr="00BA67C8">
        <w:rPr>
          <w:rFonts w:ascii="Simplified Arabic" w:hAnsi="Simplified Arabic" w:cs="Simplified Arabic"/>
          <w:sz w:val="26"/>
          <w:szCs w:val="26"/>
          <w:rtl/>
          <w:lang w:val="en-GB"/>
        </w:rPr>
        <w:t>و</w:t>
      </w:r>
      <w:r w:rsidRPr="00BA67C8">
        <w:rPr>
          <w:rFonts w:ascii="Simplified Arabic" w:hAnsi="Simplified Arabic" w:cs="Simplified Arabic"/>
          <w:sz w:val="26"/>
          <w:szCs w:val="26"/>
          <w:rtl/>
          <w:lang w:val="en-GB"/>
        </w:rPr>
        <w:t>ما زال التفاوت كبيراً في معدل البطالة بين الذكور والاناث؛ 21٪ بين الذكور و39% بين الاناث.  يذكر أن البطالة بين الخريجين الشباب (20-29) سنة من حملة شهادة الدبلوم المتوسط فأعلى بلغت 48% بواقع 28% في الضفة الغربية و73% في قطاع غزة.</w:t>
      </w:r>
    </w:p>
    <w:p w14:paraId="7E6DCD7F" w14:textId="77777777" w:rsidR="001B0EF1" w:rsidRPr="00F86B13" w:rsidRDefault="001B0EF1" w:rsidP="00BA67C8">
      <w:pPr>
        <w:tabs>
          <w:tab w:val="left" w:pos="226"/>
        </w:tabs>
        <w:rPr>
          <w:rFonts w:ascii="Simplified Arabic" w:hAnsi="Simplified Arabic" w:cs="Simplified Arabic"/>
          <w:b/>
          <w:bCs/>
          <w:sz w:val="10"/>
          <w:szCs w:val="10"/>
        </w:rPr>
      </w:pPr>
    </w:p>
    <w:p w14:paraId="14010462" w14:textId="53F8BFE2" w:rsidR="002C35F0" w:rsidRPr="00F86B13" w:rsidRDefault="002C35F0" w:rsidP="00C6307D">
      <w:pPr>
        <w:pStyle w:val="Heading1"/>
        <w:jc w:val="both"/>
        <w:rPr>
          <w:rFonts w:ascii="Simplified Arabic" w:hAnsi="Simplified Arabic" w:cs="Simplified Arabic"/>
          <w:sz w:val="28"/>
          <w:szCs w:val="28"/>
          <w:rtl/>
        </w:rPr>
      </w:pPr>
      <w:r w:rsidRPr="00F86B13">
        <w:rPr>
          <w:rFonts w:ascii="Simplified Arabic" w:hAnsi="Simplified Arabic" w:cs="Simplified Arabic"/>
          <w:sz w:val="28"/>
          <w:szCs w:val="28"/>
          <w:rtl/>
        </w:rPr>
        <w:t>الواقع التعليمي في الضفة الغربية وقطاع غزة</w:t>
      </w:r>
    </w:p>
    <w:p w14:paraId="0611EEAF" w14:textId="46624216" w:rsidR="002C35F0" w:rsidRPr="00BA67C8" w:rsidRDefault="002C35F0" w:rsidP="005B0CDC">
      <w:pPr>
        <w:jc w:val="both"/>
        <w:rPr>
          <w:rFonts w:ascii="Simplified Arabic" w:hAnsi="Simplified Arabic" w:cs="Simplified Arabic"/>
          <w:sz w:val="26"/>
          <w:szCs w:val="26"/>
          <w:lang w:val="en-GB"/>
        </w:rPr>
      </w:pPr>
      <w:r w:rsidRPr="00BA67C8">
        <w:rPr>
          <w:rFonts w:ascii="Simplified Arabic" w:hAnsi="Simplified Arabic" w:cs="Simplified Arabic"/>
          <w:sz w:val="26"/>
          <w:szCs w:val="26"/>
          <w:rtl/>
          <w:lang w:val="en-GB"/>
        </w:rPr>
        <w:t xml:space="preserve">بلغ عدد الطلبة في المدارس للعام الدراسي 2021/2022 في فلسطين </w:t>
      </w:r>
      <w:r w:rsidRPr="00BA67C8">
        <w:rPr>
          <w:rFonts w:ascii="Simplified Arabic" w:hAnsi="Simplified Arabic" w:cs="Simplified Arabic"/>
          <w:sz w:val="26"/>
          <w:szCs w:val="26"/>
          <w:lang w:val="en-GB"/>
        </w:rPr>
        <w:t>1,358,410</w:t>
      </w:r>
      <w:r w:rsidRPr="00BA67C8">
        <w:rPr>
          <w:rFonts w:ascii="Simplified Arabic" w:hAnsi="Simplified Arabic" w:cs="Simplified Arabic"/>
          <w:sz w:val="26"/>
          <w:szCs w:val="26"/>
          <w:rtl/>
          <w:lang w:val="en-GB"/>
        </w:rPr>
        <w:t xml:space="preserve"> طالباً وطالبة (منهم</w:t>
      </w:r>
      <w:r w:rsidRPr="00BA67C8">
        <w:rPr>
          <w:rFonts w:ascii="Simplified Arabic" w:hAnsi="Simplified Arabic" w:cs="Simplified Arabic"/>
          <w:sz w:val="26"/>
          <w:szCs w:val="26"/>
          <w:lang w:val="en-GB"/>
        </w:rPr>
        <w:t xml:space="preserve">672,567 </w:t>
      </w:r>
      <w:r w:rsidRPr="00BA67C8">
        <w:rPr>
          <w:rFonts w:ascii="Simplified Arabic" w:hAnsi="Simplified Arabic" w:cs="Simplified Arabic"/>
          <w:sz w:val="26"/>
          <w:szCs w:val="26"/>
          <w:rtl/>
          <w:lang w:val="en-GB"/>
        </w:rPr>
        <w:t xml:space="preserve"> </w:t>
      </w:r>
      <w:r w:rsidR="00E45640" w:rsidRPr="00BA67C8">
        <w:rPr>
          <w:rFonts w:ascii="Simplified Arabic" w:hAnsi="Simplified Arabic" w:cs="Simplified Arabic"/>
          <w:sz w:val="26"/>
          <w:szCs w:val="26"/>
          <w:rtl/>
          <w:lang w:val="en-GB"/>
        </w:rPr>
        <w:t xml:space="preserve"> </w:t>
      </w:r>
      <w:r w:rsidRPr="00BA67C8">
        <w:rPr>
          <w:rFonts w:ascii="Simplified Arabic" w:hAnsi="Simplified Arabic" w:cs="Simplified Arabic"/>
          <w:sz w:val="26"/>
          <w:szCs w:val="26"/>
          <w:rtl/>
          <w:lang w:val="en-GB"/>
        </w:rPr>
        <w:t xml:space="preserve">ذكرا </w:t>
      </w:r>
      <w:r w:rsidR="00F424EB" w:rsidRPr="00BA67C8">
        <w:rPr>
          <w:rFonts w:ascii="Simplified Arabic" w:hAnsi="Simplified Arabic" w:cs="Simplified Arabic"/>
          <w:sz w:val="26"/>
          <w:szCs w:val="26"/>
          <w:rtl/>
          <w:lang w:val="en-GB"/>
        </w:rPr>
        <w:t xml:space="preserve"> </w:t>
      </w:r>
      <w:r w:rsidRPr="00BA67C8">
        <w:rPr>
          <w:rFonts w:ascii="Simplified Arabic" w:hAnsi="Simplified Arabic" w:cs="Simplified Arabic"/>
          <w:sz w:val="26"/>
          <w:szCs w:val="26"/>
          <w:rtl/>
          <w:lang w:val="en-GB"/>
        </w:rPr>
        <w:t>و</w:t>
      </w:r>
      <w:r w:rsidRPr="00BA67C8">
        <w:rPr>
          <w:rFonts w:ascii="Simplified Arabic" w:hAnsi="Simplified Arabic" w:cs="Simplified Arabic"/>
          <w:sz w:val="26"/>
          <w:szCs w:val="26"/>
          <w:lang w:val="en-GB"/>
        </w:rPr>
        <w:t xml:space="preserve">685,843 </w:t>
      </w:r>
      <w:r w:rsidRPr="00BA67C8">
        <w:rPr>
          <w:rFonts w:ascii="Simplified Arabic" w:hAnsi="Simplified Arabic" w:cs="Simplified Arabic"/>
          <w:sz w:val="26"/>
          <w:szCs w:val="26"/>
          <w:rtl/>
          <w:lang w:val="en-GB"/>
        </w:rPr>
        <w:t xml:space="preserve"> أنثى)، بواقع </w:t>
      </w:r>
      <w:r w:rsidRPr="00BA67C8">
        <w:rPr>
          <w:rFonts w:ascii="Simplified Arabic" w:hAnsi="Simplified Arabic" w:cs="Simplified Arabic"/>
          <w:sz w:val="26"/>
          <w:szCs w:val="26"/>
          <w:lang w:val="en-GB"/>
        </w:rPr>
        <w:t>760,688</w:t>
      </w:r>
      <w:r w:rsidRPr="00BA67C8">
        <w:rPr>
          <w:rFonts w:ascii="Simplified Arabic" w:hAnsi="Simplified Arabic" w:cs="Simplified Arabic"/>
          <w:sz w:val="26"/>
          <w:szCs w:val="26"/>
          <w:rtl/>
          <w:lang w:val="en-GB"/>
        </w:rPr>
        <w:t xml:space="preserve"> طالباً وطالبة في الضفة الغربية (منهم</w:t>
      </w:r>
      <w:r w:rsidRPr="00BA67C8">
        <w:rPr>
          <w:rFonts w:ascii="Simplified Arabic" w:hAnsi="Simplified Arabic" w:cs="Simplified Arabic"/>
          <w:sz w:val="26"/>
          <w:szCs w:val="26"/>
          <w:lang w:val="en-GB"/>
        </w:rPr>
        <w:t xml:space="preserve">373,519 </w:t>
      </w:r>
      <w:r w:rsidRPr="00BA67C8">
        <w:rPr>
          <w:rFonts w:ascii="Simplified Arabic" w:hAnsi="Simplified Arabic" w:cs="Simplified Arabic"/>
          <w:sz w:val="26"/>
          <w:szCs w:val="26"/>
          <w:rtl/>
          <w:lang w:val="en-GB"/>
        </w:rPr>
        <w:t xml:space="preserve"> ذكرا</w:t>
      </w:r>
      <w:r w:rsidR="005B0CDC" w:rsidRPr="00BA67C8">
        <w:rPr>
          <w:rFonts w:ascii="Simplified Arabic" w:hAnsi="Simplified Arabic" w:cs="Simplified Arabic"/>
          <w:sz w:val="26"/>
          <w:szCs w:val="26"/>
          <w:rtl/>
          <w:lang w:val="en-GB"/>
        </w:rPr>
        <w:t xml:space="preserve"> و</w:t>
      </w:r>
      <w:r w:rsidRPr="00BA67C8">
        <w:rPr>
          <w:rFonts w:ascii="Simplified Arabic" w:hAnsi="Simplified Arabic" w:cs="Simplified Arabic"/>
          <w:sz w:val="26"/>
          <w:szCs w:val="26"/>
          <w:lang w:val="en-GB"/>
        </w:rPr>
        <w:t xml:space="preserve">387,169 </w:t>
      </w:r>
      <w:r w:rsidR="005B0CDC" w:rsidRPr="00BA67C8">
        <w:rPr>
          <w:rFonts w:ascii="Simplified Arabic" w:hAnsi="Simplified Arabic" w:cs="Simplified Arabic"/>
          <w:sz w:val="26"/>
          <w:szCs w:val="26"/>
          <w:rtl/>
          <w:lang w:val="en-GB"/>
        </w:rPr>
        <w:t xml:space="preserve"> </w:t>
      </w:r>
      <w:r w:rsidRPr="00BA67C8">
        <w:rPr>
          <w:rFonts w:ascii="Simplified Arabic" w:hAnsi="Simplified Arabic" w:cs="Simplified Arabic"/>
          <w:sz w:val="26"/>
          <w:szCs w:val="26"/>
          <w:rtl/>
          <w:lang w:val="en-GB"/>
        </w:rPr>
        <w:t>أنثى) و</w:t>
      </w:r>
      <w:r w:rsidRPr="00BA67C8">
        <w:rPr>
          <w:rFonts w:ascii="Simplified Arabic" w:hAnsi="Simplified Arabic" w:cs="Simplified Arabic"/>
          <w:sz w:val="26"/>
          <w:szCs w:val="26"/>
          <w:lang w:val="en-GB"/>
        </w:rPr>
        <w:t>597,722</w:t>
      </w:r>
      <w:r w:rsidRPr="00BA67C8">
        <w:rPr>
          <w:rFonts w:ascii="Simplified Arabic" w:hAnsi="Simplified Arabic" w:cs="Simplified Arabic"/>
          <w:sz w:val="26"/>
          <w:szCs w:val="26"/>
          <w:rtl/>
          <w:lang w:val="en-GB"/>
        </w:rPr>
        <w:t xml:space="preserve"> طالباً وطالبة في قطاع غزة (منهم</w:t>
      </w:r>
      <w:r w:rsidRPr="00BA67C8">
        <w:rPr>
          <w:rFonts w:ascii="Simplified Arabic" w:hAnsi="Simplified Arabic" w:cs="Simplified Arabic"/>
          <w:sz w:val="26"/>
          <w:szCs w:val="26"/>
          <w:lang w:val="en-GB"/>
        </w:rPr>
        <w:t xml:space="preserve">299,048 </w:t>
      </w:r>
      <w:r w:rsidRPr="00BA67C8">
        <w:rPr>
          <w:rFonts w:ascii="Simplified Arabic" w:hAnsi="Simplified Arabic" w:cs="Simplified Arabic"/>
          <w:sz w:val="26"/>
          <w:szCs w:val="26"/>
          <w:rtl/>
          <w:lang w:val="en-GB"/>
        </w:rPr>
        <w:t xml:space="preserve"> ذكرا و</w:t>
      </w:r>
      <w:r w:rsidRPr="00BA67C8">
        <w:rPr>
          <w:rFonts w:ascii="Simplified Arabic" w:hAnsi="Simplified Arabic" w:cs="Simplified Arabic"/>
          <w:sz w:val="26"/>
          <w:szCs w:val="26"/>
          <w:lang w:val="en-GB"/>
        </w:rPr>
        <w:t xml:space="preserve">298,674 </w:t>
      </w:r>
      <w:r w:rsidRPr="00BA67C8">
        <w:rPr>
          <w:rFonts w:ascii="Simplified Arabic" w:hAnsi="Simplified Arabic" w:cs="Simplified Arabic"/>
          <w:sz w:val="26"/>
          <w:szCs w:val="26"/>
          <w:rtl/>
          <w:lang w:val="en-GB"/>
        </w:rPr>
        <w:t xml:space="preserve"> </w:t>
      </w:r>
      <w:r w:rsidR="005B0CDC" w:rsidRPr="00BA67C8">
        <w:rPr>
          <w:rFonts w:ascii="Simplified Arabic" w:hAnsi="Simplified Arabic" w:cs="Simplified Arabic"/>
          <w:sz w:val="26"/>
          <w:szCs w:val="26"/>
          <w:rtl/>
          <w:lang w:val="en-GB"/>
        </w:rPr>
        <w:t>انثى</w:t>
      </w:r>
      <w:r w:rsidRPr="00BA67C8">
        <w:rPr>
          <w:rFonts w:ascii="Simplified Arabic" w:hAnsi="Simplified Arabic" w:cs="Simplified Arabic"/>
          <w:sz w:val="26"/>
          <w:szCs w:val="26"/>
          <w:rtl/>
          <w:lang w:val="en-GB"/>
        </w:rPr>
        <w:t>).</w:t>
      </w:r>
    </w:p>
    <w:p w14:paraId="78FE6332" w14:textId="77777777" w:rsidR="002C35F0" w:rsidRPr="00F86B13" w:rsidRDefault="002C35F0" w:rsidP="00BA67C8">
      <w:pPr>
        <w:pStyle w:val="ListParagraph"/>
        <w:ind w:left="0"/>
        <w:rPr>
          <w:rFonts w:ascii="Simplified Arabic" w:hAnsi="Simplified Arabic"/>
          <w:noProof w:val="0"/>
          <w:sz w:val="10"/>
          <w:szCs w:val="10"/>
          <w:rtl/>
          <w:lang w:val="en-GB" w:eastAsia="ar-SA"/>
        </w:rPr>
      </w:pPr>
    </w:p>
    <w:p w14:paraId="52307B23" w14:textId="1D1D3F52" w:rsidR="002C35F0" w:rsidRPr="00BA67C8" w:rsidRDefault="002C35F0" w:rsidP="005B0CDC">
      <w:pPr>
        <w:jc w:val="both"/>
        <w:rPr>
          <w:rFonts w:ascii="Simplified Arabic" w:hAnsi="Simplified Arabic" w:cs="Simplified Arabic"/>
          <w:sz w:val="26"/>
          <w:szCs w:val="26"/>
          <w:lang w:val="en-GB"/>
        </w:rPr>
      </w:pPr>
      <w:r w:rsidRPr="00BA67C8">
        <w:rPr>
          <w:rFonts w:ascii="Simplified Arabic" w:hAnsi="Simplified Arabic" w:cs="Simplified Arabic"/>
          <w:sz w:val="26"/>
          <w:szCs w:val="26"/>
          <w:rtl/>
          <w:lang w:val="en-GB"/>
        </w:rPr>
        <w:t xml:space="preserve">بلغ عدد الطلبة الملتحقين في مؤسسات التعليم العالي للعام الدراسي 2021/2022 في فلسطين 225,975 طالباً وطالبة (منهم 86,992 ذكرا و138,983 أنثى)، بواقع 138,754 طالباً وطالبة في الضفة الغربية (منهم49,069 ذكرا و89,685 أنثى) و87,221 طالباً وطالبة في قطاع غزة </w:t>
      </w:r>
      <w:r w:rsidR="005B0CDC" w:rsidRPr="00BA67C8">
        <w:rPr>
          <w:rFonts w:ascii="Simplified Arabic" w:hAnsi="Simplified Arabic" w:cs="Simplified Arabic"/>
          <w:sz w:val="26"/>
          <w:szCs w:val="26"/>
          <w:rtl/>
          <w:lang w:val="en-GB"/>
        </w:rPr>
        <w:t xml:space="preserve">(منهم </w:t>
      </w:r>
      <w:r w:rsidRPr="00BA67C8">
        <w:rPr>
          <w:rFonts w:ascii="Simplified Arabic" w:hAnsi="Simplified Arabic" w:cs="Simplified Arabic"/>
          <w:sz w:val="26"/>
          <w:szCs w:val="26"/>
          <w:rtl/>
          <w:lang w:val="en-GB"/>
        </w:rPr>
        <w:t>37,923</w:t>
      </w:r>
      <w:r w:rsidR="005B0CDC" w:rsidRPr="00BA67C8">
        <w:rPr>
          <w:rFonts w:ascii="Simplified Arabic" w:hAnsi="Simplified Arabic" w:cs="Simplified Arabic"/>
          <w:sz w:val="26"/>
          <w:szCs w:val="26"/>
          <w:rtl/>
          <w:lang w:val="en-GB"/>
        </w:rPr>
        <w:t xml:space="preserve"> </w:t>
      </w:r>
      <w:r w:rsidRPr="00BA67C8">
        <w:rPr>
          <w:rFonts w:ascii="Simplified Arabic" w:hAnsi="Simplified Arabic" w:cs="Simplified Arabic"/>
          <w:sz w:val="26"/>
          <w:szCs w:val="26"/>
          <w:rtl/>
          <w:lang w:val="en-GB"/>
        </w:rPr>
        <w:t> ذكرا و49,298 أنثى).</w:t>
      </w:r>
    </w:p>
    <w:p w14:paraId="28F0BEDD" w14:textId="77777777" w:rsidR="002C35F0" w:rsidRPr="00F86B13" w:rsidRDefault="002C35F0" w:rsidP="00BA67C8">
      <w:pPr>
        <w:shd w:val="clear" w:color="auto" w:fill="FFFFFF"/>
        <w:bidi w:val="0"/>
        <w:jc w:val="right"/>
        <w:rPr>
          <w:rFonts w:ascii="Simplified Arabic" w:hAnsi="Simplified Arabic" w:cs="Simplified Arabic"/>
          <w:sz w:val="10"/>
          <w:szCs w:val="10"/>
          <w:rtl/>
          <w:lang w:eastAsia="en-US"/>
        </w:rPr>
      </w:pPr>
    </w:p>
    <w:p w14:paraId="36D6F343" w14:textId="0DF0AC24" w:rsidR="002C35F0" w:rsidRPr="00BA67C8" w:rsidRDefault="002C35F0" w:rsidP="005E5B2C">
      <w:pPr>
        <w:jc w:val="both"/>
        <w:rPr>
          <w:rFonts w:ascii="Simplified Arabic" w:hAnsi="Simplified Arabic" w:cs="Simplified Arabic"/>
          <w:sz w:val="26"/>
          <w:szCs w:val="26"/>
          <w:lang w:val="en-GB"/>
        </w:rPr>
      </w:pPr>
      <w:r w:rsidRPr="00BA67C8">
        <w:rPr>
          <w:rFonts w:ascii="Simplified Arabic" w:hAnsi="Simplified Arabic" w:cs="Simplified Arabic"/>
          <w:sz w:val="26"/>
          <w:szCs w:val="26"/>
          <w:rtl/>
          <w:lang w:val="en-GB"/>
        </w:rPr>
        <w:t>بلغ عدد الخريجين من مؤسسات التعليم العالي للعام الدراسي 2020/2021 في فلسطين 46,225 خريج وخريجة (منهم 16,931 ذكرا و29,294 إناث)، بواقع 32,277 خريج وخريجة في الضفة الغربية (منهم 10,763 ذكرا و21,514 أنثى) و13,948 خريج وخريجة في قطاع غزة (منهم 6,168 ذكرا و7,780 أنثى).</w:t>
      </w:r>
    </w:p>
    <w:p w14:paraId="2455D158" w14:textId="77777777" w:rsidR="00BC04A2" w:rsidRPr="00F86B13" w:rsidRDefault="00BC04A2" w:rsidP="00BA67C8">
      <w:pPr>
        <w:pStyle w:val="Heading1"/>
        <w:rPr>
          <w:rFonts w:ascii="Simplified Arabic" w:hAnsi="Simplified Arabic" w:cs="Simplified Arabic"/>
          <w:sz w:val="10"/>
          <w:szCs w:val="10"/>
        </w:rPr>
      </w:pPr>
    </w:p>
    <w:p w14:paraId="1771A10B" w14:textId="27167A12" w:rsidR="00C3730C" w:rsidRPr="00F86B13" w:rsidRDefault="00155A8A" w:rsidP="00C6307D">
      <w:pPr>
        <w:pStyle w:val="Heading1"/>
        <w:jc w:val="both"/>
        <w:rPr>
          <w:rFonts w:ascii="Simplified Arabic" w:hAnsi="Simplified Arabic" w:cs="Simplified Arabic"/>
          <w:sz w:val="28"/>
          <w:szCs w:val="28"/>
          <w:rtl/>
        </w:rPr>
      </w:pPr>
      <w:r w:rsidRPr="00F86B13">
        <w:rPr>
          <w:rFonts w:ascii="Simplified Arabic" w:hAnsi="Simplified Arabic" w:cs="Simplified Arabic"/>
          <w:sz w:val="28"/>
          <w:szCs w:val="28"/>
          <w:rtl/>
        </w:rPr>
        <w:t>اعتداءات اسرائيلية متواصلة واستيطان مستعر</w:t>
      </w:r>
    </w:p>
    <w:p w14:paraId="5F991325" w14:textId="19671F11" w:rsidR="0071602C" w:rsidRPr="00AE1086" w:rsidRDefault="000D213C" w:rsidP="00AE1086">
      <w:pPr>
        <w:jc w:val="lowKashida"/>
        <w:rPr>
          <w:rFonts w:ascii="Simplified Arabic" w:hAnsi="Simplified Arabic" w:cs="Simplified Arabic"/>
          <w:snapToGrid w:val="0"/>
          <w:sz w:val="26"/>
          <w:szCs w:val="26"/>
          <w:rtl/>
          <w:lang w:eastAsia="en-US"/>
        </w:rPr>
      </w:pPr>
      <w:r w:rsidRPr="00BA67C8">
        <w:rPr>
          <w:rFonts w:ascii="Simplified Arabic" w:hAnsi="Simplified Arabic" w:cs="Simplified Arabic"/>
          <w:sz w:val="26"/>
          <w:szCs w:val="26"/>
          <w:rtl/>
          <w:lang w:val="en-GB"/>
        </w:rPr>
        <w:t xml:space="preserve">ضمن سياسته </w:t>
      </w:r>
      <w:r w:rsidR="00560DF5" w:rsidRPr="00BA67C8">
        <w:rPr>
          <w:rFonts w:ascii="Simplified Arabic" w:hAnsi="Simplified Arabic" w:cs="Simplified Arabic"/>
          <w:sz w:val="26"/>
          <w:szCs w:val="26"/>
          <w:rtl/>
          <w:lang w:val="en-GB"/>
        </w:rPr>
        <w:t>الممنهجة</w:t>
      </w:r>
      <w:r w:rsidRPr="00BA67C8">
        <w:rPr>
          <w:rFonts w:ascii="Simplified Arabic" w:hAnsi="Simplified Arabic" w:cs="Simplified Arabic"/>
          <w:sz w:val="26"/>
          <w:szCs w:val="26"/>
          <w:rtl/>
          <w:lang w:val="en-GB"/>
        </w:rPr>
        <w:t xml:space="preserve"> لاقتلاع الفلسطيني من ارضه،</w:t>
      </w:r>
      <w:r w:rsidR="006F4B10" w:rsidRPr="00BA67C8">
        <w:rPr>
          <w:rFonts w:ascii="Simplified Arabic" w:hAnsi="Simplified Arabic" w:cs="Simplified Arabic"/>
          <w:sz w:val="26"/>
          <w:szCs w:val="26"/>
          <w:rtl/>
          <w:lang w:val="en-GB"/>
        </w:rPr>
        <w:t xml:space="preserve"> ما</w:t>
      </w:r>
      <w:r w:rsidR="00857405" w:rsidRPr="00BA67C8">
        <w:rPr>
          <w:rFonts w:ascii="Simplified Arabic" w:hAnsi="Simplified Arabic" w:cs="Simplified Arabic"/>
          <w:sz w:val="26"/>
          <w:szCs w:val="26"/>
          <w:rtl/>
          <w:lang w:val="en-GB"/>
        </w:rPr>
        <w:t xml:space="preserve"> </w:t>
      </w:r>
      <w:r w:rsidR="006F4B10" w:rsidRPr="00BA67C8">
        <w:rPr>
          <w:rFonts w:ascii="Simplified Arabic" w:hAnsi="Simplified Arabic" w:cs="Simplified Arabic"/>
          <w:sz w:val="26"/>
          <w:szCs w:val="26"/>
          <w:rtl/>
          <w:lang w:val="en-GB"/>
        </w:rPr>
        <w:t>زالت الاعتداءات المتواصلة من قبل الاحتلال الاسرائيلي ومستوطنيه على</w:t>
      </w:r>
      <w:r w:rsidR="008264B3" w:rsidRPr="00BA67C8">
        <w:rPr>
          <w:rFonts w:ascii="Simplified Arabic" w:hAnsi="Simplified Arabic" w:cs="Simplified Arabic"/>
          <w:sz w:val="26"/>
          <w:szCs w:val="26"/>
          <w:rtl/>
          <w:lang w:val="en-GB"/>
        </w:rPr>
        <w:t xml:space="preserve"> السكان </w:t>
      </w:r>
      <w:r w:rsidR="006F4B10" w:rsidRPr="00BA67C8">
        <w:rPr>
          <w:rFonts w:ascii="Simplified Arabic" w:hAnsi="Simplified Arabic" w:cs="Simplified Arabic"/>
          <w:sz w:val="26"/>
          <w:szCs w:val="26"/>
          <w:rtl/>
          <w:lang w:val="en-GB"/>
        </w:rPr>
        <w:t xml:space="preserve">الفلسطينيين في </w:t>
      </w:r>
      <w:r w:rsidR="008264B3" w:rsidRPr="00BA67C8">
        <w:rPr>
          <w:rFonts w:ascii="Simplified Arabic" w:hAnsi="Simplified Arabic" w:cs="Simplified Arabic"/>
          <w:sz w:val="26"/>
          <w:szCs w:val="26"/>
          <w:rtl/>
          <w:lang w:val="en-GB"/>
        </w:rPr>
        <w:t xml:space="preserve">كافة تجمعات سكنهم </w:t>
      </w:r>
      <w:r w:rsidR="006F4B10" w:rsidRPr="00BA67C8">
        <w:rPr>
          <w:rFonts w:ascii="Simplified Arabic" w:hAnsi="Simplified Arabic" w:cs="Simplified Arabic"/>
          <w:sz w:val="26"/>
          <w:szCs w:val="26"/>
          <w:rtl/>
          <w:lang w:val="en-GB"/>
        </w:rPr>
        <w:t>من مصادرة للأراضي وهدم المنازل والاعتداء على الفلسطينيين، حيث</w:t>
      </w:r>
      <w:r w:rsidRPr="00BA67C8">
        <w:rPr>
          <w:rFonts w:ascii="Simplified Arabic" w:hAnsi="Simplified Arabic" w:cs="Simplified Arabic"/>
          <w:sz w:val="26"/>
          <w:szCs w:val="26"/>
          <w:rtl/>
          <w:lang w:val="en-GB"/>
        </w:rPr>
        <w:t xml:space="preserve"> قام الاحتلال الاسرائيلي </w:t>
      </w:r>
      <w:r w:rsidR="0098582B" w:rsidRPr="00BA67C8">
        <w:rPr>
          <w:rFonts w:ascii="Simplified Arabic" w:hAnsi="Simplified Arabic" w:cs="Simplified Arabic"/>
          <w:sz w:val="26"/>
          <w:szCs w:val="26"/>
          <w:rtl/>
        </w:rPr>
        <w:t xml:space="preserve">بهدم وتدمير 1,058 مبنى في فلسطين (353 مبنى سكني و705 منشآت)، شملت 93 عملية هدم ذاتي يقع معظمها في محافظة القدس بواقع 88 عملية هدم ذاتي، </w:t>
      </w:r>
      <w:r w:rsidR="0098582B" w:rsidRPr="00BA67C8">
        <w:rPr>
          <w:rFonts w:ascii="Simplified Arabic" w:hAnsi="Simplified Arabic" w:cs="Simplified Arabic"/>
          <w:sz w:val="26"/>
          <w:szCs w:val="26"/>
          <w:rtl/>
          <w:lang w:bidi="ar-JO"/>
        </w:rPr>
        <w:t>وتصدرت محافظة القدس مجمل عمليات الهدم بنسبة 29%، شملت هدم 128 مبنى سكني و176 منشأة</w:t>
      </w:r>
      <w:r w:rsidR="0098582B" w:rsidRPr="00BA67C8">
        <w:rPr>
          <w:rFonts w:ascii="Simplified Arabic" w:hAnsi="Simplified Arabic" w:cs="Simplified Arabic"/>
          <w:sz w:val="26"/>
          <w:szCs w:val="26"/>
          <w:rtl/>
        </w:rPr>
        <w:t xml:space="preserve">، </w:t>
      </w:r>
      <w:r w:rsidRPr="00BA67C8">
        <w:rPr>
          <w:rFonts w:ascii="Simplified Arabic" w:hAnsi="Simplified Arabic" w:cs="Simplified Arabic"/>
          <w:sz w:val="26"/>
          <w:szCs w:val="26"/>
          <w:rtl/>
          <w:lang w:val="en-GB"/>
        </w:rPr>
        <w:t>في الوقت الذي تقوم به دولة الاحتلال ببناء مئات الوحدات الاستيطانية، حيث يعيش فيه</w:t>
      </w:r>
      <w:r w:rsidR="0099340E" w:rsidRPr="00BA67C8">
        <w:rPr>
          <w:rFonts w:ascii="Simplified Arabic" w:hAnsi="Simplified Arabic" w:cs="Simplified Arabic"/>
          <w:sz w:val="26"/>
          <w:szCs w:val="26"/>
          <w:rtl/>
          <w:lang w:val="en-GB"/>
        </w:rPr>
        <w:t>ا</w:t>
      </w:r>
      <w:r w:rsidRPr="00BA67C8">
        <w:rPr>
          <w:rFonts w:ascii="Simplified Arabic" w:hAnsi="Simplified Arabic" w:cs="Simplified Arabic"/>
          <w:sz w:val="26"/>
          <w:szCs w:val="26"/>
          <w:rtl/>
          <w:lang w:val="en-GB"/>
        </w:rPr>
        <w:t xml:space="preserve"> أكثر من 700 الف مستعمر في 151 مستعمرة مقامة على الاراضي الفلسطينية في الضفة </w:t>
      </w:r>
      <w:r w:rsidR="00945F63" w:rsidRPr="00BA67C8">
        <w:rPr>
          <w:rFonts w:ascii="Simplified Arabic" w:hAnsi="Simplified Arabic" w:cs="Simplified Arabic"/>
          <w:sz w:val="26"/>
          <w:szCs w:val="26"/>
          <w:rtl/>
          <w:lang w:val="en-GB"/>
        </w:rPr>
        <w:t>الغربية</w:t>
      </w:r>
      <w:r w:rsidR="00576AF8" w:rsidRPr="00BA67C8">
        <w:rPr>
          <w:rFonts w:ascii="Simplified Arabic" w:hAnsi="Simplified Arabic" w:cs="Simplified Arabic"/>
          <w:sz w:val="26"/>
          <w:szCs w:val="26"/>
          <w:rtl/>
          <w:lang w:val="en-GB"/>
        </w:rPr>
        <w:t xml:space="preserve"> في نهاية عام 2021</w:t>
      </w:r>
      <w:r w:rsidR="00945F63" w:rsidRPr="00BA67C8">
        <w:rPr>
          <w:rFonts w:ascii="Simplified Arabic" w:hAnsi="Simplified Arabic" w:cs="Simplified Arabic"/>
          <w:sz w:val="26"/>
          <w:szCs w:val="26"/>
          <w:rtl/>
          <w:lang w:val="en-GB"/>
        </w:rPr>
        <w:t>.</w:t>
      </w:r>
      <w:r w:rsidRPr="00BA67C8">
        <w:rPr>
          <w:rFonts w:ascii="Simplified Arabic" w:hAnsi="Simplified Arabic" w:cs="Simplified Arabic"/>
          <w:sz w:val="26"/>
          <w:szCs w:val="26"/>
          <w:rtl/>
          <w:lang w:val="en-GB"/>
        </w:rPr>
        <w:t xml:space="preserve"> </w:t>
      </w:r>
      <w:r w:rsidR="00E45640" w:rsidRPr="00BA67C8">
        <w:rPr>
          <w:rFonts w:ascii="Simplified Arabic" w:hAnsi="Simplified Arabic" w:cs="Simplified Arabic"/>
          <w:sz w:val="26"/>
          <w:szCs w:val="26"/>
          <w:rtl/>
          <w:lang w:val="en-GB"/>
        </w:rPr>
        <w:t xml:space="preserve">كما بلغ عدد الشهداء الفلسطينيين خلال عام 2022 حتى </w:t>
      </w:r>
      <w:r w:rsidR="00951F41" w:rsidRPr="00BA67C8">
        <w:rPr>
          <w:rFonts w:ascii="Simplified Arabic" w:hAnsi="Simplified Arabic" w:cs="Simplified Arabic"/>
          <w:sz w:val="26"/>
          <w:szCs w:val="26"/>
          <w:rtl/>
          <w:lang w:val="en-GB"/>
        </w:rPr>
        <w:t>تاريخ</w:t>
      </w:r>
      <w:r w:rsidR="00E45640" w:rsidRPr="00BA67C8">
        <w:rPr>
          <w:rFonts w:ascii="Simplified Arabic" w:hAnsi="Simplified Arabic" w:cs="Simplified Arabic"/>
          <w:sz w:val="26"/>
          <w:szCs w:val="26"/>
          <w:rtl/>
          <w:lang w:val="en-GB"/>
        </w:rPr>
        <w:t xml:space="preserve"> </w:t>
      </w:r>
      <w:r w:rsidR="00951F41" w:rsidRPr="00BA67C8">
        <w:rPr>
          <w:rFonts w:ascii="Simplified Arabic" w:hAnsi="Simplified Arabic" w:cs="Simplified Arabic"/>
          <w:sz w:val="26"/>
          <w:szCs w:val="26"/>
          <w:rtl/>
          <w:lang w:val="en-GB"/>
        </w:rPr>
        <w:t>26</w:t>
      </w:r>
      <w:r w:rsidR="00E45640" w:rsidRPr="00BA67C8">
        <w:rPr>
          <w:rFonts w:ascii="Simplified Arabic" w:hAnsi="Simplified Arabic" w:cs="Simplified Arabic"/>
          <w:sz w:val="26"/>
          <w:szCs w:val="26"/>
          <w:rtl/>
          <w:lang w:val="en-GB"/>
        </w:rPr>
        <w:t xml:space="preserve"> كانون أول</w:t>
      </w:r>
      <w:r w:rsidR="00532D02" w:rsidRPr="00BA67C8">
        <w:rPr>
          <w:rFonts w:ascii="Simplified Arabic" w:hAnsi="Simplified Arabic" w:cs="Simplified Arabic"/>
          <w:sz w:val="26"/>
          <w:szCs w:val="26"/>
          <w:rtl/>
          <w:lang w:val="en-GB"/>
        </w:rPr>
        <w:t>/ديسمبر</w:t>
      </w:r>
      <w:r w:rsidR="00E45640" w:rsidRPr="00BA67C8">
        <w:rPr>
          <w:rFonts w:ascii="Simplified Arabic" w:hAnsi="Simplified Arabic" w:cs="Simplified Arabic"/>
          <w:sz w:val="26"/>
          <w:szCs w:val="26"/>
          <w:rtl/>
          <w:lang w:val="en-GB"/>
        </w:rPr>
        <w:t xml:space="preserve">، </w:t>
      </w:r>
      <w:r w:rsidR="007D03D8" w:rsidRPr="00BA67C8">
        <w:rPr>
          <w:rFonts w:ascii="Simplified Arabic" w:hAnsi="Simplified Arabic" w:cs="Simplified Arabic"/>
          <w:sz w:val="26"/>
          <w:szCs w:val="26"/>
          <w:rtl/>
          <w:lang w:val="en-GB"/>
        </w:rPr>
        <w:t>22</w:t>
      </w:r>
      <w:r w:rsidR="00166AB2" w:rsidRPr="00BA67C8">
        <w:rPr>
          <w:rFonts w:ascii="Simplified Arabic" w:hAnsi="Simplified Arabic" w:cs="Simplified Arabic"/>
          <w:sz w:val="26"/>
          <w:szCs w:val="26"/>
          <w:rtl/>
          <w:lang w:val="en-GB"/>
        </w:rPr>
        <w:t>4</w:t>
      </w:r>
      <w:r w:rsidR="00E45640" w:rsidRPr="00BA67C8">
        <w:rPr>
          <w:rFonts w:ascii="Simplified Arabic" w:hAnsi="Simplified Arabic" w:cs="Simplified Arabic"/>
          <w:sz w:val="26"/>
          <w:szCs w:val="26"/>
          <w:rtl/>
          <w:lang w:val="en-GB"/>
        </w:rPr>
        <w:t xml:space="preserve"> شهيدا </w:t>
      </w:r>
      <w:r w:rsidR="007D03D8" w:rsidRPr="00BA67C8">
        <w:rPr>
          <w:rFonts w:ascii="Simplified Arabic" w:hAnsi="Simplified Arabic" w:cs="Simplified Arabic"/>
          <w:sz w:val="26"/>
          <w:szCs w:val="26"/>
          <w:rtl/>
          <w:lang w:val="en-GB"/>
        </w:rPr>
        <w:t>(53</w:t>
      </w:r>
      <w:r w:rsidR="00E45640" w:rsidRPr="00BA67C8">
        <w:rPr>
          <w:rFonts w:ascii="Simplified Arabic" w:hAnsi="Simplified Arabic" w:cs="Simplified Arabic"/>
          <w:sz w:val="26"/>
          <w:szCs w:val="26"/>
          <w:rtl/>
          <w:lang w:val="en-GB"/>
        </w:rPr>
        <w:t xml:space="preserve"> شهيد</w:t>
      </w:r>
      <w:r w:rsidR="00532D02" w:rsidRPr="00BA67C8">
        <w:rPr>
          <w:rFonts w:ascii="Simplified Arabic" w:hAnsi="Simplified Arabic" w:cs="Simplified Arabic"/>
          <w:sz w:val="26"/>
          <w:szCs w:val="26"/>
          <w:rtl/>
          <w:lang w:val="en-GB"/>
        </w:rPr>
        <w:t>ا</w:t>
      </w:r>
      <w:r w:rsidR="00E45640" w:rsidRPr="00BA67C8">
        <w:rPr>
          <w:rFonts w:ascii="Simplified Arabic" w:hAnsi="Simplified Arabic" w:cs="Simplified Arabic"/>
          <w:sz w:val="26"/>
          <w:szCs w:val="26"/>
          <w:rtl/>
          <w:lang w:val="en-GB"/>
        </w:rPr>
        <w:t xml:space="preserve"> في قطاع غزة و</w:t>
      </w:r>
      <w:r w:rsidR="00166AB2" w:rsidRPr="00BA67C8">
        <w:rPr>
          <w:rFonts w:ascii="Simplified Arabic" w:hAnsi="Simplified Arabic" w:cs="Simplified Arabic"/>
          <w:sz w:val="26"/>
          <w:szCs w:val="26"/>
          <w:rtl/>
          <w:lang w:val="en-GB"/>
        </w:rPr>
        <w:t>171</w:t>
      </w:r>
      <w:r w:rsidR="00E45640" w:rsidRPr="00BA67C8">
        <w:rPr>
          <w:rFonts w:ascii="Simplified Arabic" w:hAnsi="Simplified Arabic" w:cs="Simplified Arabic"/>
          <w:sz w:val="26"/>
          <w:szCs w:val="26"/>
          <w:rtl/>
          <w:lang w:val="en-GB"/>
        </w:rPr>
        <w:t xml:space="preserve"> شهيدا </w:t>
      </w:r>
      <w:r w:rsidR="00532D02" w:rsidRPr="00BA67C8">
        <w:rPr>
          <w:rFonts w:ascii="Simplified Arabic" w:hAnsi="Simplified Arabic" w:cs="Simplified Arabic"/>
          <w:sz w:val="26"/>
          <w:szCs w:val="26"/>
          <w:rtl/>
          <w:lang w:val="en-GB"/>
        </w:rPr>
        <w:t>في الضفة الغربية</w:t>
      </w:r>
      <w:r w:rsidR="007D03D8" w:rsidRPr="00BA67C8">
        <w:rPr>
          <w:rFonts w:ascii="Simplified Arabic" w:hAnsi="Simplified Arabic" w:cs="Simplified Arabic"/>
          <w:sz w:val="26"/>
          <w:szCs w:val="26"/>
          <w:rtl/>
          <w:lang w:val="en-GB"/>
        </w:rPr>
        <w:t>)</w:t>
      </w:r>
      <w:r w:rsidR="00532D02" w:rsidRPr="00BA67C8">
        <w:rPr>
          <w:rFonts w:ascii="Simplified Arabic" w:hAnsi="Simplified Arabic" w:cs="Simplified Arabic"/>
          <w:sz w:val="26"/>
          <w:szCs w:val="26"/>
          <w:rtl/>
          <w:lang w:val="en-GB"/>
        </w:rPr>
        <w:t xml:space="preserve"> </w:t>
      </w:r>
      <w:r w:rsidR="00E45640" w:rsidRPr="00BA67C8">
        <w:rPr>
          <w:rFonts w:ascii="Simplified Arabic" w:hAnsi="Simplified Arabic" w:cs="Simplified Arabic"/>
          <w:sz w:val="26"/>
          <w:szCs w:val="26"/>
          <w:rtl/>
          <w:lang w:val="en-GB"/>
        </w:rPr>
        <w:t xml:space="preserve">وفق سجلات وزارة الصحة الفلسطينية، </w:t>
      </w:r>
      <w:r w:rsidR="0015177F" w:rsidRPr="00BA67C8">
        <w:rPr>
          <w:rFonts w:ascii="Simplified Arabic" w:hAnsi="Simplified Arabic" w:cs="Simplified Arabic"/>
          <w:sz w:val="26"/>
          <w:szCs w:val="26"/>
          <w:rtl/>
          <w:lang w:val="en-GB"/>
        </w:rPr>
        <w:t xml:space="preserve">وبلغ عدد الاسرى القابعين في سجون الاحتلال الاسرائيلي </w:t>
      </w:r>
      <w:r w:rsidR="00826545" w:rsidRPr="00BA67C8">
        <w:rPr>
          <w:rFonts w:ascii="Simplified Arabic" w:hAnsi="Simplified Arabic" w:cs="Simplified Arabic"/>
          <w:sz w:val="26"/>
          <w:szCs w:val="26"/>
        </w:rPr>
        <w:t>4,</w:t>
      </w:r>
      <w:r w:rsidR="00576AF8" w:rsidRPr="00BA67C8">
        <w:rPr>
          <w:rFonts w:ascii="Simplified Arabic" w:hAnsi="Simplified Arabic" w:cs="Simplified Arabic"/>
          <w:sz w:val="26"/>
          <w:szCs w:val="26"/>
        </w:rPr>
        <w:t>7</w:t>
      </w:r>
      <w:r w:rsidR="0071602C" w:rsidRPr="00BA67C8">
        <w:rPr>
          <w:rFonts w:ascii="Simplified Arabic" w:hAnsi="Simplified Arabic" w:cs="Simplified Arabic"/>
          <w:sz w:val="26"/>
          <w:szCs w:val="26"/>
        </w:rPr>
        <w:t>0</w:t>
      </w:r>
      <w:r w:rsidR="00576AF8" w:rsidRPr="00BA67C8">
        <w:rPr>
          <w:rFonts w:ascii="Simplified Arabic" w:hAnsi="Simplified Arabic" w:cs="Simplified Arabic"/>
          <w:sz w:val="26"/>
          <w:szCs w:val="26"/>
        </w:rPr>
        <w:t>0</w:t>
      </w:r>
      <w:r w:rsidR="00826545" w:rsidRPr="00BA67C8">
        <w:rPr>
          <w:rFonts w:ascii="Simplified Arabic" w:hAnsi="Simplified Arabic" w:cs="Simplified Arabic"/>
          <w:sz w:val="26"/>
          <w:szCs w:val="26"/>
          <w:rtl/>
        </w:rPr>
        <w:t xml:space="preserve"> </w:t>
      </w:r>
      <w:r w:rsidR="00826545" w:rsidRPr="00BA67C8">
        <w:rPr>
          <w:rFonts w:ascii="Simplified Arabic" w:hAnsi="Simplified Arabic" w:cs="Simplified Arabic"/>
          <w:sz w:val="26"/>
          <w:szCs w:val="26"/>
          <w:rtl/>
          <w:lang w:val="en-GB"/>
        </w:rPr>
        <w:t>أسيراً</w:t>
      </w:r>
      <w:r w:rsidR="0015177F" w:rsidRPr="00BA67C8">
        <w:rPr>
          <w:rFonts w:ascii="Simplified Arabic" w:hAnsi="Simplified Arabic" w:cs="Simplified Arabic"/>
          <w:sz w:val="26"/>
          <w:szCs w:val="26"/>
          <w:rtl/>
          <w:lang w:val="en-GB"/>
        </w:rPr>
        <w:t xml:space="preserve"> </w:t>
      </w:r>
      <w:r w:rsidR="0071602C" w:rsidRPr="00BA67C8">
        <w:rPr>
          <w:rFonts w:ascii="Simplified Arabic" w:hAnsi="Simplified Arabic" w:cs="Simplified Arabic"/>
          <w:sz w:val="26"/>
          <w:szCs w:val="26"/>
          <w:rtl/>
          <w:lang w:val="en-GB"/>
        </w:rPr>
        <w:t xml:space="preserve">وذلك حتّى نهاية شهر تشرين الثاني/نوفمبر 2022، </w:t>
      </w:r>
      <w:r w:rsidR="00826545" w:rsidRPr="00BA67C8">
        <w:rPr>
          <w:rFonts w:ascii="Simplified Arabic" w:hAnsi="Simplified Arabic" w:cs="Simplified Arabic"/>
          <w:sz w:val="26"/>
          <w:szCs w:val="26"/>
          <w:rtl/>
        </w:rPr>
        <w:t xml:space="preserve">وفق بيانات هيئة شؤون الأسرى والمحررين، </w:t>
      </w:r>
      <w:r w:rsidR="00576AF8" w:rsidRPr="00BA67C8">
        <w:rPr>
          <w:rFonts w:ascii="Simplified Arabic" w:hAnsi="Simplified Arabic" w:cs="Simplified Arabic"/>
          <w:sz w:val="26"/>
          <w:szCs w:val="26"/>
        </w:rPr>
        <w:t>2022</w:t>
      </w:r>
      <w:r w:rsidR="00826545" w:rsidRPr="00BA67C8">
        <w:rPr>
          <w:rFonts w:ascii="Simplified Arabic" w:hAnsi="Simplified Arabic" w:cs="Simplified Arabic"/>
          <w:sz w:val="26"/>
          <w:szCs w:val="26"/>
          <w:rtl/>
        </w:rPr>
        <w:t xml:space="preserve"> </w:t>
      </w:r>
      <w:r w:rsidR="00576AF8" w:rsidRPr="00BA67C8">
        <w:rPr>
          <w:rFonts w:ascii="Simplified Arabic" w:hAnsi="Simplified Arabic" w:cs="Simplified Arabic"/>
          <w:sz w:val="26"/>
          <w:szCs w:val="26"/>
          <w:rtl/>
          <w:lang w:val="en-GB"/>
        </w:rPr>
        <w:t xml:space="preserve">من بينهم </w:t>
      </w:r>
      <w:r w:rsidR="0071602C" w:rsidRPr="00BA67C8">
        <w:rPr>
          <w:rFonts w:ascii="Simplified Arabic" w:hAnsi="Simplified Arabic" w:cs="Simplified Arabic"/>
          <w:sz w:val="26"/>
          <w:szCs w:val="26"/>
          <w:rtl/>
          <w:lang w:val="en-GB"/>
        </w:rPr>
        <w:t>34</w:t>
      </w:r>
      <w:r w:rsidR="00576AF8" w:rsidRPr="00BA67C8">
        <w:rPr>
          <w:rFonts w:ascii="Simplified Arabic" w:hAnsi="Simplified Arabic" w:cs="Simplified Arabic"/>
          <w:sz w:val="26"/>
          <w:szCs w:val="26"/>
          <w:rtl/>
          <w:lang w:val="en-GB"/>
        </w:rPr>
        <w:t xml:space="preserve"> أسيرة، ونحو </w:t>
      </w:r>
      <w:r w:rsidR="0071602C" w:rsidRPr="00BA67C8">
        <w:rPr>
          <w:rFonts w:ascii="Simplified Arabic" w:hAnsi="Simplified Arabic" w:cs="Simplified Arabic"/>
          <w:sz w:val="26"/>
          <w:szCs w:val="26"/>
          <w:rtl/>
          <w:lang w:val="en-GB"/>
        </w:rPr>
        <w:t>150</w:t>
      </w:r>
      <w:r w:rsidR="00576AF8" w:rsidRPr="00BA67C8">
        <w:rPr>
          <w:rFonts w:ascii="Simplified Arabic" w:hAnsi="Simplified Arabic" w:cs="Simplified Arabic"/>
          <w:sz w:val="26"/>
          <w:szCs w:val="26"/>
          <w:rtl/>
          <w:lang w:val="en-GB"/>
        </w:rPr>
        <w:t xml:space="preserve"> قاصرًا، و</w:t>
      </w:r>
      <w:r w:rsidR="00E45640" w:rsidRPr="00BA67C8">
        <w:rPr>
          <w:rFonts w:ascii="Simplified Arabic" w:hAnsi="Simplified Arabic" w:cs="Simplified Arabic"/>
          <w:sz w:val="26"/>
          <w:szCs w:val="26"/>
          <w:rtl/>
          <w:lang w:val="en-GB"/>
        </w:rPr>
        <w:t>8</w:t>
      </w:r>
      <w:r w:rsidR="0071602C" w:rsidRPr="00BA67C8">
        <w:rPr>
          <w:rFonts w:ascii="Simplified Arabic" w:hAnsi="Simplified Arabic" w:cs="Simplified Arabic"/>
          <w:sz w:val="26"/>
          <w:szCs w:val="26"/>
          <w:rtl/>
          <w:lang w:val="en-GB"/>
        </w:rPr>
        <w:t>35</w:t>
      </w:r>
      <w:r w:rsidR="00576AF8" w:rsidRPr="00BA67C8">
        <w:rPr>
          <w:rFonts w:ascii="Simplified Arabic" w:hAnsi="Simplified Arabic" w:cs="Simplified Arabic"/>
          <w:sz w:val="26"/>
          <w:szCs w:val="26"/>
          <w:rtl/>
          <w:lang w:val="en-GB"/>
        </w:rPr>
        <w:t xml:space="preserve"> معتقلًا إداريًّا من بينهم ثلاث أسيرات، وأربع أطفال</w:t>
      </w:r>
      <w:r w:rsidR="00DD4305" w:rsidRPr="00BA67C8">
        <w:rPr>
          <w:rFonts w:ascii="Simplified Arabic" w:hAnsi="Simplified Arabic" w:cs="Simplified Arabic"/>
          <w:sz w:val="26"/>
          <w:szCs w:val="26"/>
          <w:rtl/>
          <w:lang w:val="en-GB"/>
        </w:rPr>
        <w:t>.</w:t>
      </w:r>
      <w:r w:rsidR="00A7000D" w:rsidRPr="00BA67C8">
        <w:rPr>
          <w:rFonts w:ascii="Simplified Arabic" w:hAnsi="Simplified Arabic" w:cs="Simplified Arabic"/>
          <w:snapToGrid w:val="0"/>
          <w:sz w:val="26"/>
          <w:szCs w:val="26"/>
          <w:rtl/>
          <w:lang w:eastAsia="en-US"/>
        </w:rPr>
        <w:t xml:space="preserve">  </w:t>
      </w:r>
    </w:p>
    <w:p w14:paraId="2C7D7FB5" w14:textId="3F39FE6F" w:rsidR="00CA5801" w:rsidRPr="00BA67C8" w:rsidRDefault="00CA5801" w:rsidP="000D213C">
      <w:pPr>
        <w:jc w:val="lowKashida"/>
        <w:rPr>
          <w:rFonts w:ascii="Simplified Arabic" w:hAnsi="Simplified Arabic" w:cs="Simplified Arabic"/>
          <w:sz w:val="26"/>
          <w:szCs w:val="26"/>
          <w:rtl/>
        </w:rPr>
      </w:pPr>
    </w:p>
    <w:sectPr w:rsidR="00CA5801" w:rsidRPr="00BA67C8" w:rsidSect="00F86B13">
      <w:footerReference w:type="even" r:id="rId10"/>
      <w:footerReference w:type="default" r:id="rId11"/>
      <w:headerReference w:type="first" r:id="rId12"/>
      <w:pgSz w:w="11906" w:h="16838" w:code="9"/>
      <w:pgMar w:top="709" w:right="964" w:bottom="1134" w:left="964" w:header="142" w:footer="406"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B8D09" w14:textId="77777777" w:rsidR="00F31B55" w:rsidRDefault="00F31B55">
      <w:r>
        <w:separator/>
      </w:r>
    </w:p>
  </w:endnote>
  <w:endnote w:type="continuationSeparator" w:id="0">
    <w:p w14:paraId="06145295" w14:textId="77777777" w:rsidR="00F31B55" w:rsidRDefault="00F3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AA77" w14:textId="77777777" w:rsidR="00915822" w:rsidRDefault="00C9553D">
    <w:pPr>
      <w:pStyle w:val="Footer"/>
      <w:framePr w:wrap="around" w:vAnchor="text" w:hAnchor="margin" w:xAlign="center" w:y="1"/>
      <w:rPr>
        <w:rStyle w:val="PageNumber"/>
        <w:rtl/>
        <w:lang w:eastAsia="en-US"/>
      </w:rPr>
    </w:pPr>
    <w:r>
      <w:rPr>
        <w:rStyle w:val="PageNumber"/>
        <w:rtl/>
      </w:rPr>
      <w:fldChar w:fldCharType="begin"/>
    </w:r>
    <w:r w:rsidR="00915822">
      <w:rPr>
        <w:rStyle w:val="PageNumber"/>
        <w:lang w:eastAsia="en-US"/>
      </w:rPr>
      <w:instrText xml:space="preserve">PAGE  </w:instrText>
    </w:r>
    <w:r>
      <w:rPr>
        <w:rStyle w:val="PageNumber"/>
        <w:rtl/>
      </w:rPr>
      <w:fldChar w:fldCharType="separate"/>
    </w:r>
    <w:r w:rsidR="00915822">
      <w:rPr>
        <w:rStyle w:val="PageNumber"/>
        <w:noProof/>
        <w:rtl/>
      </w:rPr>
      <w:t>2</w:t>
    </w:r>
    <w:r>
      <w:rPr>
        <w:rStyle w:val="PageNumber"/>
        <w:rtl/>
      </w:rPr>
      <w:fldChar w:fldCharType="end"/>
    </w:r>
  </w:p>
  <w:p w14:paraId="0DD77797" w14:textId="77777777" w:rsidR="00915822" w:rsidRDefault="00915822">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9A7E" w14:textId="61E6905D" w:rsidR="00915822" w:rsidRPr="00BA67C8" w:rsidRDefault="00C9553D">
    <w:pPr>
      <w:pStyle w:val="Footer"/>
      <w:framePr w:wrap="around" w:vAnchor="text" w:hAnchor="margin" w:xAlign="center" w:y="1"/>
      <w:rPr>
        <w:rStyle w:val="PageNumber"/>
        <w:b/>
        <w:bCs/>
        <w:rtl/>
        <w:lang w:eastAsia="en-US"/>
      </w:rPr>
    </w:pPr>
    <w:r w:rsidRPr="00BA67C8">
      <w:rPr>
        <w:rStyle w:val="PageNumber"/>
        <w:b/>
        <w:bCs/>
        <w:rtl/>
      </w:rPr>
      <w:fldChar w:fldCharType="begin"/>
    </w:r>
    <w:r w:rsidR="00915822" w:rsidRPr="00BA67C8">
      <w:rPr>
        <w:rStyle w:val="PageNumber"/>
        <w:b/>
        <w:bCs/>
        <w:lang w:eastAsia="en-US"/>
      </w:rPr>
      <w:instrText xml:space="preserve">PAGE  </w:instrText>
    </w:r>
    <w:r w:rsidRPr="00BA67C8">
      <w:rPr>
        <w:rStyle w:val="PageNumber"/>
        <w:b/>
        <w:bCs/>
        <w:rtl/>
      </w:rPr>
      <w:fldChar w:fldCharType="separate"/>
    </w:r>
    <w:r w:rsidR="00602A1B">
      <w:rPr>
        <w:rStyle w:val="PageNumber"/>
        <w:b/>
        <w:bCs/>
        <w:noProof/>
        <w:rtl/>
      </w:rPr>
      <w:t>2</w:t>
    </w:r>
    <w:r w:rsidRPr="00BA67C8">
      <w:rPr>
        <w:rStyle w:val="PageNumber"/>
        <w:b/>
        <w:bCs/>
        <w:rtl/>
      </w:rPr>
      <w:fldChar w:fldCharType="end"/>
    </w:r>
  </w:p>
  <w:p w14:paraId="147DC298" w14:textId="77777777" w:rsidR="00915822" w:rsidRDefault="00915822">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D1BCD" w14:textId="77777777" w:rsidR="00F31B55" w:rsidRDefault="00F31B55">
      <w:r>
        <w:separator/>
      </w:r>
    </w:p>
  </w:footnote>
  <w:footnote w:type="continuationSeparator" w:id="0">
    <w:p w14:paraId="54E0ED9E" w14:textId="77777777" w:rsidR="00F31B55" w:rsidRDefault="00F3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472"/>
      <w:gridCol w:w="3474"/>
      <w:gridCol w:w="3474"/>
    </w:tblGrid>
    <w:tr w:rsidR="00915822" w14:paraId="6D18649F" w14:textId="77777777" w:rsidTr="00B10EE0">
      <w:tc>
        <w:tcPr>
          <w:tcW w:w="3473" w:type="dxa"/>
          <w:vAlign w:val="center"/>
        </w:tcPr>
        <w:p w14:paraId="6BD87766" w14:textId="77777777" w:rsidR="00915822" w:rsidRDefault="00915822" w:rsidP="00B10EE0">
          <w:pPr>
            <w:pStyle w:val="Header"/>
            <w:ind w:left="-1"/>
            <w:jc w:val="center"/>
            <w:rPr>
              <w:rFonts w:cs="Simplified Arabic"/>
              <w:b/>
              <w:bCs/>
              <w:sz w:val="28"/>
              <w:szCs w:val="28"/>
              <w:rtl/>
            </w:rPr>
          </w:pPr>
          <w:r>
            <w:rPr>
              <w:rFonts w:cs="Simplified Arabic" w:hint="cs"/>
              <w:b/>
              <w:bCs/>
              <w:sz w:val="28"/>
              <w:szCs w:val="28"/>
              <w:rtl/>
            </w:rPr>
            <w:t>فلسطين</w:t>
          </w:r>
        </w:p>
        <w:p w14:paraId="6A696A54" w14:textId="77777777" w:rsidR="00915822" w:rsidRDefault="00915822"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14:paraId="69211678" w14:textId="77777777" w:rsidR="00915822" w:rsidRDefault="00915822" w:rsidP="00B10EE0">
          <w:pPr>
            <w:pStyle w:val="Header"/>
            <w:rPr>
              <w:rtl/>
            </w:rPr>
          </w:pPr>
          <w:r>
            <w:rPr>
              <w:noProof/>
              <w:snapToGrid/>
              <w:rtl/>
            </w:rPr>
            <w:drawing>
              <wp:anchor distT="0" distB="0" distL="114300" distR="114300" simplePos="0" relativeHeight="251657216" behindDoc="0" locked="0" layoutInCell="1" allowOverlap="1" wp14:anchorId="3BDA415D" wp14:editId="3F0A5936">
                <wp:simplePos x="0" y="0"/>
                <wp:positionH relativeFrom="column">
                  <wp:posOffset>733425</wp:posOffset>
                </wp:positionH>
                <wp:positionV relativeFrom="paragraph">
                  <wp:posOffset>635</wp:posOffset>
                </wp:positionV>
                <wp:extent cx="425450" cy="602615"/>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14:paraId="3567E065" w14:textId="77777777" w:rsidR="00915822" w:rsidRDefault="00915822"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14:paraId="5BD9111C" w14:textId="77777777" w:rsidR="00915822" w:rsidRPr="00237AA1" w:rsidRDefault="00915822"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C845709"/>
    <w:multiLevelType w:val="hybridMultilevel"/>
    <w:tmpl w:val="65E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15:restartNumberingAfterBreak="0">
    <w:nsid w:val="43695E76"/>
    <w:multiLevelType w:val="hybridMultilevel"/>
    <w:tmpl w:val="0CFEEA3A"/>
    <w:lvl w:ilvl="0" w:tplc="63DA2E8A">
      <w:start w:val="1"/>
      <w:numFmt w:val="bullet"/>
      <w:lvlText w:val="-"/>
      <w:lvlJc w:val="left"/>
      <w:pPr>
        <w:tabs>
          <w:tab w:val="num" w:pos="360"/>
        </w:tabs>
        <w:ind w:left="340" w:right="340" w:hanging="340"/>
      </w:pPr>
      <w:rPr>
        <w:rFonts w:ascii="Wingdings" w:hAnsi="Wingdings" w:hint="default"/>
        <w:lang w:bidi="ar-SA"/>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8"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30" w15:restartNumberingAfterBreak="0">
    <w:nsid w:val="498670A6"/>
    <w:multiLevelType w:val="hybridMultilevel"/>
    <w:tmpl w:val="F1B6712C"/>
    <w:lvl w:ilvl="0" w:tplc="674A165A">
      <w:start w:val="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2"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4" w15:restartNumberingAfterBreak="0">
    <w:nsid w:val="4EAE3FF2"/>
    <w:multiLevelType w:val="hybridMultilevel"/>
    <w:tmpl w:val="B8C8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8"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0" w15:restartNumberingAfterBreak="0">
    <w:nsid w:val="6508360F"/>
    <w:multiLevelType w:val="hybridMultilevel"/>
    <w:tmpl w:val="61AA5136"/>
    <w:lvl w:ilvl="0" w:tplc="04010001">
      <w:start w:val="1"/>
      <w:numFmt w:val="bullet"/>
      <w:lvlText w:val=""/>
      <w:lvlJc w:val="left"/>
      <w:pPr>
        <w:tabs>
          <w:tab w:val="num" w:pos="360"/>
        </w:tabs>
        <w:ind w:left="360" w:right="36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2"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3"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4"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5" w15:restartNumberingAfterBreak="0">
    <w:nsid w:val="6F625A7B"/>
    <w:multiLevelType w:val="hybridMultilevel"/>
    <w:tmpl w:val="C472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7"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41"/>
  </w:num>
  <w:num w:numId="3">
    <w:abstractNumId w:val="37"/>
  </w:num>
  <w:num w:numId="4">
    <w:abstractNumId w:val="42"/>
  </w:num>
  <w:num w:numId="5">
    <w:abstractNumId w:val="43"/>
  </w:num>
  <w:num w:numId="6">
    <w:abstractNumId w:val="29"/>
  </w:num>
  <w:num w:numId="7">
    <w:abstractNumId w:val="47"/>
  </w:num>
  <w:num w:numId="8">
    <w:abstractNumId w:val="1"/>
  </w:num>
  <w:num w:numId="9">
    <w:abstractNumId w:val="6"/>
  </w:num>
  <w:num w:numId="10">
    <w:abstractNumId w:val="4"/>
  </w:num>
  <w:num w:numId="11">
    <w:abstractNumId w:val="21"/>
  </w:num>
  <w:num w:numId="12">
    <w:abstractNumId w:val="3"/>
  </w:num>
  <w:num w:numId="13">
    <w:abstractNumId w:val="28"/>
  </w:num>
  <w:num w:numId="14">
    <w:abstractNumId w:val="32"/>
  </w:num>
  <w:num w:numId="15">
    <w:abstractNumId w:val="22"/>
  </w:num>
  <w:num w:numId="16">
    <w:abstractNumId w:val="2"/>
  </w:num>
  <w:num w:numId="17">
    <w:abstractNumId w:val="36"/>
  </w:num>
  <w:num w:numId="18">
    <w:abstractNumId w:val="33"/>
  </w:num>
  <w:num w:numId="19">
    <w:abstractNumId w:val="8"/>
  </w:num>
  <w:num w:numId="20">
    <w:abstractNumId w:val="7"/>
  </w:num>
  <w:num w:numId="21">
    <w:abstractNumId w:val="18"/>
  </w:num>
  <w:num w:numId="22">
    <w:abstractNumId w:val="25"/>
  </w:num>
  <w:num w:numId="23">
    <w:abstractNumId w:val="12"/>
  </w:num>
  <w:num w:numId="24">
    <w:abstractNumId w:val="9"/>
  </w:num>
  <w:num w:numId="25">
    <w:abstractNumId w:val="46"/>
  </w:num>
  <w:num w:numId="26">
    <w:abstractNumId w:val="38"/>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9"/>
  </w:num>
  <w:num w:numId="34">
    <w:abstractNumId w:val="35"/>
  </w:num>
  <w:num w:numId="35">
    <w:abstractNumId w:val="13"/>
  </w:num>
  <w:num w:numId="36">
    <w:abstractNumId w:val="31"/>
  </w:num>
  <w:num w:numId="37">
    <w:abstractNumId w:val="0"/>
  </w:num>
  <w:num w:numId="38">
    <w:abstractNumId w:val="27"/>
  </w:num>
  <w:num w:numId="39">
    <w:abstractNumId w:val="20"/>
  </w:num>
  <w:num w:numId="40">
    <w:abstractNumId w:val="44"/>
  </w:num>
  <w:num w:numId="41">
    <w:abstractNumId w:val="19"/>
  </w:num>
  <w:num w:numId="42">
    <w:abstractNumId w:val="24"/>
  </w:num>
  <w:num w:numId="43">
    <w:abstractNumId w:val="40"/>
  </w:num>
  <w:num w:numId="44">
    <w:abstractNumId w:val="34"/>
  </w:num>
  <w:num w:numId="45">
    <w:abstractNumId w:val="45"/>
  </w:num>
  <w:num w:numId="46">
    <w:abstractNumId w:val="23"/>
  </w:num>
  <w:num w:numId="47">
    <w:abstractNumId w:val="3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D"/>
    <w:rsid w:val="000009B3"/>
    <w:rsid w:val="000026C1"/>
    <w:rsid w:val="00007967"/>
    <w:rsid w:val="0001013E"/>
    <w:rsid w:val="0001657B"/>
    <w:rsid w:val="00020FC8"/>
    <w:rsid w:val="00024A21"/>
    <w:rsid w:val="00024B49"/>
    <w:rsid w:val="000254EF"/>
    <w:rsid w:val="0002590B"/>
    <w:rsid w:val="00026B13"/>
    <w:rsid w:val="00042D56"/>
    <w:rsid w:val="000460DC"/>
    <w:rsid w:val="00050563"/>
    <w:rsid w:val="000512B5"/>
    <w:rsid w:val="0005342B"/>
    <w:rsid w:val="00054F57"/>
    <w:rsid w:val="000606F0"/>
    <w:rsid w:val="00064502"/>
    <w:rsid w:val="0006769B"/>
    <w:rsid w:val="000734B3"/>
    <w:rsid w:val="000761AF"/>
    <w:rsid w:val="00076DF8"/>
    <w:rsid w:val="00077F18"/>
    <w:rsid w:val="000840A2"/>
    <w:rsid w:val="000860C5"/>
    <w:rsid w:val="00086CAA"/>
    <w:rsid w:val="00090015"/>
    <w:rsid w:val="0009101D"/>
    <w:rsid w:val="00091C54"/>
    <w:rsid w:val="0009306C"/>
    <w:rsid w:val="0009482C"/>
    <w:rsid w:val="000A20E4"/>
    <w:rsid w:val="000A2143"/>
    <w:rsid w:val="000A2992"/>
    <w:rsid w:val="000B05B1"/>
    <w:rsid w:val="000B2730"/>
    <w:rsid w:val="000B2899"/>
    <w:rsid w:val="000B2EAA"/>
    <w:rsid w:val="000B493A"/>
    <w:rsid w:val="000B757D"/>
    <w:rsid w:val="000C3718"/>
    <w:rsid w:val="000C45E5"/>
    <w:rsid w:val="000D0C52"/>
    <w:rsid w:val="000D12A0"/>
    <w:rsid w:val="000D213C"/>
    <w:rsid w:val="000D2FF5"/>
    <w:rsid w:val="000D332A"/>
    <w:rsid w:val="000D41AC"/>
    <w:rsid w:val="000D4428"/>
    <w:rsid w:val="000D63D7"/>
    <w:rsid w:val="000E2620"/>
    <w:rsid w:val="000E2DC1"/>
    <w:rsid w:val="000E7B62"/>
    <w:rsid w:val="000F46B8"/>
    <w:rsid w:val="000F7363"/>
    <w:rsid w:val="00103936"/>
    <w:rsid w:val="0010409D"/>
    <w:rsid w:val="001054F8"/>
    <w:rsid w:val="00106A35"/>
    <w:rsid w:val="00110AF6"/>
    <w:rsid w:val="0011171C"/>
    <w:rsid w:val="001204F0"/>
    <w:rsid w:val="0012106F"/>
    <w:rsid w:val="00121CAD"/>
    <w:rsid w:val="00126095"/>
    <w:rsid w:val="00127A42"/>
    <w:rsid w:val="00132082"/>
    <w:rsid w:val="00132416"/>
    <w:rsid w:val="00132472"/>
    <w:rsid w:val="00135B24"/>
    <w:rsid w:val="00141176"/>
    <w:rsid w:val="00143DBF"/>
    <w:rsid w:val="0014641A"/>
    <w:rsid w:val="00147AF3"/>
    <w:rsid w:val="0015177F"/>
    <w:rsid w:val="00155A8A"/>
    <w:rsid w:val="00165F0D"/>
    <w:rsid w:val="00166AB2"/>
    <w:rsid w:val="00173AF0"/>
    <w:rsid w:val="00174D1C"/>
    <w:rsid w:val="00176C3B"/>
    <w:rsid w:val="001A129E"/>
    <w:rsid w:val="001A2E41"/>
    <w:rsid w:val="001A39ED"/>
    <w:rsid w:val="001A7E63"/>
    <w:rsid w:val="001B0EF1"/>
    <w:rsid w:val="001B2A5B"/>
    <w:rsid w:val="001B3736"/>
    <w:rsid w:val="001B77C2"/>
    <w:rsid w:val="001D0D82"/>
    <w:rsid w:val="001D3115"/>
    <w:rsid w:val="001D3F26"/>
    <w:rsid w:val="001D4F23"/>
    <w:rsid w:val="001E26AF"/>
    <w:rsid w:val="001E3121"/>
    <w:rsid w:val="001F24F9"/>
    <w:rsid w:val="001F32D8"/>
    <w:rsid w:val="001F3B0A"/>
    <w:rsid w:val="001F7588"/>
    <w:rsid w:val="0020040D"/>
    <w:rsid w:val="00203033"/>
    <w:rsid w:val="00203F81"/>
    <w:rsid w:val="002067FB"/>
    <w:rsid w:val="002070F1"/>
    <w:rsid w:val="00210333"/>
    <w:rsid w:val="002107DF"/>
    <w:rsid w:val="00212F4A"/>
    <w:rsid w:val="002132AA"/>
    <w:rsid w:val="002164D8"/>
    <w:rsid w:val="00217A0F"/>
    <w:rsid w:val="00220A64"/>
    <w:rsid w:val="00224FA9"/>
    <w:rsid w:val="00225110"/>
    <w:rsid w:val="00225ECA"/>
    <w:rsid w:val="002276F8"/>
    <w:rsid w:val="00227D61"/>
    <w:rsid w:val="00237AA1"/>
    <w:rsid w:val="002443CC"/>
    <w:rsid w:val="00247528"/>
    <w:rsid w:val="00254242"/>
    <w:rsid w:val="00254FA1"/>
    <w:rsid w:val="00255351"/>
    <w:rsid w:val="002560B7"/>
    <w:rsid w:val="00261467"/>
    <w:rsid w:val="00267642"/>
    <w:rsid w:val="00272CC7"/>
    <w:rsid w:val="00273617"/>
    <w:rsid w:val="0028046F"/>
    <w:rsid w:val="00284D38"/>
    <w:rsid w:val="00287E2D"/>
    <w:rsid w:val="00292E16"/>
    <w:rsid w:val="002A293C"/>
    <w:rsid w:val="002A3556"/>
    <w:rsid w:val="002A378A"/>
    <w:rsid w:val="002A6913"/>
    <w:rsid w:val="002B2F8F"/>
    <w:rsid w:val="002B3B89"/>
    <w:rsid w:val="002B475E"/>
    <w:rsid w:val="002B6133"/>
    <w:rsid w:val="002B72AA"/>
    <w:rsid w:val="002C35F0"/>
    <w:rsid w:val="002C4877"/>
    <w:rsid w:val="002D04F6"/>
    <w:rsid w:val="002D24DC"/>
    <w:rsid w:val="002D4251"/>
    <w:rsid w:val="002D543D"/>
    <w:rsid w:val="002E2248"/>
    <w:rsid w:val="002E38E1"/>
    <w:rsid w:val="002E571E"/>
    <w:rsid w:val="00301ABA"/>
    <w:rsid w:val="003059FC"/>
    <w:rsid w:val="00307A2D"/>
    <w:rsid w:val="00310E9A"/>
    <w:rsid w:val="00311F0E"/>
    <w:rsid w:val="00312577"/>
    <w:rsid w:val="00312B2B"/>
    <w:rsid w:val="00312BEA"/>
    <w:rsid w:val="00314FDA"/>
    <w:rsid w:val="003160FC"/>
    <w:rsid w:val="003163D0"/>
    <w:rsid w:val="00322966"/>
    <w:rsid w:val="00322F0C"/>
    <w:rsid w:val="00325089"/>
    <w:rsid w:val="0032568B"/>
    <w:rsid w:val="00325C93"/>
    <w:rsid w:val="00325D6B"/>
    <w:rsid w:val="00327F56"/>
    <w:rsid w:val="0034535D"/>
    <w:rsid w:val="003457FC"/>
    <w:rsid w:val="00347F6E"/>
    <w:rsid w:val="00356629"/>
    <w:rsid w:val="00356CE0"/>
    <w:rsid w:val="003609DD"/>
    <w:rsid w:val="00360B13"/>
    <w:rsid w:val="0037050E"/>
    <w:rsid w:val="003735DD"/>
    <w:rsid w:val="00375995"/>
    <w:rsid w:val="003762EC"/>
    <w:rsid w:val="00376D4C"/>
    <w:rsid w:val="00380323"/>
    <w:rsid w:val="00385706"/>
    <w:rsid w:val="00392E42"/>
    <w:rsid w:val="003944D6"/>
    <w:rsid w:val="003951D4"/>
    <w:rsid w:val="00397E7D"/>
    <w:rsid w:val="003A3097"/>
    <w:rsid w:val="003B4E32"/>
    <w:rsid w:val="003C57B2"/>
    <w:rsid w:val="003D154B"/>
    <w:rsid w:val="003E1915"/>
    <w:rsid w:val="003E1C4E"/>
    <w:rsid w:val="003E7DED"/>
    <w:rsid w:val="003F1817"/>
    <w:rsid w:val="003F4698"/>
    <w:rsid w:val="003F4A3D"/>
    <w:rsid w:val="00402DFA"/>
    <w:rsid w:val="0040369C"/>
    <w:rsid w:val="00410898"/>
    <w:rsid w:val="0041603D"/>
    <w:rsid w:val="00422BF7"/>
    <w:rsid w:val="00425DBF"/>
    <w:rsid w:val="0042656B"/>
    <w:rsid w:val="00430AC6"/>
    <w:rsid w:val="004318DB"/>
    <w:rsid w:val="00434A35"/>
    <w:rsid w:val="00440651"/>
    <w:rsid w:val="00453F57"/>
    <w:rsid w:val="00470051"/>
    <w:rsid w:val="00471326"/>
    <w:rsid w:val="00474CC7"/>
    <w:rsid w:val="00477D73"/>
    <w:rsid w:val="004806EE"/>
    <w:rsid w:val="00482FAD"/>
    <w:rsid w:val="004841C0"/>
    <w:rsid w:val="00485A39"/>
    <w:rsid w:val="004974D1"/>
    <w:rsid w:val="004A0594"/>
    <w:rsid w:val="004A128C"/>
    <w:rsid w:val="004A4C5A"/>
    <w:rsid w:val="004A4E84"/>
    <w:rsid w:val="004B2084"/>
    <w:rsid w:val="004B2D88"/>
    <w:rsid w:val="004B6E03"/>
    <w:rsid w:val="004C2B3D"/>
    <w:rsid w:val="004C330A"/>
    <w:rsid w:val="004D1DD3"/>
    <w:rsid w:val="004E5E79"/>
    <w:rsid w:val="004F4CED"/>
    <w:rsid w:val="00502FC3"/>
    <w:rsid w:val="00506ED9"/>
    <w:rsid w:val="005118CC"/>
    <w:rsid w:val="00513320"/>
    <w:rsid w:val="005150F3"/>
    <w:rsid w:val="005167B4"/>
    <w:rsid w:val="0052132A"/>
    <w:rsid w:val="00531DE9"/>
    <w:rsid w:val="00532D02"/>
    <w:rsid w:val="00535B24"/>
    <w:rsid w:val="005368CC"/>
    <w:rsid w:val="00546089"/>
    <w:rsid w:val="00546F4B"/>
    <w:rsid w:val="00547CEC"/>
    <w:rsid w:val="00547D66"/>
    <w:rsid w:val="005516C5"/>
    <w:rsid w:val="0055795A"/>
    <w:rsid w:val="005579D0"/>
    <w:rsid w:val="00560DF5"/>
    <w:rsid w:val="00561952"/>
    <w:rsid w:val="00564554"/>
    <w:rsid w:val="005664FC"/>
    <w:rsid w:val="00571DBB"/>
    <w:rsid w:val="005727D0"/>
    <w:rsid w:val="0057675A"/>
    <w:rsid w:val="00576AF8"/>
    <w:rsid w:val="00582141"/>
    <w:rsid w:val="00585285"/>
    <w:rsid w:val="00591418"/>
    <w:rsid w:val="00594A0A"/>
    <w:rsid w:val="00595E96"/>
    <w:rsid w:val="005A19DF"/>
    <w:rsid w:val="005A627C"/>
    <w:rsid w:val="005B0702"/>
    <w:rsid w:val="005B0CDC"/>
    <w:rsid w:val="005B2E05"/>
    <w:rsid w:val="005B3453"/>
    <w:rsid w:val="005B383E"/>
    <w:rsid w:val="005B494E"/>
    <w:rsid w:val="005B6652"/>
    <w:rsid w:val="005B697D"/>
    <w:rsid w:val="005D42C9"/>
    <w:rsid w:val="005D6E87"/>
    <w:rsid w:val="005D71CA"/>
    <w:rsid w:val="005E1046"/>
    <w:rsid w:val="005E353A"/>
    <w:rsid w:val="005E5B2C"/>
    <w:rsid w:val="005E62C4"/>
    <w:rsid w:val="005E7E23"/>
    <w:rsid w:val="005F1127"/>
    <w:rsid w:val="005F1EBE"/>
    <w:rsid w:val="00602A1B"/>
    <w:rsid w:val="006143C9"/>
    <w:rsid w:val="00617884"/>
    <w:rsid w:val="0062353B"/>
    <w:rsid w:val="00632E80"/>
    <w:rsid w:val="006332D1"/>
    <w:rsid w:val="006376F3"/>
    <w:rsid w:val="0064236B"/>
    <w:rsid w:val="00646BBE"/>
    <w:rsid w:val="0065077E"/>
    <w:rsid w:val="00653001"/>
    <w:rsid w:val="00662920"/>
    <w:rsid w:val="00663048"/>
    <w:rsid w:val="006759C7"/>
    <w:rsid w:val="00680ED9"/>
    <w:rsid w:val="0068445D"/>
    <w:rsid w:val="00690D64"/>
    <w:rsid w:val="006932DE"/>
    <w:rsid w:val="006945B7"/>
    <w:rsid w:val="00695353"/>
    <w:rsid w:val="006958BA"/>
    <w:rsid w:val="00697C27"/>
    <w:rsid w:val="006A6058"/>
    <w:rsid w:val="006B08FC"/>
    <w:rsid w:val="006B4F18"/>
    <w:rsid w:val="006C09C3"/>
    <w:rsid w:val="006C176A"/>
    <w:rsid w:val="006C7784"/>
    <w:rsid w:val="006C7BF0"/>
    <w:rsid w:val="006D1270"/>
    <w:rsid w:val="006D19E0"/>
    <w:rsid w:val="006D7554"/>
    <w:rsid w:val="006E0C76"/>
    <w:rsid w:val="006E211B"/>
    <w:rsid w:val="006E2267"/>
    <w:rsid w:val="006E3E08"/>
    <w:rsid w:val="006E4E51"/>
    <w:rsid w:val="006F4B10"/>
    <w:rsid w:val="00701324"/>
    <w:rsid w:val="00701A99"/>
    <w:rsid w:val="007040DF"/>
    <w:rsid w:val="007068FB"/>
    <w:rsid w:val="00715D55"/>
    <w:rsid w:val="0071602C"/>
    <w:rsid w:val="007161A4"/>
    <w:rsid w:val="00720FC1"/>
    <w:rsid w:val="00721AED"/>
    <w:rsid w:val="00721C43"/>
    <w:rsid w:val="0072303F"/>
    <w:rsid w:val="007265E2"/>
    <w:rsid w:val="00730956"/>
    <w:rsid w:val="00731130"/>
    <w:rsid w:val="007315A7"/>
    <w:rsid w:val="00731720"/>
    <w:rsid w:val="00731B85"/>
    <w:rsid w:val="00735808"/>
    <w:rsid w:val="00735B24"/>
    <w:rsid w:val="00741B5C"/>
    <w:rsid w:val="00741B7B"/>
    <w:rsid w:val="0074448B"/>
    <w:rsid w:val="00744C9F"/>
    <w:rsid w:val="00746B86"/>
    <w:rsid w:val="007476D1"/>
    <w:rsid w:val="0075301D"/>
    <w:rsid w:val="00761628"/>
    <w:rsid w:val="00762F9A"/>
    <w:rsid w:val="00766F5C"/>
    <w:rsid w:val="007672C9"/>
    <w:rsid w:val="00770501"/>
    <w:rsid w:val="00770980"/>
    <w:rsid w:val="00771F9B"/>
    <w:rsid w:val="00774F8E"/>
    <w:rsid w:val="007751FE"/>
    <w:rsid w:val="0077633D"/>
    <w:rsid w:val="00791FBA"/>
    <w:rsid w:val="00792CE9"/>
    <w:rsid w:val="007A1EC3"/>
    <w:rsid w:val="007A2D27"/>
    <w:rsid w:val="007B0FCF"/>
    <w:rsid w:val="007B1A57"/>
    <w:rsid w:val="007D038C"/>
    <w:rsid w:val="007D03D8"/>
    <w:rsid w:val="007D4A6F"/>
    <w:rsid w:val="007E49BD"/>
    <w:rsid w:val="007E5530"/>
    <w:rsid w:val="007F043A"/>
    <w:rsid w:val="007F2589"/>
    <w:rsid w:val="007F6E11"/>
    <w:rsid w:val="00801A3F"/>
    <w:rsid w:val="00801C8A"/>
    <w:rsid w:val="00802F33"/>
    <w:rsid w:val="008032C6"/>
    <w:rsid w:val="0080368A"/>
    <w:rsid w:val="00807CC7"/>
    <w:rsid w:val="008108C2"/>
    <w:rsid w:val="00813D80"/>
    <w:rsid w:val="0081532D"/>
    <w:rsid w:val="008168D4"/>
    <w:rsid w:val="008221C6"/>
    <w:rsid w:val="00822BFB"/>
    <w:rsid w:val="00823A74"/>
    <w:rsid w:val="008261AC"/>
    <w:rsid w:val="008264B3"/>
    <w:rsid w:val="00826545"/>
    <w:rsid w:val="0082798F"/>
    <w:rsid w:val="00831222"/>
    <w:rsid w:val="00831244"/>
    <w:rsid w:val="008369CB"/>
    <w:rsid w:val="00845A83"/>
    <w:rsid w:val="00845D1E"/>
    <w:rsid w:val="00847526"/>
    <w:rsid w:val="00847813"/>
    <w:rsid w:val="00847874"/>
    <w:rsid w:val="00847DE7"/>
    <w:rsid w:val="0085097E"/>
    <w:rsid w:val="0085166F"/>
    <w:rsid w:val="00852E37"/>
    <w:rsid w:val="00852F3B"/>
    <w:rsid w:val="008558DA"/>
    <w:rsid w:val="00856BF5"/>
    <w:rsid w:val="00857405"/>
    <w:rsid w:val="008612C0"/>
    <w:rsid w:val="00867FA7"/>
    <w:rsid w:val="00870681"/>
    <w:rsid w:val="0087384A"/>
    <w:rsid w:val="00881E93"/>
    <w:rsid w:val="00883EB1"/>
    <w:rsid w:val="00887804"/>
    <w:rsid w:val="008945C1"/>
    <w:rsid w:val="00894C87"/>
    <w:rsid w:val="008A2EDD"/>
    <w:rsid w:val="008A538F"/>
    <w:rsid w:val="008B2EF7"/>
    <w:rsid w:val="008B563A"/>
    <w:rsid w:val="008B5798"/>
    <w:rsid w:val="008B6EB3"/>
    <w:rsid w:val="008B7ECB"/>
    <w:rsid w:val="008C0974"/>
    <w:rsid w:val="008C45A9"/>
    <w:rsid w:val="008D16F1"/>
    <w:rsid w:val="008D1EE5"/>
    <w:rsid w:val="008D2DC7"/>
    <w:rsid w:val="008D4A17"/>
    <w:rsid w:val="008D5D94"/>
    <w:rsid w:val="008D67FE"/>
    <w:rsid w:val="008D6C41"/>
    <w:rsid w:val="008E1217"/>
    <w:rsid w:val="008E2CE1"/>
    <w:rsid w:val="008F0371"/>
    <w:rsid w:val="008F50F4"/>
    <w:rsid w:val="008F599A"/>
    <w:rsid w:val="008F7AC9"/>
    <w:rsid w:val="00915822"/>
    <w:rsid w:val="00921393"/>
    <w:rsid w:val="00924840"/>
    <w:rsid w:val="00925280"/>
    <w:rsid w:val="00926DDA"/>
    <w:rsid w:val="0093576B"/>
    <w:rsid w:val="00935ED9"/>
    <w:rsid w:val="00945F63"/>
    <w:rsid w:val="00947191"/>
    <w:rsid w:val="00947EEE"/>
    <w:rsid w:val="00951F41"/>
    <w:rsid w:val="00952B16"/>
    <w:rsid w:val="00955C05"/>
    <w:rsid w:val="0096066C"/>
    <w:rsid w:val="00972224"/>
    <w:rsid w:val="0097298D"/>
    <w:rsid w:val="00972E51"/>
    <w:rsid w:val="00973356"/>
    <w:rsid w:val="0097356F"/>
    <w:rsid w:val="00974D91"/>
    <w:rsid w:val="009764B5"/>
    <w:rsid w:val="009817B6"/>
    <w:rsid w:val="0098582B"/>
    <w:rsid w:val="0098702E"/>
    <w:rsid w:val="00990378"/>
    <w:rsid w:val="0099340E"/>
    <w:rsid w:val="00994DBC"/>
    <w:rsid w:val="009A126F"/>
    <w:rsid w:val="009A1388"/>
    <w:rsid w:val="009A16AD"/>
    <w:rsid w:val="009A5C25"/>
    <w:rsid w:val="009B0748"/>
    <w:rsid w:val="009B53EF"/>
    <w:rsid w:val="009B6B41"/>
    <w:rsid w:val="009B7CD4"/>
    <w:rsid w:val="009C2CCB"/>
    <w:rsid w:val="009C4F03"/>
    <w:rsid w:val="009C592D"/>
    <w:rsid w:val="009D0AF5"/>
    <w:rsid w:val="009D2B03"/>
    <w:rsid w:val="009D31A3"/>
    <w:rsid w:val="009E0CEE"/>
    <w:rsid w:val="009E76B5"/>
    <w:rsid w:val="009F20CC"/>
    <w:rsid w:val="009F6330"/>
    <w:rsid w:val="009F6A29"/>
    <w:rsid w:val="00A02135"/>
    <w:rsid w:val="00A024A3"/>
    <w:rsid w:val="00A03A4B"/>
    <w:rsid w:val="00A11C94"/>
    <w:rsid w:val="00A1232E"/>
    <w:rsid w:val="00A12A52"/>
    <w:rsid w:val="00A12F1A"/>
    <w:rsid w:val="00A131EE"/>
    <w:rsid w:val="00A13E1B"/>
    <w:rsid w:val="00A161E1"/>
    <w:rsid w:val="00A16B45"/>
    <w:rsid w:val="00A2088C"/>
    <w:rsid w:val="00A24DFB"/>
    <w:rsid w:val="00A266B1"/>
    <w:rsid w:val="00A279EE"/>
    <w:rsid w:val="00A318A3"/>
    <w:rsid w:val="00A31AA0"/>
    <w:rsid w:val="00A367DC"/>
    <w:rsid w:val="00A36FB9"/>
    <w:rsid w:val="00A46995"/>
    <w:rsid w:val="00A5053A"/>
    <w:rsid w:val="00A537DC"/>
    <w:rsid w:val="00A57E48"/>
    <w:rsid w:val="00A605BB"/>
    <w:rsid w:val="00A613F9"/>
    <w:rsid w:val="00A6232D"/>
    <w:rsid w:val="00A64613"/>
    <w:rsid w:val="00A64EA3"/>
    <w:rsid w:val="00A67EF0"/>
    <w:rsid w:val="00A7000D"/>
    <w:rsid w:val="00A741FA"/>
    <w:rsid w:val="00A80138"/>
    <w:rsid w:val="00A80B0B"/>
    <w:rsid w:val="00A829FE"/>
    <w:rsid w:val="00A854EA"/>
    <w:rsid w:val="00A913C1"/>
    <w:rsid w:val="00A9309A"/>
    <w:rsid w:val="00A9547E"/>
    <w:rsid w:val="00A96A76"/>
    <w:rsid w:val="00A97BC3"/>
    <w:rsid w:val="00AA7930"/>
    <w:rsid w:val="00AB0B76"/>
    <w:rsid w:val="00AB7080"/>
    <w:rsid w:val="00AC064B"/>
    <w:rsid w:val="00AC39EC"/>
    <w:rsid w:val="00AC46B9"/>
    <w:rsid w:val="00AC48B4"/>
    <w:rsid w:val="00AD0920"/>
    <w:rsid w:val="00AD4E51"/>
    <w:rsid w:val="00AD6533"/>
    <w:rsid w:val="00AE0E54"/>
    <w:rsid w:val="00AE1086"/>
    <w:rsid w:val="00AE2646"/>
    <w:rsid w:val="00AE3B6D"/>
    <w:rsid w:val="00AE6405"/>
    <w:rsid w:val="00AF0CE1"/>
    <w:rsid w:val="00AF18DF"/>
    <w:rsid w:val="00AF2CDF"/>
    <w:rsid w:val="00B00D52"/>
    <w:rsid w:val="00B02F9E"/>
    <w:rsid w:val="00B032C0"/>
    <w:rsid w:val="00B04579"/>
    <w:rsid w:val="00B10EE0"/>
    <w:rsid w:val="00B203FA"/>
    <w:rsid w:val="00B274FB"/>
    <w:rsid w:val="00B30B8F"/>
    <w:rsid w:val="00B337A2"/>
    <w:rsid w:val="00B3434A"/>
    <w:rsid w:val="00B35C47"/>
    <w:rsid w:val="00B36D89"/>
    <w:rsid w:val="00B471A0"/>
    <w:rsid w:val="00B50BAD"/>
    <w:rsid w:val="00B528E1"/>
    <w:rsid w:val="00B56072"/>
    <w:rsid w:val="00B60F62"/>
    <w:rsid w:val="00B60FB6"/>
    <w:rsid w:val="00B61985"/>
    <w:rsid w:val="00B67686"/>
    <w:rsid w:val="00B67C2E"/>
    <w:rsid w:val="00B71BEB"/>
    <w:rsid w:val="00B74F39"/>
    <w:rsid w:val="00B8308F"/>
    <w:rsid w:val="00B83A81"/>
    <w:rsid w:val="00B8617C"/>
    <w:rsid w:val="00B930F0"/>
    <w:rsid w:val="00B934A2"/>
    <w:rsid w:val="00B964EE"/>
    <w:rsid w:val="00BA02E3"/>
    <w:rsid w:val="00BA2078"/>
    <w:rsid w:val="00BA524E"/>
    <w:rsid w:val="00BA63C4"/>
    <w:rsid w:val="00BA67C8"/>
    <w:rsid w:val="00BA68DA"/>
    <w:rsid w:val="00BA69D8"/>
    <w:rsid w:val="00BB29D4"/>
    <w:rsid w:val="00BB32B7"/>
    <w:rsid w:val="00BB43C7"/>
    <w:rsid w:val="00BC04A2"/>
    <w:rsid w:val="00BC4F31"/>
    <w:rsid w:val="00BD2F84"/>
    <w:rsid w:val="00BD4250"/>
    <w:rsid w:val="00BD4930"/>
    <w:rsid w:val="00BE2C1A"/>
    <w:rsid w:val="00BE5FA3"/>
    <w:rsid w:val="00BF0E58"/>
    <w:rsid w:val="00BF2A2E"/>
    <w:rsid w:val="00BF3F43"/>
    <w:rsid w:val="00C02032"/>
    <w:rsid w:val="00C04333"/>
    <w:rsid w:val="00C1100E"/>
    <w:rsid w:val="00C119B9"/>
    <w:rsid w:val="00C13507"/>
    <w:rsid w:val="00C23191"/>
    <w:rsid w:val="00C23A13"/>
    <w:rsid w:val="00C305DE"/>
    <w:rsid w:val="00C357E1"/>
    <w:rsid w:val="00C3730C"/>
    <w:rsid w:val="00C46E5F"/>
    <w:rsid w:val="00C5189C"/>
    <w:rsid w:val="00C53C39"/>
    <w:rsid w:val="00C6307D"/>
    <w:rsid w:val="00C65206"/>
    <w:rsid w:val="00C723E9"/>
    <w:rsid w:val="00C72B83"/>
    <w:rsid w:val="00C73DFB"/>
    <w:rsid w:val="00C7521E"/>
    <w:rsid w:val="00C83240"/>
    <w:rsid w:val="00C86A0B"/>
    <w:rsid w:val="00C919A2"/>
    <w:rsid w:val="00C91CCE"/>
    <w:rsid w:val="00C92226"/>
    <w:rsid w:val="00C94D9B"/>
    <w:rsid w:val="00C951B9"/>
    <w:rsid w:val="00C9553D"/>
    <w:rsid w:val="00CA03EE"/>
    <w:rsid w:val="00CA431D"/>
    <w:rsid w:val="00CA4E0C"/>
    <w:rsid w:val="00CA5801"/>
    <w:rsid w:val="00CB4FFD"/>
    <w:rsid w:val="00CB5683"/>
    <w:rsid w:val="00CB5E5D"/>
    <w:rsid w:val="00CC1F0B"/>
    <w:rsid w:val="00CD0507"/>
    <w:rsid w:val="00CD22B7"/>
    <w:rsid w:val="00CD480D"/>
    <w:rsid w:val="00CD6912"/>
    <w:rsid w:val="00CE22A7"/>
    <w:rsid w:val="00CE2EA5"/>
    <w:rsid w:val="00CE6F87"/>
    <w:rsid w:val="00CE75AE"/>
    <w:rsid w:val="00CF0A70"/>
    <w:rsid w:val="00CF1028"/>
    <w:rsid w:val="00CF4A6F"/>
    <w:rsid w:val="00CF7FEE"/>
    <w:rsid w:val="00D03308"/>
    <w:rsid w:val="00D065FF"/>
    <w:rsid w:val="00D1179A"/>
    <w:rsid w:val="00D12347"/>
    <w:rsid w:val="00D14846"/>
    <w:rsid w:val="00D15564"/>
    <w:rsid w:val="00D22DEE"/>
    <w:rsid w:val="00D232B1"/>
    <w:rsid w:val="00D27C6D"/>
    <w:rsid w:val="00D30306"/>
    <w:rsid w:val="00D34659"/>
    <w:rsid w:val="00D362AB"/>
    <w:rsid w:val="00D379A6"/>
    <w:rsid w:val="00D4303F"/>
    <w:rsid w:val="00D51DAF"/>
    <w:rsid w:val="00D52F19"/>
    <w:rsid w:val="00D54CFB"/>
    <w:rsid w:val="00D57F0D"/>
    <w:rsid w:val="00D617A2"/>
    <w:rsid w:val="00D63037"/>
    <w:rsid w:val="00D6373C"/>
    <w:rsid w:val="00D6558B"/>
    <w:rsid w:val="00D658BC"/>
    <w:rsid w:val="00D736D3"/>
    <w:rsid w:val="00D73861"/>
    <w:rsid w:val="00D74A3C"/>
    <w:rsid w:val="00D75A5C"/>
    <w:rsid w:val="00D806D4"/>
    <w:rsid w:val="00D81904"/>
    <w:rsid w:val="00D948B5"/>
    <w:rsid w:val="00D94A23"/>
    <w:rsid w:val="00D966EF"/>
    <w:rsid w:val="00DA012A"/>
    <w:rsid w:val="00DA0672"/>
    <w:rsid w:val="00DB599C"/>
    <w:rsid w:val="00DB6BA0"/>
    <w:rsid w:val="00DB7CD9"/>
    <w:rsid w:val="00DD1BFE"/>
    <w:rsid w:val="00DD4305"/>
    <w:rsid w:val="00DE01A5"/>
    <w:rsid w:val="00DF0D0D"/>
    <w:rsid w:val="00DF25E5"/>
    <w:rsid w:val="00E04A10"/>
    <w:rsid w:val="00E13456"/>
    <w:rsid w:val="00E13E41"/>
    <w:rsid w:val="00E17675"/>
    <w:rsid w:val="00E2155D"/>
    <w:rsid w:val="00E2311A"/>
    <w:rsid w:val="00E23E84"/>
    <w:rsid w:val="00E240AE"/>
    <w:rsid w:val="00E302EF"/>
    <w:rsid w:val="00E35849"/>
    <w:rsid w:val="00E438A5"/>
    <w:rsid w:val="00E45640"/>
    <w:rsid w:val="00E46B3C"/>
    <w:rsid w:val="00E4717C"/>
    <w:rsid w:val="00E4721C"/>
    <w:rsid w:val="00E575E4"/>
    <w:rsid w:val="00E61E9E"/>
    <w:rsid w:val="00E65BF4"/>
    <w:rsid w:val="00E65D9E"/>
    <w:rsid w:val="00E670D4"/>
    <w:rsid w:val="00E70CA1"/>
    <w:rsid w:val="00E81307"/>
    <w:rsid w:val="00E824CA"/>
    <w:rsid w:val="00E82BDE"/>
    <w:rsid w:val="00E86CF0"/>
    <w:rsid w:val="00E92B5B"/>
    <w:rsid w:val="00E95D3C"/>
    <w:rsid w:val="00EA0791"/>
    <w:rsid w:val="00EA0F9A"/>
    <w:rsid w:val="00EA23C3"/>
    <w:rsid w:val="00EA5C2B"/>
    <w:rsid w:val="00EB0998"/>
    <w:rsid w:val="00EB1207"/>
    <w:rsid w:val="00EB230A"/>
    <w:rsid w:val="00EB68C6"/>
    <w:rsid w:val="00EC4B5B"/>
    <w:rsid w:val="00ED1E8A"/>
    <w:rsid w:val="00ED3A3B"/>
    <w:rsid w:val="00ED7664"/>
    <w:rsid w:val="00EE4AB8"/>
    <w:rsid w:val="00EE6DEE"/>
    <w:rsid w:val="00EF3400"/>
    <w:rsid w:val="00F02087"/>
    <w:rsid w:val="00F057D1"/>
    <w:rsid w:val="00F11000"/>
    <w:rsid w:val="00F14889"/>
    <w:rsid w:val="00F21D80"/>
    <w:rsid w:val="00F25549"/>
    <w:rsid w:val="00F31B55"/>
    <w:rsid w:val="00F34A0C"/>
    <w:rsid w:val="00F34A18"/>
    <w:rsid w:val="00F35E20"/>
    <w:rsid w:val="00F36FFF"/>
    <w:rsid w:val="00F418B7"/>
    <w:rsid w:val="00F424EB"/>
    <w:rsid w:val="00F43700"/>
    <w:rsid w:val="00F43CE1"/>
    <w:rsid w:val="00F454EC"/>
    <w:rsid w:val="00F459C6"/>
    <w:rsid w:val="00F501A3"/>
    <w:rsid w:val="00F50886"/>
    <w:rsid w:val="00F60959"/>
    <w:rsid w:val="00F6150D"/>
    <w:rsid w:val="00F650F4"/>
    <w:rsid w:val="00F71F01"/>
    <w:rsid w:val="00F73CF4"/>
    <w:rsid w:val="00F77E8C"/>
    <w:rsid w:val="00F829A5"/>
    <w:rsid w:val="00F85F64"/>
    <w:rsid w:val="00F86B13"/>
    <w:rsid w:val="00F86CE3"/>
    <w:rsid w:val="00F96C16"/>
    <w:rsid w:val="00F96F49"/>
    <w:rsid w:val="00FA0786"/>
    <w:rsid w:val="00FA484B"/>
    <w:rsid w:val="00FB251A"/>
    <w:rsid w:val="00FB2D5D"/>
    <w:rsid w:val="00FB718C"/>
    <w:rsid w:val="00FB7842"/>
    <w:rsid w:val="00FC0372"/>
    <w:rsid w:val="00FC4692"/>
    <w:rsid w:val="00FC62C1"/>
    <w:rsid w:val="00FE4F40"/>
    <w:rsid w:val="00FE785E"/>
    <w:rsid w:val="00FF0F8E"/>
    <w:rsid w:val="00FF6356"/>
    <w:rsid w:val="00FF6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12EEE"/>
  <w15:docId w15:val="{76A2A72C-9611-42C5-837B-23E4A71F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6AF"/>
    <w:pPr>
      <w:bidi/>
    </w:pPr>
    <w:rPr>
      <w:sz w:val="24"/>
      <w:szCs w:val="24"/>
      <w:lang w:eastAsia="ar-SA"/>
    </w:rPr>
  </w:style>
  <w:style w:type="paragraph" w:styleId="Heading1">
    <w:name w:val="heading 1"/>
    <w:basedOn w:val="Normal"/>
    <w:next w:val="Normal"/>
    <w:qFormat/>
    <w:rsid w:val="001E26AF"/>
    <w:pPr>
      <w:keepNext/>
      <w:outlineLvl w:val="0"/>
    </w:pPr>
    <w:rPr>
      <w:b/>
      <w:bCs/>
    </w:rPr>
  </w:style>
  <w:style w:type="paragraph" w:styleId="Heading2">
    <w:name w:val="heading 2"/>
    <w:basedOn w:val="Normal"/>
    <w:next w:val="Normal"/>
    <w:qFormat/>
    <w:rsid w:val="001E26AF"/>
    <w:pPr>
      <w:keepNext/>
      <w:jc w:val="center"/>
      <w:outlineLvl w:val="1"/>
    </w:pPr>
    <w:rPr>
      <w:rFonts w:cs="Simplified Arabic"/>
      <w:b/>
      <w:bCs/>
    </w:rPr>
  </w:style>
  <w:style w:type="paragraph" w:styleId="Heading3">
    <w:name w:val="heading 3"/>
    <w:basedOn w:val="Normal"/>
    <w:next w:val="Normal"/>
    <w:qFormat/>
    <w:rsid w:val="001E26AF"/>
    <w:pPr>
      <w:keepNext/>
      <w:jc w:val="center"/>
      <w:outlineLvl w:val="2"/>
    </w:pPr>
    <w:rPr>
      <w:rFonts w:cs="Simplified Arabic"/>
      <w:b/>
      <w:bCs/>
      <w:sz w:val="22"/>
      <w:szCs w:val="22"/>
    </w:rPr>
  </w:style>
  <w:style w:type="paragraph" w:styleId="Heading4">
    <w:name w:val="heading 4"/>
    <w:basedOn w:val="Normal"/>
    <w:next w:val="Normal"/>
    <w:qFormat/>
    <w:rsid w:val="001E26AF"/>
    <w:pPr>
      <w:keepNext/>
      <w:jc w:val="lowKashida"/>
      <w:outlineLvl w:val="3"/>
    </w:pPr>
    <w:rPr>
      <w:rFonts w:cs="Simplified Arabic"/>
      <w:b/>
      <w:bCs/>
    </w:rPr>
  </w:style>
  <w:style w:type="paragraph" w:styleId="Heading5">
    <w:name w:val="heading 5"/>
    <w:basedOn w:val="Normal"/>
    <w:next w:val="Normal"/>
    <w:qFormat/>
    <w:rsid w:val="001E26AF"/>
    <w:pPr>
      <w:keepNext/>
      <w:jc w:val="center"/>
      <w:outlineLvl w:val="4"/>
    </w:pPr>
    <w:rPr>
      <w:rFonts w:cs="Simplified Arabic"/>
      <w:b/>
      <w:bCs/>
      <w:color w:val="339966"/>
    </w:rPr>
  </w:style>
  <w:style w:type="paragraph" w:styleId="Heading6">
    <w:name w:val="heading 6"/>
    <w:basedOn w:val="Normal"/>
    <w:next w:val="Normal"/>
    <w:qFormat/>
    <w:rsid w:val="001E26AF"/>
    <w:pPr>
      <w:keepNext/>
      <w:jc w:val="center"/>
      <w:outlineLvl w:val="5"/>
    </w:pPr>
    <w:rPr>
      <w:rFonts w:cs="Simplified Arabic"/>
      <w:b/>
      <w:bCs/>
      <w:sz w:val="28"/>
      <w:szCs w:val="28"/>
    </w:rPr>
  </w:style>
  <w:style w:type="paragraph" w:styleId="Heading7">
    <w:name w:val="heading 7"/>
    <w:basedOn w:val="Normal"/>
    <w:next w:val="Normal"/>
    <w:link w:val="Heading7Char"/>
    <w:qFormat/>
    <w:rsid w:val="001E26AF"/>
    <w:pPr>
      <w:keepNext/>
      <w:outlineLvl w:val="6"/>
    </w:pPr>
    <w:rPr>
      <w:rFonts w:cs="Simplified Arabic"/>
      <w:b/>
      <w:bCs/>
      <w:sz w:val="22"/>
      <w:szCs w:val="22"/>
    </w:rPr>
  </w:style>
  <w:style w:type="paragraph" w:styleId="Heading8">
    <w:name w:val="heading 8"/>
    <w:basedOn w:val="Normal"/>
    <w:next w:val="Normal"/>
    <w:qFormat/>
    <w:rsid w:val="001E26AF"/>
    <w:pPr>
      <w:keepNext/>
      <w:jc w:val="lowKashida"/>
      <w:outlineLvl w:val="7"/>
    </w:pPr>
    <w:rPr>
      <w:rFonts w:cs="Simplified Arabic"/>
      <w:b/>
      <w:bCs/>
      <w:sz w:val="20"/>
      <w:szCs w:val="20"/>
    </w:rPr>
  </w:style>
  <w:style w:type="paragraph" w:styleId="Heading9">
    <w:name w:val="heading 9"/>
    <w:basedOn w:val="Normal"/>
    <w:next w:val="Normal"/>
    <w:qFormat/>
    <w:rsid w:val="001E26AF"/>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E26AF"/>
    <w:pPr>
      <w:jc w:val="lowKashida"/>
    </w:pPr>
    <w:rPr>
      <w:rFonts w:cs="Simplified Arabic"/>
      <w:snapToGrid w:val="0"/>
      <w:sz w:val="20"/>
      <w:szCs w:val="20"/>
      <w:lang w:eastAsia="en-US"/>
    </w:rPr>
  </w:style>
  <w:style w:type="paragraph" w:styleId="List">
    <w:name w:val="List"/>
    <w:basedOn w:val="Normal"/>
    <w:semiHidden/>
    <w:rsid w:val="001E26AF"/>
    <w:pPr>
      <w:ind w:left="283" w:hanging="283"/>
    </w:pPr>
  </w:style>
  <w:style w:type="paragraph" w:styleId="List2">
    <w:name w:val="List 2"/>
    <w:basedOn w:val="Normal"/>
    <w:semiHidden/>
    <w:rsid w:val="001E26AF"/>
    <w:pPr>
      <w:ind w:left="566" w:hanging="283"/>
    </w:pPr>
  </w:style>
  <w:style w:type="paragraph" w:styleId="BodyText2">
    <w:name w:val="Body Text 2"/>
    <w:basedOn w:val="Normal"/>
    <w:semiHidden/>
    <w:rsid w:val="001E26AF"/>
    <w:pPr>
      <w:jc w:val="lowKashida"/>
    </w:pPr>
    <w:rPr>
      <w:rFonts w:cs="Traditional Arabic"/>
      <w:noProof/>
      <w:szCs w:val="28"/>
      <w:lang w:eastAsia="en-US"/>
    </w:rPr>
  </w:style>
  <w:style w:type="paragraph" w:styleId="BodyTextIndent">
    <w:name w:val="Body Text Indent"/>
    <w:basedOn w:val="Normal"/>
    <w:semiHidden/>
    <w:rsid w:val="001E26AF"/>
    <w:pPr>
      <w:ind w:left="2040"/>
    </w:pPr>
  </w:style>
  <w:style w:type="paragraph" w:styleId="BodyText3">
    <w:name w:val="Body Text 3"/>
    <w:basedOn w:val="Normal"/>
    <w:semiHidden/>
    <w:rsid w:val="001E26AF"/>
    <w:pPr>
      <w:jc w:val="lowKashida"/>
    </w:pPr>
    <w:rPr>
      <w:rFonts w:cs="Simplified Arabic"/>
    </w:rPr>
  </w:style>
  <w:style w:type="paragraph" w:styleId="Header">
    <w:name w:val="header"/>
    <w:basedOn w:val="Normal"/>
    <w:link w:val="HeaderChar"/>
    <w:uiPriority w:val="99"/>
    <w:rsid w:val="001E26AF"/>
    <w:pPr>
      <w:tabs>
        <w:tab w:val="center" w:pos="4320"/>
        <w:tab w:val="right" w:pos="8640"/>
      </w:tabs>
    </w:pPr>
    <w:rPr>
      <w:rFonts w:cs="Traditional Arabic"/>
      <w:snapToGrid w:val="0"/>
      <w:sz w:val="20"/>
      <w:szCs w:val="20"/>
      <w:lang w:eastAsia="en-US"/>
    </w:rPr>
  </w:style>
  <w:style w:type="paragraph" w:styleId="Footer">
    <w:name w:val="footer"/>
    <w:basedOn w:val="Normal"/>
    <w:semiHidden/>
    <w:rsid w:val="001E26AF"/>
    <w:pPr>
      <w:tabs>
        <w:tab w:val="center" w:pos="4153"/>
        <w:tab w:val="right" w:pos="8306"/>
      </w:tabs>
    </w:pPr>
  </w:style>
  <w:style w:type="character" w:styleId="PageNumber">
    <w:name w:val="page number"/>
    <w:basedOn w:val="DefaultParagraphFont"/>
    <w:semiHidden/>
    <w:rsid w:val="001E26AF"/>
  </w:style>
  <w:style w:type="paragraph" w:customStyle="1" w:styleId="xl24">
    <w:name w:val="xl24"/>
    <w:basedOn w:val="Normal"/>
    <w:rsid w:val="001E26AF"/>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1E26AF"/>
    <w:pPr>
      <w:bidi w:val="0"/>
      <w:spacing w:before="100" w:beforeAutospacing="1" w:after="100" w:afterAutospacing="1"/>
      <w:jc w:val="center"/>
    </w:pPr>
    <w:rPr>
      <w:rFonts w:cs="Simplified Arabic" w:hint="cs"/>
      <w:b/>
      <w:bCs/>
    </w:rPr>
  </w:style>
  <w:style w:type="paragraph" w:customStyle="1" w:styleId="xl26">
    <w:name w:val="xl26"/>
    <w:basedOn w:val="Normal"/>
    <w:rsid w:val="001E26AF"/>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1E26AF"/>
    <w:pPr>
      <w:bidi w:val="0"/>
      <w:spacing w:before="100" w:beforeAutospacing="1" w:after="100" w:afterAutospacing="1"/>
      <w:jc w:val="right"/>
    </w:pPr>
    <w:rPr>
      <w:rFonts w:cs="Simplified Arabic" w:hint="cs"/>
      <w:b/>
      <w:bCs/>
    </w:rPr>
  </w:style>
  <w:style w:type="paragraph" w:customStyle="1" w:styleId="xl28">
    <w:name w:val="xl28"/>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1E26AF"/>
    <w:pPr>
      <w:bidi w:val="0"/>
      <w:spacing w:before="100" w:beforeAutospacing="1" w:after="100" w:afterAutospacing="1"/>
      <w:jc w:val="right"/>
    </w:pPr>
    <w:rPr>
      <w:rFonts w:cs="Simplified Arabic" w:hint="cs"/>
    </w:rPr>
  </w:style>
  <w:style w:type="paragraph" w:customStyle="1" w:styleId="xl30">
    <w:name w:val="xl30"/>
    <w:basedOn w:val="Normal"/>
    <w:rsid w:val="001E26AF"/>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1E26AF"/>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1E26AF"/>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1E26AF"/>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1E26AF"/>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1E26AF"/>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1E26AF"/>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1E26AF"/>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1E26AF"/>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1E26AF"/>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1E26AF"/>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1E26AF"/>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1E26AF"/>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1E26AF"/>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1E26AF"/>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1E26AF"/>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1E26AF"/>
    <w:pPr>
      <w:bidi w:val="0"/>
      <w:spacing w:before="100" w:beforeAutospacing="1" w:after="100" w:afterAutospacing="1"/>
    </w:pPr>
    <w:rPr>
      <w:b/>
      <w:bCs/>
    </w:rPr>
  </w:style>
  <w:style w:type="paragraph" w:customStyle="1" w:styleId="font6">
    <w:name w:val="font6"/>
    <w:basedOn w:val="Normal"/>
    <w:rsid w:val="001E26AF"/>
    <w:pPr>
      <w:bidi w:val="0"/>
      <w:spacing w:before="100" w:beforeAutospacing="1" w:after="100" w:afterAutospacing="1"/>
    </w:pPr>
    <w:rPr>
      <w:rFonts w:cs="Simplified Arabic" w:hint="cs"/>
      <w:b/>
      <w:bCs/>
    </w:rPr>
  </w:style>
  <w:style w:type="paragraph" w:customStyle="1" w:styleId="xl57">
    <w:name w:val="xl57"/>
    <w:basedOn w:val="Normal"/>
    <w:rsid w:val="001E26AF"/>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1E26AF"/>
    <w:rPr>
      <w:vertAlign w:val="superscript"/>
    </w:rPr>
  </w:style>
  <w:style w:type="paragraph" w:styleId="FootnoteText">
    <w:name w:val="footnote text"/>
    <w:basedOn w:val="Normal"/>
    <w:semiHidden/>
    <w:rsid w:val="001E26AF"/>
    <w:rPr>
      <w:sz w:val="20"/>
      <w:szCs w:val="20"/>
    </w:rPr>
  </w:style>
  <w:style w:type="paragraph" w:styleId="BlockText">
    <w:name w:val="Block Text"/>
    <w:basedOn w:val="Normal"/>
    <w:semiHidden/>
    <w:rsid w:val="001E26AF"/>
    <w:pPr>
      <w:ind w:left="737" w:right="737"/>
      <w:jc w:val="lowKashida"/>
    </w:pPr>
    <w:rPr>
      <w:rFonts w:cs="Simplified Arabic"/>
    </w:rPr>
  </w:style>
  <w:style w:type="paragraph" w:styleId="Caption">
    <w:name w:val="caption"/>
    <w:basedOn w:val="Normal"/>
    <w:next w:val="Normal"/>
    <w:qFormat/>
    <w:rsid w:val="001E26AF"/>
    <w:pPr>
      <w:jc w:val="lowKashida"/>
    </w:pPr>
    <w:rPr>
      <w:rFonts w:cs="Simplified Arabic"/>
      <w:b/>
      <w:bCs/>
      <w:lang w:eastAsia="en-US"/>
    </w:rPr>
  </w:style>
  <w:style w:type="paragraph" w:styleId="BodyTextIndent2">
    <w:name w:val="Body Text Indent 2"/>
    <w:basedOn w:val="Normal"/>
    <w:semiHidden/>
    <w:rsid w:val="001E26AF"/>
    <w:pPr>
      <w:ind w:firstLine="284"/>
      <w:jc w:val="lowKashida"/>
    </w:pPr>
    <w:rPr>
      <w:rFonts w:cs="Simplified Arabic"/>
      <w:lang w:eastAsia="en-US"/>
    </w:rPr>
  </w:style>
  <w:style w:type="character" w:styleId="Hyperlink">
    <w:name w:val="Hyperlink"/>
    <w:basedOn w:val="DefaultParagraphFont"/>
    <w:rsid w:val="001E26AF"/>
    <w:rPr>
      <w:color w:val="0000FF"/>
      <w:u w:val="single"/>
    </w:rPr>
  </w:style>
  <w:style w:type="character" w:styleId="FollowedHyperlink">
    <w:name w:val="FollowedHyperlink"/>
    <w:basedOn w:val="DefaultParagraphFont"/>
    <w:semiHidden/>
    <w:rsid w:val="001E26AF"/>
    <w:rPr>
      <w:color w:val="800080"/>
      <w:u w:val="single"/>
    </w:rPr>
  </w:style>
  <w:style w:type="paragraph" w:styleId="CommentText">
    <w:name w:val="annotation text"/>
    <w:basedOn w:val="Normal"/>
    <w:link w:val="CommentTextChar"/>
    <w:semiHidden/>
    <w:rsid w:val="001E26AF"/>
    <w:rPr>
      <w:rFonts w:cs="Traditional Arabic"/>
      <w:sz w:val="20"/>
      <w:szCs w:val="20"/>
      <w:lang w:eastAsia="en-US"/>
    </w:rPr>
  </w:style>
  <w:style w:type="paragraph" w:styleId="Title">
    <w:name w:val="Title"/>
    <w:basedOn w:val="Normal"/>
    <w:qFormat/>
    <w:rsid w:val="001E26AF"/>
    <w:pPr>
      <w:jc w:val="center"/>
    </w:pPr>
    <w:rPr>
      <w:rFonts w:cs="Simplified Arabic"/>
      <w:b/>
      <w:bCs/>
      <w:noProof/>
      <w:szCs w:val="28"/>
      <w:lang w:eastAsia="en-US"/>
    </w:rPr>
  </w:style>
  <w:style w:type="paragraph" w:styleId="EndnoteText">
    <w:name w:val="endnote text"/>
    <w:basedOn w:val="Normal"/>
    <w:semiHidden/>
    <w:rsid w:val="001E26AF"/>
    <w:rPr>
      <w:sz w:val="20"/>
      <w:szCs w:val="20"/>
    </w:rPr>
  </w:style>
  <w:style w:type="character" w:styleId="EndnoteReference">
    <w:name w:val="endnote reference"/>
    <w:basedOn w:val="DefaultParagraphFont"/>
    <w:semiHidden/>
    <w:rsid w:val="001E26AF"/>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table" w:styleId="LightShading-Accent6">
    <w:name w:val="Light Shading Accent 6"/>
    <w:basedOn w:val="TableNormal"/>
    <w:uiPriority w:val="60"/>
    <w:rsid w:val="0032568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2-Accent6">
    <w:name w:val="Medium Grid 2 Accent 6"/>
    <w:basedOn w:val="TableNormal"/>
    <w:uiPriority w:val="68"/>
    <w:rsid w:val="0032568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TableGrid">
    <w:name w:val="Table Grid"/>
    <w:basedOn w:val="TableNormal"/>
    <w:uiPriority w:val="59"/>
    <w:rsid w:val="00A5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F1EBE"/>
    <w:rPr>
      <w:rFonts w:cs="Simplified Arabic"/>
      <w:snapToGrid w:val="0"/>
    </w:rPr>
  </w:style>
  <w:style w:type="paragraph" w:styleId="NoSpacing">
    <w:name w:val="No Spacing"/>
    <w:uiPriority w:val="1"/>
    <w:qFormat/>
    <w:rsid w:val="00690D64"/>
    <w:pPr>
      <w:bidi/>
    </w:pPr>
    <w:rPr>
      <w:sz w:val="24"/>
      <w:szCs w:val="24"/>
      <w:lang w:eastAsia="ar-SA"/>
    </w:rPr>
  </w:style>
  <w:style w:type="character" w:customStyle="1" w:styleId="1H">
    <w:name w:val="1H"/>
    <w:rsid w:val="00A13E1B"/>
    <w:rPr>
      <w:b/>
      <w:sz w:val="28"/>
    </w:rPr>
  </w:style>
  <w:style w:type="character" w:styleId="CommentReference">
    <w:name w:val="annotation reference"/>
    <w:basedOn w:val="DefaultParagraphFont"/>
    <w:uiPriority w:val="99"/>
    <w:semiHidden/>
    <w:unhideWhenUsed/>
    <w:rsid w:val="007068FB"/>
    <w:rPr>
      <w:sz w:val="16"/>
      <w:szCs w:val="16"/>
    </w:rPr>
  </w:style>
  <w:style w:type="paragraph" w:styleId="CommentSubject">
    <w:name w:val="annotation subject"/>
    <w:basedOn w:val="CommentText"/>
    <w:next w:val="CommentText"/>
    <w:link w:val="CommentSubjectChar"/>
    <w:uiPriority w:val="99"/>
    <w:semiHidden/>
    <w:unhideWhenUsed/>
    <w:rsid w:val="007068FB"/>
    <w:rPr>
      <w:rFonts w:cs="Times New Roman"/>
      <w:b/>
      <w:bCs/>
      <w:lang w:eastAsia="ar-SA"/>
    </w:rPr>
  </w:style>
  <w:style w:type="character" w:customStyle="1" w:styleId="CommentTextChar">
    <w:name w:val="Comment Text Char"/>
    <w:basedOn w:val="DefaultParagraphFont"/>
    <w:link w:val="CommentText"/>
    <w:semiHidden/>
    <w:rsid w:val="007068FB"/>
    <w:rPr>
      <w:rFonts w:cs="Traditional Arabic"/>
    </w:rPr>
  </w:style>
  <w:style w:type="character" w:customStyle="1" w:styleId="CommentSubjectChar">
    <w:name w:val="Comment Subject Char"/>
    <w:basedOn w:val="CommentTextChar"/>
    <w:link w:val="CommentSubject"/>
    <w:uiPriority w:val="99"/>
    <w:semiHidden/>
    <w:rsid w:val="007068FB"/>
    <w:rPr>
      <w:rFonts w:cs="Traditional Arabic"/>
      <w:b/>
      <w:bCs/>
      <w:lang w:eastAsia="ar-SA"/>
    </w:rPr>
  </w:style>
  <w:style w:type="paragraph" w:styleId="ListParagraph">
    <w:name w:val="List Paragraph"/>
    <w:basedOn w:val="Normal"/>
    <w:uiPriority w:val="34"/>
    <w:qFormat/>
    <w:rsid w:val="000B2730"/>
    <w:pPr>
      <w:ind w:left="720"/>
      <w:contextualSpacing/>
    </w:pPr>
    <w:rPr>
      <w:rFonts w:cs="Simplified Arabic"/>
      <w:noProof/>
      <w:szCs w:val="20"/>
      <w:lang w:eastAsia="en-US"/>
    </w:rPr>
  </w:style>
  <w:style w:type="character" w:customStyle="1" w:styleId="Heading7Char">
    <w:name w:val="Heading 7 Char"/>
    <w:basedOn w:val="DefaultParagraphFont"/>
    <w:link w:val="Heading7"/>
    <w:rsid w:val="000B2730"/>
    <w:rPr>
      <w:rFonts w:cs="Simplified Arabic"/>
      <w:b/>
      <w:bCs/>
      <w:sz w:val="22"/>
      <w:szCs w:val="22"/>
      <w:lang w:eastAsia="ar-SA"/>
    </w:rPr>
  </w:style>
  <w:style w:type="table" w:styleId="LightShading-Accent4">
    <w:name w:val="Light Shading Accent 4"/>
    <w:basedOn w:val="TableNormal"/>
    <w:uiPriority w:val="60"/>
    <w:semiHidden/>
    <w:unhideWhenUsed/>
    <w:rsid w:val="00A613F9"/>
    <w:rPr>
      <w:color w:val="5F497A" w:themeColor="accent4" w:themeShade="BF"/>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507">
      <w:bodyDiv w:val="1"/>
      <w:marLeft w:val="0"/>
      <w:marRight w:val="0"/>
      <w:marTop w:val="0"/>
      <w:marBottom w:val="0"/>
      <w:divBdr>
        <w:top w:val="none" w:sz="0" w:space="0" w:color="auto"/>
        <w:left w:val="none" w:sz="0" w:space="0" w:color="auto"/>
        <w:bottom w:val="none" w:sz="0" w:space="0" w:color="auto"/>
        <w:right w:val="none" w:sz="0" w:space="0" w:color="auto"/>
      </w:divBdr>
    </w:div>
    <w:div w:id="57091969">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6905612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47516445">
      <w:bodyDiv w:val="1"/>
      <w:marLeft w:val="0"/>
      <w:marRight w:val="0"/>
      <w:marTop w:val="0"/>
      <w:marBottom w:val="0"/>
      <w:divBdr>
        <w:top w:val="none" w:sz="0" w:space="0" w:color="auto"/>
        <w:left w:val="none" w:sz="0" w:space="0" w:color="auto"/>
        <w:bottom w:val="none" w:sz="0" w:space="0" w:color="auto"/>
        <w:right w:val="none" w:sz="0" w:space="0" w:color="auto"/>
      </w:divBdr>
    </w:div>
    <w:div w:id="752625412">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849173467">
      <w:bodyDiv w:val="1"/>
      <w:marLeft w:val="0"/>
      <w:marRight w:val="0"/>
      <w:marTop w:val="0"/>
      <w:marBottom w:val="0"/>
      <w:divBdr>
        <w:top w:val="none" w:sz="0" w:space="0" w:color="auto"/>
        <w:left w:val="none" w:sz="0" w:space="0" w:color="auto"/>
        <w:bottom w:val="none" w:sz="0" w:space="0" w:color="auto"/>
        <w:right w:val="none" w:sz="0" w:space="0" w:color="auto"/>
      </w:divBdr>
    </w:div>
    <w:div w:id="916785257">
      <w:bodyDiv w:val="1"/>
      <w:marLeft w:val="0"/>
      <w:marRight w:val="0"/>
      <w:marTop w:val="0"/>
      <w:marBottom w:val="0"/>
      <w:divBdr>
        <w:top w:val="none" w:sz="0" w:space="0" w:color="auto"/>
        <w:left w:val="none" w:sz="0" w:space="0" w:color="auto"/>
        <w:bottom w:val="none" w:sz="0" w:space="0" w:color="auto"/>
        <w:right w:val="none" w:sz="0" w:space="0" w:color="auto"/>
      </w:divBdr>
    </w:div>
    <w:div w:id="923303684">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148549659">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05355459">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44699279">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25733008">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00898842">
      <w:bodyDiv w:val="1"/>
      <w:marLeft w:val="0"/>
      <w:marRight w:val="0"/>
      <w:marTop w:val="0"/>
      <w:marBottom w:val="0"/>
      <w:divBdr>
        <w:top w:val="none" w:sz="0" w:space="0" w:color="auto"/>
        <w:left w:val="none" w:sz="0" w:space="0" w:color="auto"/>
        <w:bottom w:val="none" w:sz="0" w:space="0" w:color="auto"/>
        <w:right w:val="none" w:sz="0" w:space="0" w:color="auto"/>
      </w:divBdr>
    </w:div>
    <w:div w:id="1902254748">
      <w:bodyDiv w:val="1"/>
      <w:marLeft w:val="0"/>
      <w:marRight w:val="0"/>
      <w:marTop w:val="0"/>
      <w:marBottom w:val="0"/>
      <w:divBdr>
        <w:top w:val="none" w:sz="0" w:space="0" w:color="auto"/>
        <w:left w:val="none" w:sz="0" w:space="0" w:color="auto"/>
        <w:bottom w:val="none" w:sz="0" w:space="0" w:color="auto"/>
        <w:right w:val="none" w:sz="0" w:space="0" w:color="auto"/>
      </w:divBdr>
    </w:div>
    <w:div w:id="1916478218">
      <w:bodyDiv w:val="1"/>
      <w:marLeft w:val="0"/>
      <w:marRight w:val="0"/>
      <w:marTop w:val="0"/>
      <w:marBottom w:val="0"/>
      <w:divBdr>
        <w:top w:val="none" w:sz="0" w:space="0" w:color="auto"/>
        <w:left w:val="none" w:sz="0" w:space="0" w:color="auto"/>
        <w:bottom w:val="none" w:sz="0" w:space="0" w:color="auto"/>
        <w:right w:val="none" w:sz="0" w:space="0" w:color="auto"/>
      </w:divBdr>
    </w:div>
    <w:div w:id="1919509896">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1438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168243953732904E-2"/>
          <c:y val="5.2184915564799685E-2"/>
          <c:w val="0.81834918900121667"/>
          <c:h val="0.73985017497813665"/>
        </c:manualLayout>
      </c:layout>
      <c:barChart>
        <c:barDir val="col"/>
        <c:grouping val="clustered"/>
        <c:varyColors val="0"/>
        <c:ser>
          <c:idx val="0"/>
          <c:order val="0"/>
          <c:tx>
            <c:strRef>
              <c:f>Sheet1!$A$2</c:f>
              <c:strCache>
                <c:ptCount val="1"/>
                <c:pt idx="0">
                  <c:v>قطاع غزة</c:v>
                </c:pt>
              </c:strCache>
            </c:strRef>
          </c:tx>
          <c:spPr>
            <a:pattFill prst="dkVert">
              <a:fgClr>
                <a:srgbClr val="EEECE1">
                  <a:lumMod val="75000"/>
                </a:srgbClr>
              </a:fgClr>
              <a:bgClr>
                <a:sysClr val="window" lastClr="FFFFFF"/>
              </a:bgClr>
            </a:pattFill>
          </c:spPr>
          <c:invertIfNegative val="0"/>
          <c:dLbls>
            <c:numFmt formatCode="0.0" sourceLinked="0"/>
            <c:spPr>
              <a:noFill/>
              <a:ln>
                <a:noFill/>
              </a:ln>
              <a:effectLst/>
            </c:spPr>
            <c:txPr>
              <a:bodyPr/>
              <a:lstStyle/>
              <a:p>
                <a:pPr>
                  <a:defRPr sz="9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2003-1999</c:v>
                </c:pt>
                <c:pt idx="1">
                  <c:v>2019-2017</c:v>
                </c:pt>
              </c:strCache>
            </c:strRef>
          </c:cat>
          <c:val>
            <c:numRef>
              <c:f>Sheet1!$B$2:$C$2</c:f>
              <c:numCache>
                <c:formatCode>0.0</c:formatCode>
                <c:ptCount val="2"/>
                <c:pt idx="0">
                  <c:v>5.8</c:v>
                </c:pt>
                <c:pt idx="1">
                  <c:v>3.9</c:v>
                </c:pt>
              </c:numCache>
            </c:numRef>
          </c:val>
          <c:extLst>
            <c:ext xmlns:c16="http://schemas.microsoft.com/office/drawing/2014/chart" uri="{C3380CC4-5D6E-409C-BE32-E72D297353CC}">
              <c16:uniqueId val="{00000000-B936-48D9-826E-E6B4F5F6BC8B}"/>
            </c:ext>
          </c:extLst>
        </c:ser>
        <c:ser>
          <c:idx val="1"/>
          <c:order val="1"/>
          <c:tx>
            <c:strRef>
              <c:f>Sheet1!$A$3</c:f>
              <c:strCache>
                <c:ptCount val="1"/>
                <c:pt idx="0">
                  <c:v>الضفة الغربية</c:v>
                </c:pt>
              </c:strCache>
            </c:strRef>
          </c:tx>
          <c:spPr>
            <a:solidFill>
              <a:schemeClr val="tx2">
                <a:lumMod val="50000"/>
              </a:schemeClr>
            </a:solidFill>
          </c:spPr>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2003-1999</c:v>
                </c:pt>
                <c:pt idx="1">
                  <c:v>2019-2017</c:v>
                </c:pt>
              </c:strCache>
            </c:strRef>
          </c:cat>
          <c:val>
            <c:numRef>
              <c:f>Sheet1!$B$3:$C$3</c:f>
              <c:numCache>
                <c:formatCode>General</c:formatCode>
                <c:ptCount val="2"/>
                <c:pt idx="0">
                  <c:v>4.0999999999999996</c:v>
                </c:pt>
                <c:pt idx="1">
                  <c:v>3.8</c:v>
                </c:pt>
              </c:numCache>
            </c:numRef>
          </c:val>
          <c:extLst>
            <c:ext xmlns:c16="http://schemas.microsoft.com/office/drawing/2014/chart" uri="{C3380CC4-5D6E-409C-BE32-E72D297353CC}">
              <c16:uniqueId val="{00000001-B936-48D9-826E-E6B4F5F6BC8B}"/>
            </c:ext>
          </c:extLst>
        </c:ser>
        <c:ser>
          <c:idx val="2"/>
          <c:order val="2"/>
          <c:tx>
            <c:strRef>
              <c:f>Sheet1!$A$4</c:f>
              <c:strCache>
                <c:ptCount val="1"/>
                <c:pt idx="0">
                  <c:v> فلسطين</c:v>
                </c:pt>
              </c:strCache>
            </c:strRef>
          </c:tx>
          <c:spPr>
            <a:pattFill prst="wdDnDiag">
              <a:fgClr>
                <a:srgbClr val="1F497D">
                  <a:lumMod val="60000"/>
                  <a:lumOff val="40000"/>
                </a:srgbClr>
              </a:fgClr>
              <a:bgClr>
                <a:sysClr val="window" lastClr="FFFFFF"/>
              </a:bgClr>
            </a:pattFill>
          </c:spPr>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2003-1999</c:v>
                </c:pt>
                <c:pt idx="1">
                  <c:v>2019-2017</c:v>
                </c:pt>
              </c:strCache>
            </c:strRef>
          </c:cat>
          <c:val>
            <c:numRef>
              <c:f>Sheet1!$B$4:$C$4</c:f>
              <c:numCache>
                <c:formatCode>General</c:formatCode>
                <c:ptCount val="2"/>
                <c:pt idx="0">
                  <c:v>4.5999999999999996</c:v>
                </c:pt>
                <c:pt idx="1">
                  <c:v>3.8</c:v>
                </c:pt>
              </c:numCache>
            </c:numRef>
          </c:val>
          <c:extLst>
            <c:ext xmlns:c16="http://schemas.microsoft.com/office/drawing/2014/chart" uri="{C3380CC4-5D6E-409C-BE32-E72D297353CC}">
              <c16:uniqueId val="{00000002-B936-48D9-826E-E6B4F5F6BC8B}"/>
            </c:ext>
          </c:extLst>
        </c:ser>
        <c:dLbls>
          <c:showLegendKey val="0"/>
          <c:showVal val="1"/>
          <c:showCatName val="0"/>
          <c:showSerName val="0"/>
          <c:showPercent val="0"/>
          <c:showBubbleSize val="0"/>
        </c:dLbls>
        <c:gapWidth val="150"/>
        <c:axId val="145150336"/>
        <c:axId val="145152256"/>
      </c:barChart>
      <c:catAx>
        <c:axId val="145150336"/>
        <c:scaling>
          <c:orientation val="maxMin"/>
        </c:scaling>
        <c:delete val="0"/>
        <c:axPos val="b"/>
        <c:title>
          <c:tx>
            <c:rich>
              <a:bodyPr/>
              <a:lstStyle/>
              <a:p>
                <a:pPr>
                  <a:defRPr sz="800">
                    <a:latin typeface="Arial" pitchFamily="34" charset="0"/>
                    <a:cs typeface="Arial" pitchFamily="34" charset="0"/>
                  </a:defRPr>
                </a:pPr>
                <a:r>
                  <a:rPr lang="ar-SA" sz="800">
                    <a:latin typeface="Arial" pitchFamily="34" charset="0"/>
                    <a:cs typeface="Arial" pitchFamily="34" charset="0"/>
                  </a:rPr>
                  <a:t>السنة</a:t>
                </a:r>
              </a:p>
            </c:rich>
          </c:tx>
          <c:layout>
            <c:manualLayout>
              <c:xMode val="edge"/>
              <c:yMode val="edge"/>
              <c:x val="0.45141210660970232"/>
              <c:y val="0.87915218144901697"/>
            </c:manualLayout>
          </c:layout>
          <c:overlay val="0"/>
        </c:title>
        <c:numFmt formatCode="General" sourceLinked="0"/>
        <c:majorTickMark val="out"/>
        <c:minorTickMark val="none"/>
        <c:tickLblPos val="nextTo"/>
        <c:txPr>
          <a:bodyPr rot="0" vert="horz"/>
          <a:lstStyle/>
          <a:p>
            <a:pPr>
              <a:defRPr sz="900">
                <a:latin typeface="Arial" pitchFamily="34" charset="0"/>
                <a:cs typeface="Arial" pitchFamily="34" charset="0"/>
              </a:defRPr>
            </a:pPr>
            <a:endParaRPr lang="ar-SA"/>
          </a:p>
        </c:txPr>
        <c:crossAx val="145152256"/>
        <c:crosses val="autoZero"/>
        <c:auto val="1"/>
        <c:lblAlgn val="ctr"/>
        <c:lblOffset val="100"/>
        <c:tickLblSkip val="1"/>
        <c:tickMarkSkip val="1"/>
        <c:noMultiLvlLbl val="0"/>
      </c:catAx>
      <c:valAx>
        <c:axId val="145152256"/>
        <c:scaling>
          <c:orientation val="minMax"/>
          <c:max val="7"/>
          <c:min val="1"/>
        </c:scaling>
        <c:delete val="0"/>
        <c:axPos val="r"/>
        <c:title>
          <c:tx>
            <c:rich>
              <a:bodyPr/>
              <a:lstStyle/>
              <a:p>
                <a:pPr>
                  <a:defRPr sz="800"/>
                </a:pPr>
                <a:r>
                  <a:rPr lang="ar-SA" sz="800"/>
                  <a:t>معدل الخصوبة</a:t>
                </a:r>
              </a:p>
            </c:rich>
          </c:tx>
          <c:layout>
            <c:manualLayout>
              <c:xMode val="edge"/>
              <c:yMode val="edge"/>
              <c:x val="0.9379600420609886"/>
              <c:y val="0.27961669885603935"/>
            </c:manualLayout>
          </c:layout>
          <c:overlay val="0"/>
        </c:title>
        <c:numFmt formatCode="0" sourceLinked="0"/>
        <c:majorTickMark val="out"/>
        <c:minorTickMark val="none"/>
        <c:tickLblPos val="nextTo"/>
        <c:txPr>
          <a:bodyPr rot="0" vert="horz"/>
          <a:lstStyle/>
          <a:p>
            <a:pPr>
              <a:defRPr sz="900">
                <a:latin typeface="Arial" pitchFamily="34" charset="0"/>
                <a:cs typeface="Arial" pitchFamily="34" charset="0"/>
              </a:defRPr>
            </a:pPr>
            <a:endParaRPr lang="ar-SA"/>
          </a:p>
        </c:txPr>
        <c:crossAx val="145150336"/>
        <c:crosses val="autoZero"/>
        <c:crossBetween val="between"/>
        <c:majorUnit val="1"/>
      </c:valAx>
      <c:spPr>
        <a:ln>
          <a:noFill/>
        </a:ln>
      </c:spPr>
    </c:plotArea>
    <c:legend>
      <c:legendPos val="t"/>
      <c:layout>
        <c:manualLayout>
          <c:xMode val="edge"/>
          <c:yMode val="edge"/>
          <c:x val="5.9396624851551352E-2"/>
          <c:y val="0.10232385622455874"/>
          <c:w val="0.62485804416403834"/>
          <c:h val="0.11372901500519987"/>
        </c:manualLayout>
      </c:layout>
      <c:overlay val="0"/>
      <c:txPr>
        <a:bodyPr/>
        <a:lstStyle/>
        <a:p>
          <a:pPr>
            <a:defRPr sz="900">
              <a:latin typeface="Simplified Arabic" panose="02020603050405020304" pitchFamily="18" charset="-78"/>
              <a:cs typeface="Simplified Arabic" panose="02020603050405020304" pitchFamily="18" charset="-78"/>
            </a:defRPr>
          </a:pPr>
          <a:endParaRPr lang="ar-SA"/>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
          <c:y val="0.22600424946881639"/>
          <c:w val="0.94178597796406005"/>
          <c:h val="0.67247107564469244"/>
        </c:manualLayout>
      </c:layout>
      <c:barChart>
        <c:barDir val="col"/>
        <c:grouping val="clustered"/>
        <c:varyColors val="0"/>
        <c:ser>
          <c:idx val="0"/>
          <c:order val="0"/>
          <c:tx>
            <c:strRef>
              <c:f>Sheet1!$B$1</c:f>
              <c:strCache>
                <c:ptCount val="1"/>
                <c:pt idx="0">
                  <c:v>فلسطين</c:v>
                </c:pt>
              </c:strCache>
            </c:strRef>
          </c:tx>
          <c:spPr>
            <a:solidFill>
              <a:schemeClr val="bg2">
                <a:lumMod val="50000"/>
              </a:schemeClr>
            </a:solid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2021</c:v>
                </c:pt>
              </c:numCache>
            </c:numRef>
          </c:cat>
          <c:val>
            <c:numRef>
              <c:f>Sheet1!$B$2:$B$3</c:f>
              <c:numCache>
                <c:formatCode>#,##0.0</c:formatCode>
                <c:ptCount val="2"/>
                <c:pt idx="0" formatCode="General">
                  <c:v>5.5</c:v>
                </c:pt>
                <c:pt idx="1">
                  <c:v>5</c:v>
                </c:pt>
              </c:numCache>
            </c:numRef>
          </c:val>
          <c:extLst>
            <c:ext xmlns:c16="http://schemas.microsoft.com/office/drawing/2014/chart" uri="{C3380CC4-5D6E-409C-BE32-E72D297353CC}">
              <c16:uniqueId val="{00000000-F2A8-4B39-9A47-609000235CF2}"/>
            </c:ext>
          </c:extLst>
        </c:ser>
        <c:ser>
          <c:idx val="1"/>
          <c:order val="1"/>
          <c:tx>
            <c:strRef>
              <c:f>Sheet1!$C$1</c:f>
              <c:strCache>
                <c:ptCount val="1"/>
                <c:pt idx="0">
                  <c:v>الضفة الغربية</c:v>
                </c:pt>
              </c:strCache>
            </c:strRef>
          </c:tx>
          <c:spPr>
            <a:pattFill prst="ltHorz">
              <a:fgClr>
                <a:schemeClr val="bg2">
                  <a:lumMod val="50000"/>
                </a:schemeClr>
              </a:fgClr>
              <a:bgClr>
                <a:schemeClr val="bg1"/>
              </a:bgClr>
            </a:patt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2021</c:v>
                </c:pt>
              </c:numCache>
            </c:numRef>
          </c:cat>
          <c:val>
            <c:numRef>
              <c:f>Sheet1!$C$2:$C$3</c:f>
              <c:numCache>
                <c:formatCode>General</c:formatCode>
                <c:ptCount val="2"/>
                <c:pt idx="0">
                  <c:v>5.2</c:v>
                </c:pt>
                <c:pt idx="1">
                  <c:v>4.7</c:v>
                </c:pt>
              </c:numCache>
            </c:numRef>
          </c:val>
          <c:extLst>
            <c:ext xmlns:c16="http://schemas.microsoft.com/office/drawing/2014/chart" uri="{C3380CC4-5D6E-409C-BE32-E72D297353CC}">
              <c16:uniqueId val="{00000001-F2A8-4B39-9A47-609000235CF2}"/>
            </c:ext>
          </c:extLst>
        </c:ser>
        <c:ser>
          <c:idx val="2"/>
          <c:order val="2"/>
          <c:tx>
            <c:strRef>
              <c:f>Sheet1!$D$1</c:f>
              <c:strCache>
                <c:ptCount val="1"/>
                <c:pt idx="0">
                  <c:v>قطاع غزة</c:v>
                </c:pt>
              </c:strCache>
            </c:strRef>
          </c:tx>
          <c:spPr>
            <a:pattFill prst="narVert">
              <a:fgClr>
                <a:schemeClr val="bg2">
                  <a:lumMod val="25000"/>
                </a:schemeClr>
              </a:fgClr>
              <a:bgClr>
                <a:schemeClr val="bg1"/>
              </a:bgClr>
            </a:patt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2021</c:v>
                </c:pt>
              </c:numCache>
            </c:numRef>
          </c:cat>
          <c:val>
            <c:numRef>
              <c:f>Sheet1!$D$2:$D$3</c:f>
              <c:numCache>
                <c:formatCode>General</c:formatCode>
                <c:ptCount val="2"/>
                <c:pt idx="0">
                  <c:v>6.4</c:v>
                </c:pt>
                <c:pt idx="1">
                  <c:v>5.6</c:v>
                </c:pt>
              </c:numCache>
            </c:numRef>
          </c:val>
          <c:extLst>
            <c:ext xmlns:c16="http://schemas.microsoft.com/office/drawing/2014/chart" uri="{C3380CC4-5D6E-409C-BE32-E72D297353CC}">
              <c16:uniqueId val="{00000002-F2A8-4B39-9A47-609000235CF2}"/>
            </c:ext>
          </c:extLst>
        </c:ser>
        <c:dLbls>
          <c:showLegendKey val="0"/>
          <c:showVal val="0"/>
          <c:showCatName val="0"/>
          <c:showSerName val="0"/>
          <c:showPercent val="0"/>
          <c:showBubbleSize val="0"/>
        </c:dLbls>
        <c:gapWidth val="150"/>
        <c:axId val="175893752"/>
        <c:axId val="1"/>
      </c:barChart>
      <c:catAx>
        <c:axId val="175893752"/>
        <c:scaling>
          <c:orientation val="maxMin"/>
        </c:scaling>
        <c:delete val="0"/>
        <c:axPos val="b"/>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r"/>
        <c:numFmt formatCode="General" sourceLinked="1"/>
        <c:majorTickMark val="out"/>
        <c:minorTickMark val="none"/>
        <c:tickLblPos val="nextTo"/>
        <c:txPr>
          <a:bodyPr/>
          <a:lstStyle/>
          <a:p>
            <a:pPr>
              <a:defRPr sz="800"/>
            </a:pPr>
            <a:endParaRPr lang="ar-SA"/>
          </a:p>
        </c:txPr>
        <c:crossAx val="175893752"/>
        <c:crosses val="autoZero"/>
        <c:crossBetween val="between"/>
      </c:valAx>
    </c:plotArea>
    <c:legend>
      <c:legendPos val="t"/>
      <c:layout>
        <c:manualLayout>
          <c:xMode val="edge"/>
          <c:yMode val="edge"/>
          <c:x val="0.10461302093335893"/>
          <c:y val="3.8095238095238099E-2"/>
          <c:w val="0.75038839657237966"/>
          <c:h val="0.1148124484439445"/>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06F9-9D84-44F6-B3A0-1A047FB8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LOAY SHEHADEH</cp:lastModifiedBy>
  <cp:revision>8</cp:revision>
  <cp:lastPrinted>2022-12-26T09:11:00Z</cp:lastPrinted>
  <dcterms:created xsi:type="dcterms:W3CDTF">2022-12-27T09:04:00Z</dcterms:created>
  <dcterms:modified xsi:type="dcterms:W3CDTF">2022-12-27T11:33:00Z</dcterms:modified>
</cp:coreProperties>
</file>