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EF" w:rsidRPr="00FF283A" w:rsidRDefault="002B0DEF" w:rsidP="002B0DEF">
      <w:pPr>
        <w:pStyle w:val="Heading3"/>
        <w:rPr>
          <w:rFonts w:ascii="Simplified Arabic" w:hAnsi="Simplified Arabic"/>
          <w:sz w:val="26"/>
          <w:szCs w:val="26"/>
          <w:vertAlign w:val="superscript"/>
          <w:rtl/>
        </w:rPr>
      </w:pPr>
      <w:r w:rsidRPr="00FF283A">
        <w:rPr>
          <w:rFonts w:ascii="Simplified Arabic" w:hAnsi="Simplified Arabic"/>
          <w:sz w:val="32"/>
          <w:szCs w:val="32"/>
          <w:rtl/>
        </w:rPr>
        <w:t>الإحصاء الفلسطيني يعلن النتائج الأساسية</w:t>
      </w:r>
      <w:r w:rsidRPr="00FF283A">
        <w:rPr>
          <w:rStyle w:val="FootnoteReference"/>
          <w:rFonts w:ascii="Simplified Arabic" w:hAnsi="Simplified Arabic"/>
          <w:sz w:val="32"/>
          <w:szCs w:val="32"/>
          <w:rtl/>
        </w:rPr>
        <w:footnoteReference w:id="1"/>
      </w:r>
      <w:r w:rsidRPr="00FF283A">
        <w:rPr>
          <w:rFonts w:ascii="Simplified Arabic" w:hAnsi="Simplified Arabic"/>
          <w:sz w:val="32"/>
          <w:szCs w:val="32"/>
          <w:rtl/>
        </w:rPr>
        <w:t xml:space="preserve"> للحسابات القومية الربعية للربع </w:t>
      </w:r>
      <w:r w:rsidRPr="00FF283A">
        <w:rPr>
          <w:rFonts w:ascii="Simplified Arabic" w:hAnsi="Simplified Arabic" w:hint="cs"/>
          <w:sz w:val="32"/>
          <w:szCs w:val="32"/>
          <w:rtl/>
        </w:rPr>
        <w:t>الثالث</w:t>
      </w:r>
      <w:r w:rsidRPr="00FF283A">
        <w:rPr>
          <w:rFonts w:ascii="Simplified Arabic" w:hAnsi="Simplified Arabic"/>
          <w:sz w:val="32"/>
          <w:szCs w:val="32"/>
          <w:rtl/>
        </w:rPr>
        <w:t xml:space="preserve"> </w:t>
      </w:r>
      <w:r w:rsidRPr="00FF283A">
        <w:rPr>
          <w:rFonts w:ascii="Simplified Arabic" w:hAnsi="Simplified Arabic" w:hint="cs"/>
          <w:sz w:val="32"/>
          <w:szCs w:val="32"/>
          <w:rtl/>
        </w:rPr>
        <w:t>2025</w:t>
      </w:r>
      <w:r w:rsidRPr="00FF283A">
        <w:rPr>
          <w:rFonts w:ascii="Simplified Arabic" w:hAnsi="Simplified Arabic" w:hint="cs"/>
          <w:sz w:val="26"/>
          <w:szCs w:val="26"/>
          <w:rtl/>
        </w:rPr>
        <w:t xml:space="preserve"> </w:t>
      </w:r>
    </w:p>
    <w:p w:rsidR="002B0DEF" w:rsidRPr="00FF283A" w:rsidRDefault="002B0DEF" w:rsidP="002B0DEF">
      <w:pPr>
        <w:spacing w:line="120" w:lineRule="auto"/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2B0DEF" w:rsidRDefault="002B0DEF" w:rsidP="002B0DE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28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استمرار الانكماش الحاد في الاقتصاد الفلسطيني خلال الربع الثالث 2025 مقارنةً مع الربع المناظر من العام 2023 الذي سبق </w:t>
      </w:r>
      <w:r w:rsidRPr="00FF283A">
        <w:rPr>
          <w:rFonts w:ascii="Simplified Arabic" w:hAnsi="Simplified Arabic" w:cs="Simplified Arabic"/>
          <w:b/>
          <w:bCs/>
          <w:sz w:val="28"/>
          <w:szCs w:val="28"/>
          <w:rtl/>
        </w:rPr>
        <w:t>عدوان الاحتلال الإسرائيلي المستمر على فلسطين</w:t>
      </w:r>
      <w:r w:rsidRPr="00FF28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حيث سجل </w:t>
      </w:r>
      <w:r w:rsidRPr="00FF28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الناتج المحلي الإجمالي في فلسطين </w:t>
      </w:r>
      <w:r w:rsidRPr="00FF28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تراجعاً حاداً نسبته 26% خلال نفس الفترة، بالرغم من الارتفاع الطفيف بالمقارنة مع الربع المناظر</w:t>
      </w:r>
    </w:p>
    <w:p w:rsidR="002B0DEF" w:rsidRPr="00FF283A" w:rsidRDefault="002B0DEF" w:rsidP="002B0DE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28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العام 2024</w:t>
      </w:r>
    </w:p>
    <w:p w:rsidR="002B0DEF" w:rsidRPr="00FF283A" w:rsidRDefault="002B0DEF" w:rsidP="002B0DEF">
      <w:pPr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2B0DEF" w:rsidRPr="00FF283A" w:rsidRDefault="002B0DEF" w:rsidP="002B0DEF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FF283A">
        <w:rPr>
          <w:rFonts w:ascii="Simplified Arabic" w:hAnsi="Simplified Arabic"/>
          <w:sz w:val="26"/>
          <w:szCs w:val="26"/>
          <w:rtl/>
        </w:rPr>
        <w:t xml:space="preserve">تشير التقديرات الأولية إلى </w:t>
      </w:r>
      <w:r w:rsidRPr="00FF283A">
        <w:rPr>
          <w:rFonts w:ascii="Simplified Arabic" w:hAnsi="Simplified Arabic" w:hint="cs"/>
          <w:sz w:val="26"/>
          <w:szCs w:val="26"/>
          <w:rtl/>
        </w:rPr>
        <w:t>تراجع حاد في</w:t>
      </w:r>
      <w:r w:rsidRPr="00FF283A">
        <w:rPr>
          <w:rFonts w:ascii="Simplified Arabic" w:hAnsi="Simplified Arabic"/>
          <w:sz w:val="26"/>
          <w:szCs w:val="26"/>
          <w:rtl/>
        </w:rPr>
        <w:t xml:space="preserve"> الناتج المحلي الإجمالي في فلسطين خلال الربع </w:t>
      </w:r>
      <w:r w:rsidRPr="00FF283A">
        <w:rPr>
          <w:rFonts w:ascii="Simplified Arabic" w:hAnsi="Simplified Arabic" w:hint="cs"/>
          <w:sz w:val="26"/>
          <w:szCs w:val="26"/>
          <w:rtl/>
        </w:rPr>
        <w:t>الثالث</w:t>
      </w:r>
      <w:r w:rsidRPr="00FF283A">
        <w:rPr>
          <w:rFonts w:ascii="Simplified Arabic" w:hAnsi="Simplified Arabic"/>
          <w:sz w:val="26"/>
          <w:szCs w:val="26"/>
          <w:rtl/>
        </w:rPr>
        <w:t xml:space="preserve"> من عام </w:t>
      </w:r>
      <w:r w:rsidRPr="00FF283A">
        <w:rPr>
          <w:rFonts w:ascii="Simplified Arabic" w:hAnsi="Simplified Arabic" w:hint="cs"/>
          <w:sz w:val="26"/>
          <w:szCs w:val="26"/>
          <w:rtl/>
        </w:rPr>
        <w:t>2025</w:t>
      </w:r>
      <w:r w:rsidRPr="00FF283A">
        <w:rPr>
          <w:rFonts w:ascii="Simplified Arabic" w:hAnsi="Simplified Arabic"/>
          <w:sz w:val="26"/>
          <w:szCs w:val="26"/>
          <w:rtl/>
        </w:rPr>
        <w:t xml:space="preserve"> بالمقارنة مع الربع </w:t>
      </w:r>
      <w:r w:rsidRPr="00FF283A">
        <w:rPr>
          <w:rFonts w:ascii="Simplified Arabic" w:hAnsi="Simplified Arabic" w:hint="cs"/>
          <w:sz w:val="26"/>
          <w:szCs w:val="26"/>
          <w:rtl/>
        </w:rPr>
        <w:t xml:space="preserve">المناظر من العام 2023، حيث سجلت معظم الأنشطة الاقتصادية في فلسطين تراجعاً حاداً في القيمة المضافة، </w:t>
      </w:r>
      <w:r w:rsidRPr="00FF283A">
        <w:rPr>
          <w:rFonts w:ascii="Simplified Arabic" w:hAnsi="Simplified Arabic"/>
          <w:sz w:val="26"/>
          <w:szCs w:val="26"/>
          <w:rtl/>
        </w:rPr>
        <w:t>فقد سجل</w:t>
      </w:r>
      <w:r w:rsidRPr="00FF283A">
        <w:rPr>
          <w:rFonts w:ascii="Simplified Arabic" w:hAnsi="Simplified Arabic" w:hint="cs"/>
          <w:sz w:val="26"/>
          <w:szCs w:val="26"/>
          <w:rtl/>
        </w:rPr>
        <w:t xml:space="preserve"> نشاط الإنشاءات في فلسطين تراجعاً بنسبة بلغت 27% بواقع (13% في الضفة الغربية، 99% في قطاع غزة)، </w:t>
      </w:r>
      <w:r w:rsidRPr="00FF283A">
        <w:rPr>
          <w:rFonts w:ascii="Simplified Arabic" w:hAnsi="Simplified Arabic"/>
          <w:sz w:val="26"/>
          <w:szCs w:val="26"/>
          <w:rtl/>
        </w:rPr>
        <w:t>نشاط الزراعة والحراجة وصيد الأسماك</w:t>
      </w:r>
      <w:r w:rsidRPr="00FF283A">
        <w:rPr>
          <w:rFonts w:ascii="Simplified Arabic" w:hAnsi="Simplified Arabic" w:hint="cs"/>
          <w:sz w:val="26"/>
          <w:szCs w:val="26"/>
          <w:rtl/>
        </w:rPr>
        <w:t xml:space="preserve"> </w:t>
      </w:r>
      <w:r w:rsidRPr="00FF283A">
        <w:rPr>
          <w:rFonts w:ascii="Simplified Arabic" w:hAnsi="Simplified Arabic"/>
          <w:sz w:val="26"/>
          <w:szCs w:val="26"/>
          <w:rtl/>
        </w:rPr>
        <w:t xml:space="preserve">بنسبة </w:t>
      </w:r>
      <w:r w:rsidRPr="00FF283A">
        <w:rPr>
          <w:rFonts w:ascii="Simplified Arabic" w:hAnsi="Simplified Arabic" w:hint="cs"/>
          <w:sz w:val="26"/>
          <w:szCs w:val="26"/>
          <w:rtl/>
        </w:rPr>
        <w:t>16</w:t>
      </w:r>
      <w:r w:rsidRPr="00FF283A">
        <w:rPr>
          <w:rFonts w:ascii="Simplified Arabic" w:hAnsi="Simplified Arabic"/>
          <w:sz w:val="26"/>
          <w:szCs w:val="26"/>
          <w:rtl/>
        </w:rPr>
        <w:t>%</w:t>
      </w:r>
      <w:r w:rsidRPr="00FF283A">
        <w:rPr>
          <w:rFonts w:ascii="Simplified Arabic" w:hAnsi="Simplified Arabic" w:hint="cs"/>
          <w:sz w:val="26"/>
          <w:szCs w:val="26"/>
          <w:rtl/>
        </w:rPr>
        <w:t xml:space="preserve"> بواقع (93% في قطاع غزة)، </w:t>
      </w:r>
      <w:r w:rsidRPr="00FF283A">
        <w:rPr>
          <w:rFonts w:ascii="Simplified Arabic" w:hAnsi="Simplified Arabic"/>
          <w:sz w:val="26"/>
          <w:szCs w:val="26"/>
          <w:rtl/>
        </w:rPr>
        <w:t xml:space="preserve">نشاط </w:t>
      </w:r>
      <w:r w:rsidRPr="00FF283A">
        <w:rPr>
          <w:rFonts w:ascii="Simplified Arabic" w:hAnsi="Simplified Arabic" w:hint="cs"/>
          <w:sz w:val="26"/>
          <w:szCs w:val="26"/>
          <w:rtl/>
        </w:rPr>
        <w:t>تجارة الجملة والتجزئة</w:t>
      </w:r>
      <w:r w:rsidRPr="00FF283A">
        <w:rPr>
          <w:rFonts w:ascii="Simplified Arabic" w:hAnsi="Simplified Arabic"/>
          <w:sz w:val="26"/>
          <w:szCs w:val="26"/>
          <w:rtl/>
        </w:rPr>
        <w:t xml:space="preserve"> بنسبة </w:t>
      </w:r>
      <w:r w:rsidRPr="00FF283A">
        <w:rPr>
          <w:rFonts w:ascii="Simplified Arabic" w:hAnsi="Simplified Arabic" w:hint="cs"/>
          <w:sz w:val="26"/>
          <w:szCs w:val="26"/>
          <w:rtl/>
        </w:rPr>
        <w:t>26</w:t>
      </w:r>
      <w:r w:rsidRPr="00FF283A">
        <w:rPr>
          <w:rFonts w:ascii="Simplified Arabic" w:hAnsi="Simplified Arabic"/>
          <w:sz w:val="26"/>
          <w:szCs w:val="26"/>
          <w:rtl/>
        </w:rPr>
        <w:t>%</w:t>
      </w:r>
      <w:r w:rsidRPr="00FF283A">
        <w:rPr>
          <w:rFonts w:ascii="Simplified Arabic" w:hAnsi="Simplified Arabic" w:hint="cs"/>
          <w:sz w:val="26"/>
          <w:szCs w:val="26"/>
          <w:rtl/>
        </w:rPr>
        <w:t xml:space="preserve"> بواقع </w:t>
      </w:r>
      <w:proofErr w:type="gramStart"/>
      <w:r w:rsidRPr="00FF283A">
        <w:rPr>
          <w:rFonts w:ascii="Simplified Arabic" w:hAnsi="Simplified Arabic" w:hint="cs"/>
          <w:sz w:val="26"/>
          <w:szCs w:val="26"/>
          <w:rtl/>
        </w:rPr>
        <w:t>( 16</w:t>
      </w:r>
      <w:proofErr w:type="gramEnd"/>
      <w:r w:rsidRPr="00FF283A">
        <w:rPr>
          <w:rFonts w:ascii="Simplified Arabic" w:hAnsi="Simplified Arabic" w:hint="cs"/>
          <w:sz w:val="26"/>
          <w:szCs w:val="26"/>
          <w:rtl/>
        </w:rPr>
        <w:t xml:space="preserve">% في الضفة الغربية، 90% في قطاع غزة).  في المقابل، شهدت بعض الأنشطة الاقتصادية في فلسطين ارتفاعاً بالمقارنة مع الربع المناظر من العام 2024. </w:t>
      </w:r>
      <w:r w:rsidRPr="00FF283A">
        <w:rPr>
          <w:rFonts w:ascii="Simplified Arabic" w:hAnsi="Simplified Arabic"/>
          <w:sz w:val="26"/>
          <w:szCs w:val="26"/>
          <w:rtl/>
        </w:rPr>
        <w:t xml:space="preserve">حيث بلغت قيمة الناتج المحلي الإجمالي خلال الربع </w:t>
      </w:r>
      <w:r w:rsidRPr="00FF283A">
        <w:rPr>
          <w:rFonts w:ascii="Simplified Arabic" w:hAnsi="Simplified Arabic" w:hint="cs"/>
          <w:sz w:val="26"/>
          <w:szCs w:val="26"/>
          <w:rtl/>
        </w:rPr>
        <w:t>الثالث</w:t>
      </w:r>
      <w:r w:rsidRPr="00FF283A">
        <w:rPr>
          <w:rFonts w:ascii="Simplified Arabic" w:hAnsi="Simplified Arabic"/>
          <w:sz w:val="26"/>
          <w:szCs w:val="26"/>
          <w:rtl/>
        </w:rPr>
        <w:t xml:space="preserve"> من العام </w:t>
      </w:r>
      <w:r w:rsidRPr="00FF283A">
        <w:rPr>
          <w:rFonts w:ascii="Simplified Arabic" w:hAnsi="Simplified Arabic" w:hint="cs"/>
          <w:sz w:val="26"/>
          <w:szCs w:val="26"/>
          <w:rtl/>
        </w:rPr>
        <w:t>2025</w:t>
      </w:r>
      <w:r w:rsidRPr="00FF283A">
        <w:rPr>
          <w:rFonts w:ascii="Simplified Arabic" w:hAnsi="Simplified Arabic"/>
          <w:sz w:val="26"/>
          <w:szCs w:val="26"/>
          <w:rtl/>
        </w:rPr>
        <w:t xml:space="preserve"> في الضفة الغربية </w:t>
      </w:r>
      <w:r w:rsidRPr="00FF283A">
        <w:rPr>
          <w:rFonts w:ascii="Simplified Arabic" w:hAnsi="Simplified Arabic"/>
          <w:sz w:val="26"/>
          <w:szCs w:val="26"/>
        </w:rPr>
        <w:t>3,026</w:t>
      </w:r>
      <w:r w:rsidRPr="00FF283A">
        <w:rPr>
          <w:rFonts w:ascii="Simplified Arabic" w:hAnsi="Simplified Arabic"/>
          <w:sz w:val="26"/>
          <w:szCs w:val="26"/>
          <w:rtl/>
        </w:rPr>
        <w:t xml:space="preserve"> مليون دولار أمريكي، وفي قطاع غزة </w:t>
      </w:r>
      <w:r w:rsidRPr="00FF283A">
        <w:rPr>
          <w:rFonts w:ascii="Simplified Arabic" w:hAnsi="Simplified Arabic"/>
          <w:sz w:val="26"/>
          <w:szCs w:val="26"/>
        </w:rPr>
        <w:t>75</w:t>
      </w:r>
      <w:r w:rsidRPr="00FF283A">
        <w:rPr>
          <w:rFonts w:ascii="Simplified Arabic" w:hAnsi="Simplified Arabic"/>
          <w:sz w:val="26"/>
          <w:szCs w:val="26"/>
          <w:rtl/>
        </w:rPr>
        <w:t xml:space="preserve"> مليون دولار أمريكي.</w:t>
      </w:r>
    </w:p>
    <w:p w:rsidR="002B0DEF" w:rsidRPr="00FF283A" w:rsidRDefault="002B0DEF" w:rsidP="002B0DEF">
      <w:pPr>
        <w:pStyle w:val="BodyText"/>
        <w:jc w:val="both"/>
        <w:rPr>
          <w:rFonts w:ascii="Simplified Arabic" w:hAnsi="Simplified Arabic"/>
          <w:sz w:val="8"/>
          <w:szCs w:val="8"/>
          <w:rtl/>
        </w:rPr>
      </w:pPr>
    </w:p>
    <w:p w:rsidR="002B0DEF" w:rsidRPr="002B0DEF" w:rsidRDefault="002B0DEF" w:rsidP="002B0DEF">
      <w:pPr>
        <w:pStyle w:val="BodyText"/>
        <w:jc w:val="both"/>
        <w:rPr>
          <w:rFonts w:ascii="Simplified Arabic" w:hAnsi="Simplified Arabic"/>
          <w:b/>
          <w:bCs/>
          <w:szCs w:val="28"/>
          <w:rtl/>
        </w:rPr>
      </w:pPr>
      <w:r w:rsidRPr="002B0DEF">
        <w:rPr>
          <w:rFonts w:ascii="Simplified Arabic" w:hAnsi="Simplified Arabic" w:hint="cs"/>
          <w:b/>
          <w:bCs/>
          <w:szCs w:val="28"/>
          <w:rtl/>
        </w:rPr>
        <w:t>استمرار التراجع الحاد في</w:t>
      </w:r>
      <w:r w:rsidRPr="002B0DEF">
        <w:rPr>
          <w:rFonts w:ascii="Simplified Arabic" w:hAnsi="Simplified Arabic"/>
          <w:b/>
          <w:bCs/>
          <w:szCs w:val="28"/>
          <w:rtl/>
        </w:rPr>
        <w:t xml:space="preserve"> نصيب الفرد من الناتج المحلي الإجمالي في فلسطين خلال الربع </w:t>
      </w:r>
      <w:r w:rsidRPr="002B0DEF">
        <w:rPr>
          <w:rFonts w:ascii="Simplified Arabic" w:hAnsi="Simplified Arabic" w:hint="cs"/>
          <w:b/>
          <w:bCs/>
          <w:szCs w:val="28"/>
          <w:rtl/>
        </w:rPr>
        <w:t>الثالث</w:t>
      </w:r>
      <w:r w:rsidRPr="002B0DEF">
        <w:rPr>
          <w:rFonts w:ascii="Simplified Arabic" w:hAnsi="Simplified Arabic"/>
          <w:b/>
          <w:bCs/>
          <w:szCs w:val="28"/>
          <w:rtl/>
        </w:rPr>
        <w:t xml:space="preserve"> </w:t>
      </w:r>
      <w:r w:rsidRPr="002B0DEF">
        <w:rPr>
          <w:rFonts w:ascii="Simplified Arabic" w:hAnsi="Simplified Arabic" w:hint="cs"/>
          <w:b/>
          <w:bCs/>
          <w:szCs w:val="28"/>
          <w:rtl/>
        </w:rPr>
        <w:t>2025</w:t>
      </w:r>
      <w:r>
        <w:rPr>
          <w:rFonts w:ascii="Simplified Arabic" w:hAnsi="Simplified Arabic" w:hint="cs"/>
          <w:b/>
          <w:bCs/>
          <w:szCs w:val="28"/>
          <w:rtl/>
        </w:rPr>
        <w:t xml:space="preserve">          </w:t>
      </w:r>
      <w:r w:rsidRPr="002B0DEF">
        <w:rPr>
          <w:rFonts w:ascii="Simplified Arabic" w:hAnsi="Simplified Arabic" w:hint="cs"/>
          <w:b/>
          <w:bCs/>
          <w:szCs w:val="28"/>
          <w:rtl/>
        </w:rPr>
        <w:t xml:space="preserve"> مقارنة مع الربع المناظر من العام 2023</w:t>
      </w:r>
    </w:p>
    <w:p w:rsidR="002B0DEF" w:rsidRPr="00FF283A" w:rsidRDefault="002B0DEF" w:rsidP="002B0DEF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FF283A">
        <w:rPr>
          <w:rFonts w:ascii="Simplified Arabic" w:hAnsi="Simplified Arabic"/>
          <w:sz w:val="26"/>
          <w:szCs w:val="26"/>
          <w:rtl/>
        </w:rPr>
        <w:t>بلغ نصيب الفرد من الناتج</w:t>
      </w:r>
      <w:r w:rsidRPr="00FF283A">
        <w:rPr>
          <w:rFonts w:ascii="Simplified Arabic" w:hAnsi="Simplified Arabic"/>
          <w:sz w:val="26"/>
          <w:szCs w:val="26"/>
        </w:rPr>
        <w:t xml:space="preserve"> </w:t>
      </w:r>
      <w:r w:rsidRPr="00FF283A">
        <w:rPr>
          <w:rFonts w:ascii="Simplified Arabic" w:hAnsi="Simplified Arabic"/>
          <w:sz w:val="26"/>
          <w:szCs w:val="26"/>
          <w:rtl/>
        </w:rPr>
        <w:t xml:space="preserve">المحلي الإجمالي في فلسطين بالأسعار الثابتة </w:t>
      </w:r>
      <w:r w:rsidRPr="00FF283A">
        <w:rPr>
          <w:rFonts w:ascii="Simplified Arabic" w:hAnsi="Simplified Arabic" w:hint="cs"/>
          <w:sz w:val="26"/>
          <w:szCs w:val="26"/>
          <w:rtl/>
        </w:rPr>
        <w:t>578</w:t>
      </w:r>
      <w:r w:rsidRPr="00FF283A">
        <w:rPr>
          <w:rFonts w:ascii="Simplified Arabic" w:hAnsi="Simplified Arabic"/>
          <w:sz w:val="26"/>
          <w:szCs w:val="26"/>
          <w:rtl/>
        </w:rPr>
        <w:t xml:space="preserve"> دولار أمريكي خلال الربع </w:t>
      </w:r>
      <w:r w:rsidRPr="00FF283A">
        <w:rPr>
          <w:rFonts w:ascii="Simplified Arabic" w:hAnsi="Simplified Arabic" w:hint="cs"/>
          <w:sz w:val="26"/>
          <w:szCs w:val="26"/>
          <w:rtl/>
        </w:rPr>
        <w:t>الثالث</w:t>
      </w:r>
      <w:r w:rsidRPr="00FF283A">
        <w:rPr>
          <w:rFonts w:ascii="Simplified Arabic" w:hAnsi="Simplified Arabic"/>
          <w:sz w:val="26"/>
          <w:szCs w:val="26"/>
          <w:rtl/>
        </w:rPr>
        <w:t xml:space="preserve"> من العام </w:t>
      </w:r>
      <w:r w:rsidRPr="00FF283A">
        <w:rPr>
          <w:rFonts w:ascii="Simplified Arabic" w:hAnsi="Simplified Arabic" w:hint="cs"/>
          <w:sz w:val="26"/>
          <w:szCs w:val="26"/>
          <w:rtl/>
        </w:rPr>
        <w:t xml:space="preserve">2025، حيث سجل نصيب الفرد من الناتج </w:t>
      </w:r>
      <w:bookmarkStart w:id="0" w:name="_GoBack"/>
      <w:bookmarkEnd w:id="0"/>
      <w:r w:rsidRPr="00FF283A">
        <w:rPr>
          <w:rFonts w:ascii="Simplified Arabic" w:hAnsi="Simplified Arabic" w:hint="cs"/>
          <w:sz w:val="26"/>
          <w:szCs w:val="26"/>
          <w:rtl/>
        </w:rPr>
        <w:t xml:space="preserve">المحلي الإجمالي في فلسطين تراجعاً نسبته </w:t>
      </w:r>
      <w:r>
        <w:rPr>
          <w:rFonts w:ascii="Simplified Arabic" w:hAnsi="Simplified Arabic" w:hint="cs"/>
          <w:sz w:val="26"/>
          <w:szCs w:val="26"/>
          <w:rtl/>
        </w:rPr>
        <w:t>29</w:t>
      </w:r>
      <w:r w:rsidRPr="00FF283A">
        <w:rPr>
          <w:rFonts w:ascii="Simplified Arabic" w:hAnsi="Simplified Arabic" w:hint="cs"/>
          <w:sz w:val="26"/>
          <w:szCs w:val="26"/>
          <w:rtl/>
        </w:rPr>
        <w:t>% وذلك خلال الربع الثالث من العام 2025 مقارنةً مع الربع المناظر من العام 2023 بواقع (</w:t>
      </w:r>
      <w:r>
        <w:rPr>
          <w:rFonts w:ascii="Simplified Arabic" w:hAnsi="Simplified Arabic" w:hint="cs"/>
          <w:sz w:val="26"/>
          <w:szCs w:val="26"/>
          <w:rtl/>
        </w:rPr>
        <w:t>18</w:t>
      </w:r>
      <w:r w:rsidRPr="00FF283A">
        <w:rPr>
          <w:rFonts w:ascii="Simplified Arabic" w:hAnsi="Simplified Arabic" w:hint="cs"/>
          <w:sz w:val="26"/>
          <w:szCs w:val="26"/>
          <w:rtl/>
        </w:rPr>
        <w:t xml:space="preserve">% في الضفة الغربية، 89% في قطاع غزة). كما سجل نصيب الفرد من الناتج المحلي الإجمالي في فلسطين انخفاضاً طفيفاً خلال الربع الثالث من العام 2025 مقارنة </w:t>
      </w:r>
      <w:r w:rsidRPr="00FF283A">
        <w:rPr>
          <w:rFonts w:ascii="Simplified Arabic" w:hAnsi="Simplified Arabic"/>
          <w:sz w:val="26"/>
          <w:szCs w:val="26"/>
          <w:rtl/>
        </w:rPr>
        <w:t xml:space="preserve">مع الربع </w:t>
      </w:r>
      <w:r w:rsidRPr="00FF283A">
        <w:rPr>
          <w:rFonts w:ascii="Simplified Arabic" w:hAnsi="Simplified Arabic" w:hint="cs"/>
          <w:sz w:val="26"/>
          <w:szCs w:val="26"/>
          <w:rtl/>
        </w:rPr>
        <w:t>المناظر من العام 2024.</w:t>
      </w:r>
    </w:p>
    <w:p w:rsidR="002B0DEF" w:rsidRPr="002B0DEF" w:rsidRDefault="002B0DEF" w:rsidP="002B0DEF">
      <w:pPr>
        <w:pStyle w:val="BodyText"/>
        <w:jc w:val="both"/>
        <w:rPr>
          <w:rFonts w:ascii="Simplified Arabic" w:hAnsi="Simplified Arabic"/>
          <w:sz w:val="8"/>
          <w:szCs w:val="8"/>
        </w:rPr>
      </w:pPr>
    </w:p>
    <w:p w:rsidR="002B0DEF" w:rsidRPr="00FF283A" w:rsidRDefault="002B0DEF" w:rsidP="002B0DEF">
      <w:pPr>
        <w:pStyle w:val="BodyText"/>
        <w:jc w:val="center"/>
        <w:rPr>
          <w:rFonts w:ascii="Simplified Arabic" w:hAnsi="Simplified Arabic"/>
          <w:b/>
          <w:bCs/>
          <w:szCs w:val="28"/>
          <w:rtl/>
        </w:rPr>
      </w:pPr>
      <w:r w:rsidRPr="00FF283A">
        <w:rPr>
          <w:rFonts w:ascii="Simplified Arabic" w:hAnsi="Simplified Arabic"/>
          <w:b/>
          <w:bCs/>
          <w:szCs w:val="28"/>
          <w:rtl/>
        </w:rPr>
        <w:t>الاتجاه العام للناتج المحلي الإجمالي حسب الربع في فلسطين بالأسعار الثابتة، 202</w:t>
      </w:r>
      <w:r w:rsidRPr="00FF283A">
        <w:rPr>
          <w:rFonts w:ascii="Simplified Arabic" w:hAnsi="Simplified Arabic" w:hint="cs"/>
          <w:b/>
          <w:bCs/>
          <w:szCs w:val="28"/>
          <w:rtl/>
        </w:rPr>
        <w:t>1</w:t>
      </w:r>
      <w:r w:rsidRPr="00FF283A">
        <w:rPr>
          <w:rFonts w:ascii="Simplified Arabic" w:hAnsi="Simplified Arabic"/>
          <w:b/>
          <w:bCs/>
          <w:szCs w:val="28"/>
          <w:rtl/>
        </w:rPr>
        <w:t>-</w:t>
      </w:r>
      <w:r w:rsidRPr="00FF283A">
        <w:rPr>
          <w:rFonts w:ascii="Simplified Arabic" w:hAnsi="Simplified Arabic" w:hint="cs"/>
          <w:b/>
          <w:bCs/>
          <w:szCs w:val="28"/>
          <w:rtl/>
        </w:rPr>
        <w:t xml:space="preserve"> 2025</w:t>
      </w:r>
    </w:p>
    <w:p w:rsidR="002B0DEF" w:rsidRPr="00FF283A" w:rsidRDefault="002B0DEF" w:rsidP="002B0DEF">
      <w:pPr>
        <w:ind w:firstLine="720"/>
        <w:rPr>
          <w:sz w:val="16"/>
          <w:szCs w:val="16"/>
          <w:rtl/>
          <w:lang w:eastAsia="en-US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2B0DEF" w:rsidRPr="00FF283A" w:rsidTr="002B0DEF">
        <w:trPr>
          <w:trHeight w:val="3461"/>
          <w:jc w:val="center"/>
        </w:trPr>
        <w:tc>
          <w:tcPr>
            <w:tcW w:w="9016" w:type="dxa"/>
          </w:tcPr>
          <w:p w:rsidR="002B0DEF" w:rsidRPr="00FF283A" w:rsidRDefault="002B0DEF" w:rsidP="002B0DEF">
            <w:pPr>
              <w:pStyle w:val="BodyText"/>
              <w:rPr>
                <w:rFonts w:ascii="Simplified Arabic" w:hAnsi="Simplified Arabic"/>
                <w:b/>
                <w:bCs/>
                <w:sz w:val="26"/>
                <w:szCs w:val="26"/>
                <w:rtl/>
              </w:rPr>
            </w:pPr>
            <w:r w:rsidRPr="00FF283A">
              <w:rPr>
                <w:rFonts w:ascii="Simplified Arabic" w:hAnsi="Simplified Arabic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1F3C6C66" wp14:editId="6C1743FE">
                  <wp:extent cx="5482590" cy="213360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9A49DC" w:rsidRDefault="009A49DC"/>
    <w:sectPr w:rsidR="009A49DC" w:rsidSect="002B0DEF">
      <w:pgSz w:w="12240" w:h="15840"/>
      <w:pgMar w:top="540" w:right="1080" w:bottom="1080" w:left="1080" w:header="9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7B" w:rsidRDefault="0069057B" w:rsidP="002B0DEF">
      <w:r>
        <w:separator/>
      </w:r>
    </w:p>
  </w:endnote>
  <w:endnote w:type="continuationSeparator" w:id="0">
    <w:p w:rsidR="0069057B" w:rsidRDefault="0069057B" w:rsidP="002B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7B" w:rsidRDefault="0069057B" w:rsidP="002B0DEF">
      <w:r>
        <w:separator/>
      </w:r>
    </w:p>
  </w:footnote>
  <w:footnote w:type="continuationSeparator" w:id="0">
    <w:p w:rsidR="0069057B" w:rsidRDefault="0069057B" w:rsidP="002B0DEF">
      <w:r>
        <w:continuationSeparator/>
      </w:r>
    </w:p>
  </w:footnote>
  <w:footnote w:id="1">
    <w:p w:rsidR="002B0DEF" w:rsidRPr="00227CEB" w:rsidRDefault="002B0DEF" w:rsidP="002B0DEF">
      <w:pPr>
        <w:pStyle w:val="FootnoteText"/>
        <w:bidi/>
        <w:rPr>
          <w:rFonts w:ascii="Simplified Arabic" w:hAnsi="Simplified Arabic"/>
          <w:sz w:val="22"/>
          <w:szCs w:val="22"/>
          <w:lang w:val="en-US" w:bidi="ar-SA"/>
        </w:rPr>
      </w:pPr>
      <w:r w:rsidRPr="00227CEB">
        <w:rPr>
          <w:rFonts w:ascii="Simplified Arabic" w:hAnsi="Simplified Arabic"/>
          <w:sz w:val="22"/>
          <w:szCs w:val="22"/>
          <w:lang w:val="en-US"/>
        </w:rPr>
        <w:t xml:space="preserve"> </w:t>
      </w:r>
      <w:r w:rsidRPr="00227CEB">
        <w:rPr>
          <w:rStyle w:val="FootnoteReference"/>
          <w:rFonts w:ascii="Simplified Arabic" w:hAnsi="Simplified Arabic"/>
          <w:sz w:val="22"/>
          <w:szCs w:val="22"/>
        </w:rPr>
        <w:footnoteRef/>
      </w:r>
      <w:r w:rsidRPr="00227CEB">
        <w:rPr>
          <w:rFonts w:ascii="Simplified Arabic" w:hAnsi="Simplified Arabic"/>
          <w:sz w:val="22"/>
          <w:szCs w:val="22"/>
        </w:rPr>
        <w:t xml:space="preserve"> </w:t>
      </w:r>
      <w:r w:rsidRPr="00227CEB">
        <w:rPr>
          <w:rFonts w:ascii="Simplified Arabic" w:hAnsi="Simplified Arabic"/>
          <w:sz w:val="22"/>
          <w:szCs w:val="22"/>
          <w:rtl/>
          <w:lang w:val="en-US"/>
        </w:rPr>
        <w:t xml:space="preserve">البيانات لا تشمل </w:t>
      </w:r>
      <w:r w:rsidRPr="00227CEB">
        <w:rPr>
          <w:rFonts w:ascii="Simplified Arabic" w:hAnsi="Simplified Arabic"/>
          <w:sz w:val="22"/>
          <w:szCs w:val="22"/>
          <w:rtl/>
        </w:rPr>
        <w:t>ذلك الجزء من محافظة القدس والذي ضمه الاحتلال الإسرائيلي إليه عنوة بعيد احتلاله للضفة الغربية عام 1967.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EF"/>
    <w:rsid w:val="002B0DEF"/>
    <w:rsid w:val="0069057B"/>
    <w:rsid w:val="009A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59425"/>
  <w15:chartTrackingRefBased/>
  <w15:docId w15:val="{88F4C6DB-F804-45FA-B22C-58F8854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2B0DEF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0DEF"/>
    <w:rPr>
      <w:rFonts w:ascii="Times New Roman" w:eastAsia="Times New Roman" w:hAnsi="Times New Roman" w:cs="Simplified Arabic"/>
      <w:b/>
      <w:bCs/>
      <w:sz w:val="20"/>
      <w:szCs w:val="44"/>
    </w:rPr>
  </w:style>
  <w:style w:type="paragraph" w:styleId="BodyText">
    <w:name w:val="Body Text"/>
    <w:basedOn w:val="Normal"/>
    <w:link w:val="BodyTextChar"/>
    <w:rsid w:val="002B0DEF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B0DEF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2B0DE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B0DEF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2B0DEF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table" w:styleId="TableGrid">
    <w:name w:val="Table Grid"/>
    <w:basedOn w:val="TableNormal"/>
    <w:uiPriority w:val="59"/>
    <w:rsid w:val="002B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0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196060620983879E-2"/>
          <c:y val="7.644122609673791E-2"/>
          <c:w val="0.86411075787173586"/>
          <c:h val="0.6587416156314872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9803104007412557E-2"/>
                  <c:y val="-0.208333333333333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186240444753317E-2"/>
                      <c:h val="9.050618672665916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BD9-4A07-AA9F-214957DD0D1F}"/>
                </c:ext>
              </c:extLst>
            </c:dLbl>
            <c:dLbl>
              <c:idx val="18"/>
              <c:layout>
                <c:manualLayout>
                  <c:x val="-5.5594162612925713E-2"/>
                  <c:y val="-8.928571428571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D9-4A07-AA9F-214957DD0D1F}"/>
                </c:ext>
              </c:extLst>
            </c:dLbl>
            <c:dLbl>
              <c:idx val="19"/>
              <c:layout>
                <c:manualLayout>
                  <c:x val="-6.0227009497336122E-2"/>
                  <c:y val="-8.928571428571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D9-4A07-AA9F-214957DD0D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Sheet1!$A$3:$B$21</c:f>
              <c:multiLvlStrCache>
                <c:ptCount val="19"/>
                <c:lvl>
                  <c:pt idx="0">
                    <c:v>الربع الثالث</c:v>
                  </c:pt>
                  <c:pt idx="1">
                    <c:v>الربع الثاني </c:v>
                  </c:pt>
                  <c:pt idx="2">
                    <c:v>الربع الأول</c:v>
                  </c:pt>
                  <c:pt idx="3">
                    <c:v>الربع الرابع</c:v>
                  </c:pt>
                  <c:pt idx="4">
                    <c:v>الربع الثالث</c:v>
                  </c:pt>
                  <c:pt idx="5">
                    <c:v>الربع الثاني </c:v>
                  </c:pt>
                  <c:pt idx="6">
                    <c:v>الربع الأول</c:v>
                  </c:pt>
                  <c:pt idx="7">
                    <c:v>الربع الرابع</c:v>
                  </c:pt>
                  <c:pt idx="8">
                    <c:v>الربع الثالث</c:v>
                  </c:pt>
                  <c:pt idx="9">
                    <c:v>الربع الثاني </c:v>
                  </c:pt>
                  <c:pt idx="10">
                    <c:v>الربع الأول</c:v>
                  </c:pt>
                  <c:pt idx="11">
                    <c:v>الربع الرابع</c:v>
                  </c:pt>
                  <c:pt idx="12">
                    <c:v>الربع الثالث</c:v>
                  </c:pt>
                  <c:pt idx="13">
                    <c:v>الربع الثاني </c:v>
                  </c:pt>
                  <c:pt idx="14">
                    <c:v>الربع الأول</c:v>
                  </c:pt>
                  <c:pt idx="15">
                    <c:v>الربع الرابع</c:v>
                  </c:pt>
                  <c:pt idx="16">
                    <c:v>الربع الثالث</c:v>
                  </c:pt>
                  <c:pt idx="17">
                    <c:v>الربع الثاني </c:v>
                  </c:pt>
                  <c:pt idx="18">
                    <c:v>الربع الأول</c:v>
                  </c:pt>
                </c:lvl>
                <c:lvl>
                  <c:pt idx="0">
                    <c:v>2025</c:v>
                  </c:pt>
                  <c:pt idx="3">
                    <c:v>2024</c:v>
                  </c:pt>
                  <c:pt idx="7">
                    <c:v>2023</c:v>
                  </c:pt>
                  <c:pt idx="11">
                    <c:v>2022</c:v>
                  </c:pt>
                  <c:pt idx="15">
                    <c:v>2021</c:v>
                  </c:pt>
                </c:lvl>
              </c:multiLvlStrCache>
            </c:multiLvlStrRef>
          </c:cat>
          <c:val>
            <c:numRef>
              <c:f>Sheet1!$C$3:$C$21</c:f>
              <c:numCache>
                <c:formatCode>0.0</c:formatCode>
                <c:ptCount val="19"/>
                <c:pt idx="0">
                  <c:v>3101.4</c:v>
                </c:pt>
                <c:pt idx="1">
                  <c:v>3043</c:v>
                </c:pt>
                <c:pt idx="2">
                  <c:v>3103.3999999999996</c:v>
                </c:pt>
                <c:pt idx="3">
                  <c:v>3114.6</c:v>
                </c:pt>
                <c:pt idx="4">
                  <c:v>3058.0000000000005</c:v>
                </c:pt>
                <c:pt idx="5">
                  <c:v>2947.7000000000003</c:v>
                </c:pt>
                <c:pt idx="6">
                  <c:v>2823.7</c:v>
                </c:pt>
                <c:pt idx="7">
                  <c:v>2982.2</c:v>
                </c:pt>
                <c:pt idx="8">
                  <c:v>4216</c:v>
                </c:pt>
                <c:pt idx="9">
                  <c:v>4151.3999999999996</c:v>
                </c:pt>
                <c:pt idx="10">
                  <c:v>4133.4000000000005</c:v>
                </c:pt>
                <c:pt idx="11">
                  <c:v>4028.2</c:v>
                </c:pt>
                <c:pt idx="12">
                  <c:v>3916.0000000000005</c:v>
                </c:pt>
                <c:pt idx="13">
                  <c:v>3867.6000000000004</c:v>
                </c:pt>
                <c:pt idx="14">
                  <c:v>3823.2000000000003</c:v>
                </c:pt>
                <c:pt idx="15">
                  <c:v>3935.3</c:v>
                </c:pt>
                <c:pt idx="16">
                  <c:v>3739.2</c:v>
                </c:pt>
                <c:pt idx="17">
                  <c:v>3735.7999999999997</c:v>
                </c:pt>
                <c:pt idx="18">
                  <c:v>3611.4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BD9-4A07-AA9F-214957DD0D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097472"/>
        <c:axId val="165099008"/>
      </c:lineChart>
      <c:catAx>
        <c:axId val="16509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ar-SA" sz="900"/>
            </a:pPr>
            <a:endParaRPr lang="en-US"/>
          </a:p>
        </c:txPr>
        <c:crossAx val="165099008"/>
        <c:crosses val="autoZero"/>
        <c:auto val="1"/>
        <c:lblAlgn val="ctr"/>
        <c:lblOffset val="100"/>
        <c:noMultiLvlLbl val="0"/>
      </c:catAx>
      <c:valAx>
        <c:axId val="165099008"/>
        <c:scaling>
          <c:orientation val="minMax"/>
          <c:max val="700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165097472"/>
        <c:crosses val="max"/>
        <c:crossBetween val="between"/>
        <c:majorUnit val="1000"/>
      </c:valAx>
      <c:spPr>
        <a:ln>
          <a:noFill/>
        </a:ln>
      </c:spPr>
    </c:plotArea>
    <c:plotVisOnly val="1"/>
    <c:dispBlanksAs val="zero"/>
    <c:showDLblsOverMax val="0"/>
  </c:chart>
  <c:spPr>
    <a:ln w="6350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Badran</dc:creator>
  <cp:keywords/>
  <dc:description/>
  <cp:lastModifiedBy>Hadeel Badran</cp:lastModifiedBy>
  <cp:revision>1</cp:revision>
  <dcterms:created xsi:type="dcterms:W3CDTF">2026-01-13T12:12:00Z</dcterms:created>
  <dcterms:modified xsi:type="dcterms:W3CDTF">2026-01-13T12:16:00Z</dcterms:modified>
</cp:coreProperties>
</file>