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64" w:rsidRPr="00B226FC" w:rsidRDefault="00E40379" w:rsidP="00B226FC">
      <w:pPr>
        <w:pStyle w:val="Title"/>
        <w:rPr>
          <w:rFonts w:ascii="Simplified Arabic" w:hAnsi="Simplified Arabic"/>
          <w:b w:val="0"/>
          <w:bCs w:val="0"/>
          <w:color w:val="000000" w:themeColor="text1"/>
          <w:sz w:val="32"/>
          <w:szCs w:val="32"/>
          <w:rtl/>
          <w:lang w:bidi="ar-JO"/>
        </w:rPr>
      </w:pPr>
      <w:r w:rsidRPr="00B226FC">
        <w:rPr>
          <w:rFonts w:ascii="Simplified Arabic" w:hAnsi="Simplified Arabic"/>
          <w:color w:val="000000" w:themeColor="text1"/>
          <w:sz w:val="32"/>
          <w:szCs w:val="32"/>
          <w:rtl/>
        </w:rPr>
        <w:t>الإحصاء الفل</w:t>
      </w:r>
      <w:r w:rsidR="00427CB0" w:rsidRPr="00B226FC">
        <w:rPr>
          <w:rFonts w:ascii="Simplified Arabic" w:hAnsi="Simplified Arabic"/>
          <w:color w:val="000000" w:themeColor="text1"/>
          <w:sz w:val="32"/>
          <w:szCs w:val="32"/>
          <w:rtl/>
        </w:rPr>
        <w:t xml:space="preserve">سطيني يصدر بياناً صحفياً </w:t>
      </w:r>
      <w:r w:rsidR="00AA251F">
        <w:rPr>
          <w:rFonts w:ascii="Simplified Arabic" w:hAnsi="Simplified Arabic" w:hint="cs"/>
          <w:color w:val="000000" w:themeColor="text1"/>
          <w:sz w:val="32"/>
          <w:szCs w:val="32"/>
          <w:rtl/>
        </w:rPr>
        <w:t>ب</w:t>
      </w:r>
      <w:bookmarkStart w:id="0" w:name="_GoBack"/>
      <w:bookmarkEnd w:id="0"/>
      <w:r w:rsidR="00D40BF7" w:rsidRPr="00B226FC">
        <w:rPr>
          <w:rFonts w:ascii="Simplified Arabic" w:hAnsi="Simplified Arabic" w:hint="cs"/>
          <w:color w:val="000000" w:themeColor="text1"/>
          <w:sz w:val="32"/>
          <w:szCs w:val="32"/>
          <w:rtl/>
        </w:rPr>
        <w:t>مناسبة</w:t>
      </w:r>
      <w:r w:rsidR="00427CB0" w:rsidRPr="00B226FC">
        <w:rPr>
          <w:rFonts w:ascii="Simplified Arabic" w:hAnsi="Simplified Arabic" w:hint="cs"/>
          <w:color w:val="000000" w:themeColor="text1"/>
          <w:sz w:val="32"/>
          <w:szCs w:val="32"/>
          <w:rtl/>
        </w:rPr>
        <w:t xml:space="preserve"> اليوم العالمي </w:t>
      </w:r>
      <w:r w:rsidR="005429E0" w:rsidRPr="00B226FC">
        <w:rPr>
          <w:rFonts w:ascii="Simplified Arabic" w:hAnsi="Simplified Arabic" w:hint="cs"/>
          <w:color w:val="000000" w:themeColor="text1"/>
          <w:sz w:val="32"/>
          <w:szCs w:val="32"/>
          <w:rtl/>
        </w:rPr>
        <w:t>للإسكان</w:t>
      </w:r>
      <w:r w:rsidR="00427CB0" w:rsidRPr="00B226FC">
        <w:rPr>
          <w:rFonts w:ascii="Simplified Arabic" w:hAnsi="Simplified Arabic" w:hint="cs"/>
          <w:color w:val="000000" w:themeColor="text1"/>
          <w:sz w:val="32"/>
          <w:szCs w:val="32"/>
          <w:rtl/>
        </w:rPr>
        <w:t xml:space="preserve"> و</w:t>
      </w:r>
      <w:r w:rsidRPr="00B226FC">
        <w:rPr>
          <w:rFonts w:ascii="Simplified Arabic" w:hAnsi="Simplified Arabic"/>
          <w:color w:val="000000" w:themeColor="text1"/>
          <w:sz w:val="32"/>
          <w:szCs w:val="32"/>
          <w:rtl/>
        </w:rPr>
        <w:t>يوم الإسكان العربي بعنوان:</w:t>
      </w:r>
      <w:r w:rsidR="00B226FC">
        <w:rPr>
          <w:rFonts w:ascii="Simplified Arabic" w:hAnsi="Simplified Arabic" w:hint="cs"/>
          <w:color w:val="000000" w:themeColor="text1"/>
          <w:sz w:val="32"/>
          <w:szCs w:val="32"/>
          <w:rtl/>
        </w:rPr>
        <w:t xml:space="preserve"> </w:t>
      </w:r>
      <w:r w:rsidRPr="00B226FC">
        <w:rPr>
          <w:rFonts w:ascii="Simplified Arabic" w:hAnsi="Simplified Arabic"/>
          <w:color w:val="000000" w:themeColor="text1"/>
          <w:sz w:val="32"/>
          <w:szCs w:val="32"/>
          <w:shd w:val="clear" w:color="auto" w:fill="FFFFFF"/>
          <w:rtl/>
          <w:lang w:bidi="ar-JO"/>
        </w:rPr>
        <w:t>"</w:t>
      </w:r>
      <w:r w:rsidR="003A09FB" w:rsidRPr="00B226FC">
        <w:rPr>
          <w:rFonts w:ascii="Simplified Arabic" w:hAnsi="Simplified Arabic" w:hint="cs"/>
          <w:color w:val="000000" w:themeColor="text1"/>
          <w:sz w:val="32"/>
          <w:szCs w:val="32"/>
          <w:shd w:val="clear" w:color="auto" w:fill="FFFFFF"/>
          <w:rtl/>
          <w:lang w:bidi="ar-JO"/>
        </w:rPr>
        <w:t xml:space="preserve"> </w:t>
      </w:r>
      <w:r w:rsidRPr="00B226FC">
        <w:rPr>
          <w:rFonts w:ascii="Simplified Arabic" w:hAnsi="Simplified Arabic"/>
          <w:color w:val="000000" w:themeColor="text1"/>
          <w:sz w:val="32"/>
          <w:szCs w:val="32"/>
          <w:shd w:val="clear" w:color="auto" w:fill="FFFFFF"/>
          <w:rtl/>
          <w:lang w:bidi="ar-JO"/>
        </w:rPr>
        <w:t>تطوير الفكر المجتمعي لمكونات السكن المعاصر"</w:t>
      </w:r>
    </w:p>
    <w:p w:rsidR="00A26EC4" w:rsidRPr="00776CA2" w:rsidRDefault="00A26EC4" w:rsidP="0017338C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A26EC4" w:rsidRPr="00B226FC" w:rsidRDefault="00593E0F" w:rsidP="005429E0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يصادف</w:t>
      </w:r>
      <w:r w:rsidR="00A26EC4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يوم الاثنين الأول من شهر تشرين أول من كل عام </w:t>
      </w:r>
      <w:r w:rsidR="00145F13" w:rsidRPr="00B226FC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اليوم العالمي </w:t>
      </w:r>
      <w:r w:rsidR="005429E0" w:rsidRPr="00B226FC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للإسكان</w:t>
      </w:r>
      <w:r w:rsidR="00145F1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حسب توصيات الأمم المتحدة</w:t>
      </w:r>
      <w:r w:rsidR="006907B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145F1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C2FC8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</w:t>
      </w:r>
      <w:r w:rsidR="00145F13" w:rsidRPr="00B226FC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و</w:t>
      </w:r>
      <w:r w:rsidR="00A26EC4" w:rsidRPr="00B226F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يوم</w:t>
      </w:r>
      <w:r w:rsidR="00A26EC4" w:rsidRPr="00B226F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</w:t>
      </w:r>
      <w:r w:rsidR="00A26EC4" w:rsidRPr="00B226F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الإسكان العربي </w:t>
      </w:r>
      <w:r w:rsidR="00902D8D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بناء</w:t>
      </w:r>
      <w:r w:rsidR="00902D8D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ً</w:t>
      </w:r>
      <w:r w:rsidR="00A26EC4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على قرار مجلس وزراء الإسكان والتعمير</w:t>
      </w:r>
      <w:r w:rsidR="00A26EC4"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A26EC4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العرب، </w:t>
      </w:r>
      <w:r w:rsidR="007B4A14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أقر </w:t>
      </w:r>
      <w:r w:rsidR="00F4248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المجلس</w:t>
      </w:r>
      <w:r w:rsidR="00EA4105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</w:t>
      </w:r>
      <w:r w:rsidR="00A26EC4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 يكون</w:t>
      </w:r>
      <w:r w:rsidR="00EA4105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شعار يوم الاسكان العربي للعام 2022 </w:t>
      </w:r>
      <w:r w:rsidR="00A26EC4" w:rsidRPr="00B226F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"</w:t>
      </w:r>
      <w:r w:rsidR="00EA4105" w:rsidRPr="00B226F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shd w:val="clear" w:color="auto" w:fill="FFFFFF"/>
          <w:rtl/>
          <w:lang w:bidi="ar-JO"/>
        </w:rPr>
        <w:t xml:space="preserve"> تطوير الفكر المجتمعي لمكونات</w:t>
      </w:r>
      <w:r w:rsidR="00714D72" w:rsidRPr="00B226FC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shd w:val="clear" w:color="auto" w:fill="FFFFFF"/>
          <w:rtl/>
          <w:lang w:bidi="ar-JO"/>
        </w:rPr>
        <w:t xml:space="preserve"> </w:t>
      </w:r>
      <w:r w:rsidR="00EA4105" w:rsidRPr="00B226F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shd w:val="clear" w:color="auto" w:fill="FFFFFF"/>
          <w:rtl/>
          <w:lang w:bidi="ar-JO"/>
        </w:rPr>
        <w:t>السكن المعاصر</w:t>
      </w:r>
      <w:r w:rsidR="00A26EC4" w:rsidRPr="00B226F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".</w:t>
      </w:r>
    </w:p>
    <w:p w:rsidR="00E2602B" w:rsidRPr="00B226FC" w:rsidRDefault="00C8742E" w:rsidP="00A93407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وفي هاتين</w:t>
      </w:r>
      <w:r w:rsidR="00971F1D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المناسب</w:t>
      </w:r>
      <w:r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تين</w:t>
      </w:r>
      <w:r w:rsidR="00971F1D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يستعرض الجهاز المركزي للإحصاء الفلسط</w:t>
      </w:r>
      <w:r w:rsidR="00A93407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يني أهم مؤشرات ظروف السكن</w:t>
      </w:r>
      <w:r w:rsidR="00A93407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D7372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في فلسطين </w:t>
      </w:r>
      <w:r w:rsidR="00971F1D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ذات العلاقة بمؤشرات التنمية المستدامة</w:t>
      </w:r>
      <w:r w:rsidR="00971F1D"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</w:p>
    <w:p w:rsidR="00F54E18" w:rsidRPr="00B226FC" w:rsidRDefault="00F54E18" w:rsidP="002032FC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E2602B" w:rsidRPr="00B226FC" w:rsidRDefault="00206B95" w:rsidP="00B226FC">
      <w:pPr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عدد السكان المقدر منتصف عام </w:t>
      </w:r>
      <w:r w:rsidRPr="00B226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2022</w:t>
      </w: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في فلسطين حوالي </w:t>
      </w:r>
      <w:r w:rsidRPr="00B226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5</w:t>
      </w: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.</w:t>
      </w:r>
      <w:r w:rsidRPr="00B226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35</w:t>
      </w: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مليون نسمة</w:t>
      </w:r>
    </w:p>
    <w:p w:rsidR="00E2602B" w:rsidRDefault="00E2602B" w:rsidP="00B226FC">
      <w:pPr>
        <w:spacing w:after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تشير إسقاطات السكان أن عدد السكان المقدر منتصف عام </w:t>
      </w:r>
      <w:r w:rsidR="00D44121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2022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فلسطين </w:t>
      </w:r>
      <w:r w:rsidR="00141DBD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بلغ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حوالي </w:t>
      </w:r>
      <w:r w:rsidR="00D44121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D44121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35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مليون نسمة، و</w:t>
      </w:r>
      <w:r w:rsidR="00206B95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تشير نتائج التعداد 2017 أن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نسبة السكان الحضر</w:t>
      </w:r>
      <w:r w:rsidR="00206B95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فلسطين 77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206B95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%، ونسبة السكان المقيمين في الريف </w:t>
      </w:r>
      <w:r w:rsidR="00206B95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14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206B95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%، في حين بلغت نسبتهم في المخيمات </w:t>
      </w:r>
      <w:r w:rsidR="00206B95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EA306E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%، وبلغت الكثافة السكانية المقدرة منتصف العام </w:t>
      </w:r>
      <w:r w:rsidR="00D44121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2022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نحو </w:t>
      </w:r>
      <w:r w:rsidR="00D44121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889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فرداً/ كم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  <w:rtl/>
        </w:rPr>
        <w:t>2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فلسطين</w:t>
      </w:r>
      <w:r w:rsidR="00A5067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</w:t>
      </w:r>
      <w:r w:rsidR="0042798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(563 </w:t>
      </w:r>
      <w:r w:rsidR="0042798C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فرداً/ كم</w:t>
      </w:r>
      <w:r w:rsidR="0042798C" w:rsidRPr="00B226FC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  <w:rtl/>
        </w:rPr>
        <w:t>2</w:t>
      </w:r>
      <w:r w:rsidR="0042798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الضفة الغربية مقابل </w:t>
      </w:r>
      <w:r w:rsidR="00A5067B"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>5,936</w:t>
      </w:r>
      <w:r w:rsidR="0042798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2798C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فرداً/ كم</w:t>
      </w:r>
      <w:r w:rsidR="0042798C" w:rsidRPr="00B226FC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  <w:rtl/>
        </w:rPr>
        <w:t>2</w:t>
      </w:r>
      <w:r w:rsidR="0042798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قطاع غزة)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B226FC" w:rsidRPr="00B226FC" w:rsidRDefault="00B226FC" w:rsidP="00B226FC">
      <w:pPr>
        <w:spacing w:after="0"/>
        <w:jc w:val="both"/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</w:pPr>
    </w:p>
    <w:p w:rsidR="00F54E18" w:rsidRPr="00B226FC" w:rsidRDefault="00F54E18" w:rsidP="00A46AB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D9692F" w:rsidRPr="00B226FC" w:rsidRDefault="00B1613B" w:rsidP="00B226FC">
      <w:pPr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B226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78</w:t>
      </w:r>
      <w:r w:rsidR="00540B36" w:rsidRPr="00B226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.0</w:t>
      </w:r>
      <w:r w:rsidR="00F6661D"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% من الأسر في فلسطين تسكن مساكن ملك لأحد أفراد الأسرة المقيم فيها</w:t>
      </w:r>
    </w:p>
    <w:p w:rsidR="00F6661D" w:rsidRPr="00B226FC" w:rsidRDefault="00F6661D" w:rsidP="00B226FC">
      <w:pPr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78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الأسر حيازة مسكنها ملك لأحد أفراد الأسرة، وعلى مستوى 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المنطقة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تتوزع هذه النسبة بواقع 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82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الضفة الغربية و71.2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قطاع غزة</w:t>
      </w:r>
      <w:r w:rsidR="00D9692F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العام 2020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B1613B" w:rsidRPr="00B226FC" w:rsidRDefault="00B1613B" w:rsidP="00B226FC">
      <w:pPr>
        <w:spacing w:after="0"/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F6661D" w:rsidRDefault="00F6661D" w:rsidP="00B226FC">
      <w:pPr>
        <w:spacing w:after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كما بلغت نسبة الأسر التي تسكن مساكن مستأجرة</w:t>
      </w:r>
      <w:r w:rsidR="009135D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فلسطين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="00B1613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.8%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.0% في 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الضفة الغربية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مقابل 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قطاع غزة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)، ونسبة الأسر الفلسطينية التي تسكن مساكن دون مقابل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ومقابل عمل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15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.2%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1613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</w:t>
      </w:r>
      <w:r w:rsidR="00B1613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B1613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الضفة الغربية</w:t>
      </w:r>
      <w:r w:rsidR="00B1613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مقابل 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23</w:t>
      </w:r>
      <w:r w:rsidR="00B1613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</w:t>
      </w:r>
      <w:r w:rsidR="00B1613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قطاع غزة</w:t>
      </w:r>
      <w:r w:rsidR="00B1613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="00B1613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B226FC" w:rsidRPr="00B226FC" w:rsidRDefault="00B226FC" w:rsidP="00B226FC">
      <w:pPr>
        <w:spacing w:after="0"/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F6661D" w:rsidRPr="00B226FC" w:rsidRDefault="00F6661D" w:rsidP="002032FC">
      <w:pPr>
        <w:spacing w:after="0"/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F6661D" w:rsidRPr="00B226FC" w:rsidRDefault="00F6661D" w:rsidP="00B226FC">
      <w:pPr>
        <w:spacing w:after="0"/>
        <w:jc w:val="both"/>
        <w:rPr>
          <w:rFonts w:ascii="Simplified Arabic" w:hAnsi="Simplified Arabic" w:cs="Simplified Arabic"/>
          <w:b/>
          <w:bCs/>
          <w:i/>
          <w:iCs/>
          <w:color w:val="000000" w:themeColor="text1"/>
          <w:sz w:val="28"/>
          <w:szCs w:val="28"/>
          <w:rtl/>
        </w:rPr>
      </w:pP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أكثر من نصف الأسر في فلسطين تعيش في وحدات سكنية على شكل شقة </w:t>
      </w:r>
    </w:p>
    <w:p w:rsidR="00F6661D" w:rsidRPr="00B226FC" w:rsidRDefault="00F6661D" w:rsidP="00B226FC">
      <w:pPr>
        <w:spacing w:after="0"/>
        <w:ind w:left="-1" w:firstLine="1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53.</w:t>
      </w:r>
      <w:r w:rsidR="00D051B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إ</w:t>
      </w:r>
      <w:r w:rsidR="00D051BC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جمالي الأسر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9692F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تعيش في مساكن على شكل شقة 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36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الضفة الغربية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مقابل 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77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قطاع غزة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في حين أن </w:t>
      </w:r>
      <w:r w:rsidR="00D051B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45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D051B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الأسر تسكن في مس</w:t>
      </w:r>
      <w:r w:rsidR="00D64CE3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اكن على شكل دا</w:t>
      </w:r>
      <w:r w:rsidR="00D64CE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ر 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61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الضفة الغربية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مقابل 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21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قطاع غزة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="00D051BC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D051B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D051B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الأسر تسكن في</w:t>
      </w:r>
      <w:r w:rsidR="00D051BC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فيلا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7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الضفة الغربية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مقابل 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</w:t>
      </w:r>
      <w:r w:rsidR="005B553A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قطاع غزة</w:t>
      </w:r>
      <w:r w:rsidR="005B553A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="00D64CE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 و1.2%</w:t>
      </w:r>
      <w:r w:rsidR="006E017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الأ</w:t>
      </w:r>
      <w:r w:rsidR="00D64CE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سر تسكن في مساكن أخرى (</w:t>
      </w:r>
      <w:r w:rsidR="0075300D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غرفة مستقلة</w:t>
      </w:r>
      <w:r w:rsidR="00D64CE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، </w:t>
      </w:r>
      <w:r w:rsidR="00141DBD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أو </w:t>
      </w:r>
      <w:r w:rsidR="00D64CE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خيمة، </w:t>
      </w:r>
      <w:r w:rsidR="00141DBD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أو </w:t>
      </w:r>
      <w:r w:rsidR="00D64CE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براكية، </w:t>
      </w:r>
      <w:r w:rsidR="00141DBD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أو </w:t>
      </w:r>
      <w:r w:rsidR="00D64CE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أخرى)</w:t>
      </w:r>
      <w:r w:rsidR="00D64CE3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(</w:t>
      </w:r>
      <w:r w:rsidR="00D64CE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D64CE3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D64CE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D64CE3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</w:t>
      </w:r>
      <w:r w:rsidR="00D64CE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الضفة الغربية</w:t>
      </w:r>
      <w:r w:rsidR="00D64CE3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مقابل </w:t>
      </w:r>
      <w:r w:rsidR="00D64CE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D64CE3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D64CE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</w:t>
      </w:r>
      <w:r w:rsidR="00D64CE3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</w:t>
      </w:r>
      <w:r w:rsidR="00D64CE3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قطاع غزة</w:t>
      </w:r>
      <w:r w:rsidR="00D64CE3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="009F6534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العام 2020.</w:t>
      </w:r>
    </w:p>
    <w:p w:rsidR="008678DB" w:rsidRDefault="008678DB" w:rsidP="009311D6">
      <w:pPr>
        <w:spacing w:after="0"/>
        <w:ind w:left="-1" w:firstLine="1"/>
        <w:jc w:val="center"/>
        <w:rPr>
          <w:rFonts w:ascii="Simplified Arabic" w:hAnsi="Simplified Arabic" w:cs="Simplified Arabic"/>
          <w:b/>
          <w:bCs/>
          <w:color w:val="000000" w:themeColor="text1"/>
          <w:rtl/>
          <w:lang w:eastAsia="ar-SA"/>
        </w:rPr>
      </w:pPr>
    </w:p>
    <w:p w:rsidR="00F6661D" w:rsidRPr="00B226FC" w:rsidRDefault="00F6661D" w:rsidP="009311D6">
      <w:pPr>
        <w:spacing w:after="0"/>
        <w:ind w:left="-1" w:firstLine="1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eastAsia="ar-SA"/>
        </w:rPr>
      </w:pP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eastAsia="ar-SA"/>
        </w:rPr>
        <w:lastRenderedPageBreak/>
        <w:t xml:space="preserve">التوزيع النسبي للأسر </w:t>
      </w:r>
      <w:r w:rsidR="0033791F"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eastAsia="ar-SA"/>
        </w:rPr>
        <w:t xml:space="preserve">في فلسطين حسب </w:t>
      </w: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eastAsia="ar-SA"/>
        </w:rPr>
        <w:t>المنطقة</w:t>
      </w:r>
      <w:r w:rsidR="0033791F"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eastAsia="ar-SA"/>
        </w:rPr>
        <w:t xml:space="preserve"> ونوع المسكن</w:t>
      </w: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eastAsia="ar-SA"/>
        </w:rPr>
        <w:t xml:space="preserve">، </w:t>
      </w:r>
      <w:r w:rsidR="0033791F"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eastAsia="ar-SA"/>
        </w:rPr>
        <w:t>2020</w:t>
      </w:r>
    </w:p>
    <w:tbl>
      <w:tblPr>
        <w:bidiVisual/>
        <w:tblW w:w="4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135"/>
        <w:gridCol w:w="1133"/>
        <w:gridCol w:w="1133"/>
        <w:gridCol w:w="1242"/>
        <w:gridCol w:w="1440"/>
      </w:tblGrid>
      <w:tr w:rsidR="00776CA2" w:rsidRPr="00776CA2" w:rsidTr="00E72693">
        <w:trPr>
          <w:jc w:val="center"/>
        </w:trPr>
        <w:tc>
          <w:tcPr>
            <w:tcW w:w="1194" w:type="pct"/>
            <w:vMerge w:val="restart"/>
            <w:vAlign w:val="center"/>
          </w:tcPr>
          <w:p w:rsidR="00F6661D" w:rsidRPr="00776CA2" w:rsidRDefault="00F6661D" w:rsidP="00587D4C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المنطقة</w:t>
            </w:r>
          </w:p>
        </w:tc>
        <w:tc>
          <w:tcPr>
            <w:tcW w:w="2905" w:type="pct"/>
            <w:gridSpan w:val="4"/>
            <w:vAlign w:val="center"/>
          </w:tcPr>
          <w:p w:rsidR="00F6661D" w:rsidRPr="00776CA2" w:rsidRDefault="00F6661D" w:rsidP="00587D4C">
            <w:pPr>
              <w:pStyle w:val="Heading4"/>
              <w:autoSpaceDE w:val="0"/>
              <w:autoSpaceDN w:val="0"/>
              <w:adjustRightInd w:val="0"/>
              <w:rPr>
                <w:rFonts w:ascii="Simplified Arabic" w:hAnsi="Simplified Arabic"/>
                <w:color w:val="000000" w:themeColor="text1"/>
                <w:rtl/>
                <w:lang w:eastAsia="ar-SA"/>
              </w:rPr>
            </w:pPr>
            <w:r w:rsidRPr="00776CA2">
              <w:rPr>
                <w:rFonts w:ascii="Simplified Arabic" w:hAnsi="Simplified Arabic"/>
                <w:color w:val="000000" w:themeColor="text1"/>
                <w:rtl/>
              </w:rPr>
              <w:t>نوع المسكن</w:t>
            </w:r>
          </w:p>
        </w:tc>
        <w:tc>
          <w:tcPr>
            <w:tcW w:w="901" w:type="pct"/>
            <w:vMerge w:val="restart"/>
            <w:vAlign w:val="center"/>
          </w:tcPr>
          <w:p w:rsidR="00F6661D" w:rsidRPr="00776CA2" w:rsidRDefault="00F6661D" w:rsidP="00E72693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المجموع</w:t>
            </w:r>
          </w:p>
        </w:tc>
      </w:tr>
      <w:tr w:rsidR="00776CA2" w:rsidRPr="00776CA2" w:rsidTr="004F35BB">
        <w:trPr>
          <w:trHeight w:hRule="exact" w:val="360"/>
          <w:jc w:val="center"/>
        </w:trPr>
        <w:tc>
          <w:tcPr>
            <w:tcW w:w="1194" w:type="pct"/>
            <w:vMerge/>
            <w:vAlign w:val="center"/>
          </w:tcPr>
          <w:p w:rsidR="00F6661D" w:rsidRPr="00776CA2" w:rsidRDefault="00F6661D" w:rsidP="0017338C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:rsidR="00F6661D" w:rsidRPr="00776CA2" w:rsidRDefault="00F6661D" w:rsidP="00587D4C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فيلا</w:t>
            </w:r>
          </w:p>
        </w:tc>
        <w:tc>
          <w:tcPr>
            <w:tcW w:w="709" w:type="pct"/>
            <w:vAlign w:val="center"/>
          </w:tcPr>
          <w:p w:rsidR="00F6661D" w:rsidRPr="00776CA2" w:rsidRDefault="00F6661D" w:rsidP="00587D4C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دار</w:t>
            </w:r>
          </w:p>
        </w:tc>
        <w:tc>
          <w:tcPr>
            <w:tcW w:w="709" w:type="pct"/>
            <w:vAlign w:val="center"/>
          </w:tcPr>
          <w:p w:rsidR="00F6661D" w:rsidRPr="00776CA2" w:rsidRDefault="00F6661D" w:rsidP="00587D4C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76CA2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شقة</w:t>
            </w:r>
          </w:p>
        </w:tc>
        <w:tc>
          <w:tcPr>
            <w:tcW w:w="776" w:type="pct"/>
            <w:vAlign w:val="center"/>
          </w:tcPr>
          <w:p w:rsidR="00F6661D" w:rsidRPr="00776CA2" w:rsidRDefault="00F6661D" w:rsidP="00587D4C">
            <w:pPr>
              <w:pStyle w:val="Heading4"/>
              <w:autoSpaceDE w:val="0"/>
              <w:autoSpaceDN w:val="0"/>
              <w:adjustRightInd w:val="0"/>
              <w:rPr>
                <w:rFonts w:ascii="Simplified Arabic" w:hAnsi="Simplified Arabic"/>
                <w:b w:val="0"/>
                <w:bCs w:val="0"/>
                <w:color w:val="000000" w:themeColor="text1"/>
                <w:lang w:eastAsia="ar-SA"/>
              </w:rPr>
            </w:pPr>
            <w:r w:rsidRPr="00776CA2">
              <w:rPr>
                <w:rFonts w:ascii="Simplified Arabic" w:hAnsi="Simplified Arabic"/>
                <w:b w:val="0"/>
                <w:bCs w:val="0"/>
                <w:color w:val="000000" w:themeColor="text1"/>
                <w:rtl/>
                <w:lang w:eastAsia="ar-SA"/>
              </w:rPr>
              <w:t>أخرى*</w:t>
            </w:r>
          </w:p>
        </w:tc>
        <w:tc>
          <w:tcPr>
            <w:tcW w:w="901" w:type="pct"/>
            <w:vMerge/>
            <w:vAlign w:val="center"/>
          </w:tcPr>
          <w:p w:rsidR="00F6661D" w:rsidRPr="00776CA2" w:rsidRDefault="00F6661D" w:rsidP="0017338C">
            <w:pPr>
              <w:pStyle w:val="Heading4"/>
              <w:autoSpaceDE w:val="0"/>
              <w:autoSpaceDN w:val="0"/>
              <w:adjustRightInd w:val="0"/>
              <w:jc w:val="both"/>
              <w:rPr>
                <w:rFonts w:ascii="Simplified Arabic" w:hAnsi="Simplified Arabic"/>
                <w:b w:val="0"/>
                <w:bCs w:val="0"/>
                <w:color w:val="000000" w:themeColor="text1"/>
                <w:lang w:eastAsia="ar-SA"/>
              </w:rPr>
            </w:pPr>
          </w:p>
        </w:tc>
      </w:tr>
      <w:tr w:rsidR="00776CA2" w:rsidRPr="00776CA2" w:rsidTr="0009108C">
        <w:trPr>
          <w:trHeight w:hRule="exact" w:val="360"/>
          <w:jc w:val="center"/>
        </w:trPr>
        <w:tc>
          <w:tcPr>
            <w:tcW w:w="1194" w:type="pct"/>
          </w:tcPr>
          <w:p w:rsidR="00F6661D" w:rsidRPr="00776CA2" w:rsidRDefault="00F6661D" w:rsidP="0017338C">
            <w:pPr>
              <w:ind w:left="140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فلسطين </w:t>
            </w:r>
          </w:p>
        </w:tc>
        <w:tc>
          <w:tcPr>
            <w:tcW w:w="710" w:type="pct"/>
          </w:tcPr>
          <w:p w:rsidR="00F6661D" w:rsidRPr="00776CA2" w:rsidRDefault="0033791F" w:rsidP="00587D4C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0.5</w:t>
            </w:r>
          </w:p>
        </w:tc>
        <w:tc>
          <w:tcPr>
            <w:tcW w:w="709" w:type="pct"/>
          </w:tcPr>
          <w:p w:rsidR="00F6661D" w:rsidRPr="00776CA2" w:rsidRDefault="0033791F" w:rsidP="00587D4C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776CA2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45.3</w:t>
            </w:r>
          </w:p>
        </w:tc>
        <w:tc>
          <w:tcPr>
            <w:tcW w:w="709" w:type="pct"/>
          </w:tcPr>
          <w:p w:rsidR="00F6661D" w:rsidRPr="00776CA2" w:rsidRDefault="0033791F" w:rsidP="00587D4C">
            <w:pP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776CA2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53.0</w:t>
            </w:r>
          </w:p>
        </w:tc>
        <w:tc>
          <w:tcPr>
            <w:tcW w:w="776" w:type="pct"/>
          </w:tcPr>
          <w:p w:rsidR="00F6661D" w:rsidRPr="00776CA2" w:rsidRDefault="0033791F" w:rsidP="00587D4C">
            <w:pP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776CA2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1.2</w:t>
            </w:r>
          </w:p>
        </w:tc>
        <w:tc>
          <w:tcPr>
            <w:tcW w:w="901" w:type="pct"/>
          </w:tcPr>
          <w:p w:rsidR="00F6661D" w:rsidRPr="00776CA2" w:rsidRDefault="00F6661D" w:rsidP="00587D4C">
            <w:pP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776CA2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100</w:t>
            </w:r>
          </w:p>
        </w:tc>
      </w:tr>
      <w:tr w:rsidR="00776CA2" w:rsidRPr="00776CA2" w:rsidTr="0009108C">
        <w:trPr>
          <w:trHeight w:hRule="exact" w:val="360"/>
          <w:jc w:val="center"/>
        </w:trPr>
        <w:tc>
          <w:tcPr>
            <w:tcW w:w="1194" w:type="pct"/>
          </w:tcPr>
          <w:p w:rsidR="00F6661D" w:rsidRPr="00776CA2" w:rsidRDefault="00F6661D" w:rsidP="0017338C">
            <w:pPr>
              <w:ind w:left="140"/>
              <w:jc w:val="both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710" w:type="pct"/>
          </w:tcPr>
          <w:p w:rsidR="00F6661D" w:rsidRPr="00776CA2" w:rsidRDefault="0033791F" w:rsidP="00587D4C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0.7</w:t>
            </w:r>
          </w:p>
        </w:tc>
        <w:tc>
          <w:tcPr>
            <w:tcW w:w="709" w:type="pct"/>
          </w:tcPr>
          <w:p w:rsidR="00F6661D" w:rsidRPr="00776CA2" w:rsidRDefault="0033791F" w:rsidP="00587D4C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61.5</w:t>
            </w:r>
          </w:p>
        </w:tc>
        <w:tc>
          <w:tcPr>
            <w:tcW w:w="709" w:type="pct"/>
          </w:tcPr>
          <w:p w:rsidR="00F6661D" w:rsidRPr="00776CA2" w:rsidRDefault="0033791F" w:rsidP="00D1294F">
            <w:pPr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36.</w:t>
            </w:r>
            <w:r w:rsidR="00D1294F" w:rsidRPr="00776CA2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776" w:type="pct"/>
          </w:tcPr>
          <w:p w:rsidR="00F6661D" w:rsidRPr="00776CA2" w:rsidRDefault="0033791F" w:rsidP="00587D4C">
            <w:pPr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1.5</w:t>
            </w:r>
          </w:p>
        </w:tc>
        <w:tc>
          <w:tcPr>
            <w:tcW w:w="901" w:type="pct"/>
          </w:tcPr>
          <w:p w:rsidR="00F6661D" w:rsidRPr="00776CA2" w:rsidRDefault="00F6661D" w:rsidP="00587D4C">
            <w:pPr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100</w:t>
            </w:r>
          </w:p>
        </w:tc>
      </w:tr>
      <w:tr w:rsidR="00776CA2" w:rsidRPr="00776CA2" w:rsidTr="0009108C">
        <w:trPr>
          <w:trHeight w:hRule="exact" w:val="360"/>
          <w:jc w:val="center"/>
        </w:trPr>
        <w:tc>
          <w:tcPr>
            <w:tcW w:w="1194" w:type="pct"/>
          </w:tcPr>
          <w:p w:rsidR="00F6661D" w:rsidRPr="00776CA2" w:rsidRDefault="00F6661D" w:rsidP="0017338C">
            <w:pPr>
              <w:ind w:left="140"/>
              <w:jc w:val="both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قطاع غزة</w:t>
            </w:r>
          </w:p>
        </w:tc>
        <w:tc>
          <w:tcPr>
            <w:tcW w:w="710" w:type="pct"/>
          </w:tcPr>
          <w:p w:rsidR="00F6661D" w:rsidRPr="00776CA2" w:rsidRDefault="0033791F" w:rsidP="00587D4C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776CA2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0.2</w:t>
            </w:r>
          </w:p>
        </w:tc>
        <w:tc>
          <w:tcPr>
            <w:tcW w:w="709" w:type="pct"/>
          </w:tcPr>
          <w:p w:rsidR="00F6661D" w:rsidRPr="00776CA2" w:rsidRDefault="0033791F" w:rsidP="00587D4C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76CA2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21.0</w:t>
            </w:r>
          </w:p>
        </w:tc>
        <w:tc>
          <w:tcPr>
            <w:tcW w:w="709" w:type="pct"/>
          </w:tcPr>
          <w:p w:rsidR="00F6661D" w:rsidRPr="00776CA2" w:rsidRDefault="0033791F" w:rsidP="00587D4C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76CA2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77.8</w:t>
            </w:r>
          </w:p>
        </w:tc>
        <w:tc>
          <w:tcPr>
            <w:tcW w:w="776" w:type="pct"/>
          </w:tcPr>
          <w:p w:rsidR="00F6661D" w:rsidRPr="00776CA2" w:rsidRDefault="0033791F" w:rsidP="00587D4C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76CA2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1.0</w:t>
            </w:r>
          </w:p>
        </w:tc>
        <w:tc>
          <w:tcPr>
            <w:tcW w:w="901" w:type="pct"/>
          </w:tcPr>
          <w:p w:rsidR="00F6661D" w:rsidRPr="00776CA2" w:rsidRDefault="00F6661D" w:rsidP="00587D4C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776CA2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100</w:t>
            </w:r>
          </w:p>
        </w:tc>
      </w:tr>
    </w:tbl>
    <w:p w:rsidR="00F6661D" w:rsidRPr="00B226FC" w:rsidRDefault="00F6661D" w:rsidP="0017338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</w:rPr>
      </w:pPr>
      <w:r w:rsidRPr="00B226FC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   </w:t>
      </w:r>
      <w:r w:rsidR="00F54E18" w:rsidRPr="00B226FC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      </w:t>
      </w:r>
      <w:r w:rsidRPr="00B226FC"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</w:rPr>
        <w:t>*أخرى تشمل: (غرفة مستقلة، خيمة، براكية، أخرى)</w:t>
      </w:r>
      <w:r w:rsidR="00D1294F" w:rsidRPr="00B226FC">
        <w:rPr>
          <w:rFonts w:ascii="Simplified Arabic" w:hAnsi="Simplified Arabic" w:cs="Simplified Arabic" w:hint="cs"/>
          <w:b/>
          <w:bCs/>
          <w:color w:val="000000" w:themeColor="text1"/>
          <w:sz w:val="20"/>
          <w:szCs w:val="20"/>
          <w:rtl/>
        </w:rPr>
        <w:t>.</w:t>
      </w:r>
    </w:p>
    <w:p w:rsidR="00F6661D" w:rsidRPr="00B226FC" w:rsidRDefault="00F6661D" w:rsidP="000B73AF">
      <w:pPr>
        <w:spacing w:after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:rsidR="00CD03B2" w:rsidRPr="00B226FC" w:rsidRDefault="00CD03B2" w:rsidP="00B226FC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1.</w:t>
      </w:r>
      <w:r w:rsidR="00B9270C" w:rsidRPr="00B226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5</w:t>
      </w: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فرد للغرفة الواحدة في مساكن فلسطين </w:t>
      </w:r>
    </w:p>
    <w:p w:rsidR="00D95908" w:rsidRPr="00B226FC" w:rsidRDefault="00CD03B2" w:rsidP="00B226F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بلغ متوسط كثافة السكن (عدد الأفراد في الغرفة) في فلسطين 1.</w:t>
      </w:r>
      <w:r w:rsidR="00B9270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5</w:t>
      </w:r>
      <w:r w:rsidR="00745B66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فرداً</w:t>
      </w:r>
      <w:r w:rsidR="00745B66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 xml:space="preserve">/ غرفة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في العام </w:t>
      </w:r>
      <w:r w:rsidR="00B9270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2021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، (بواقع 1.</w:t>
      </w:r>
      <w:r w:rsidR="00B9270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6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745B66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فرداً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/غرفة في الحضر، مقابل 1.</w:t>
      </w:r>
      <w:r w:rsidR="00B9270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4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745B66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فرداً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/غرفة في الريف و1.</w:t>
      </w:r>
      <w:r w:rsidR="00B9270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eastAsia="ar-SA"/>
        </w:rPr>
        <w:t>8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745B66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فرداً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/ غرفة في المخيمات)، </w:t>
      </w:r>
      <w:r w:rsidR="0086195D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اما متوسط كثافة السكن على مستوى المنطقة فبلغ 1.</w:t>
      </w:r>
      <w:r w:rsidR="004F2742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86195D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45B66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فرداً</w:t>
      </w:r>
      <w:r w:rsidR="0086195D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/ غرفة في الضفة الغربية </w:t>
      </w:r>
      <w:r w:rsidR="00B17200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مقابل </w:t>
      </w:r>
      <w:r w:rsidR="0086195D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1.</w:t>
      </w:r>
      <w:r w:rsidR="004F2742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7</w:t>
      </w:r>
      <w:r w:rsidR="0086195D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45B66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فرداً</w:t>
      </w:r>
      <w:r w:rsidR="0086195D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/ غرفة في قطاع غزة.  </w:t>
      </w:r>
    </w:p>
    <w:p w:rsidR="00D95908" w:rsidRPr="00B226FC" w:rsidRDefault="00D95908" w:rsidP="00B226F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D95908" w:rsidRPr="00B226FC" w:rsidRDefault="00D95908" w:rsidP="00B226FC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5.2</w:t>
      </w: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% من أسر الض</w:t>
      </w:r>
      <w:r w:rsidR="00F959CB"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فة الغربية تعيش في مساكن مكتظة</w:t>
      </w:r>
      <w:r w:rsidR="00F959CB" w:rsidRPr="00B226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مقابل </w:t>
      </w: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8.9</w:t>
      </w: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% في قطاع غزة</w:t>
      </w:r>
    </w:p>
    <w:p w:rsidR="0086195D" w:rsidRPr="00B226FC" w:rsidRDefault="0086195D" w:rsidP="00B226F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</w:pP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>6.6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الأسر في فلسطين تسكن في وحد</w:t>
      </w:r>
      <w:r w:rsidR="002A1BA9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ات سكنية ذات كثافة سكنية عالية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تبلغ </w:t>
      </w:r>
      <w:proofErr w:type="gramStart"/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 أفراد</w:t>
      </w:r>
      <w:proofErr w:type="gramEnd"/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فأكثر للغرفة الواحدة، حيث تنخفض الى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>5.2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الضفة الغربية وترتفع الى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>8.9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قطاع غزة، وعلى مستوى نوع التجمع تبلغ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>6.4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</w:t>
      </w:r>
      <w:r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الحضر و</w:t>
      </w:r>
      <w:r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5.6% في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الريف وترتفع إلى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>10.6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الم</w:t>
      </w:r>
      <w:r w:rsidR="000109AE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خيمات</w:t>
      </w:r>
      <w:r w:rsidR="00266D1D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العام 2021</w:t>
      </w:r>
      <w:r w:rsidR="000109AE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86195D" w:rsidRPr="00B226FC" w:rsidRDefault="0086195D" w:rsidP="00B226F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  <w:lang w:eastAsia="ar-SA"/>
        </w:rPr>
      </w:pPr>
    </w:p>
    <w:p w:rsidR="00CD03B2" w:rsidRPr="00B226FC" w:rsidRDefault="00CD03B2" w:rsidP="00B226F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و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تشير البيانات إلى أن متوسط عدد الغرف</w:t>
      </w:r>
      <w:r w:rsidR="0062491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المسكن بلغ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3.</w:t>
      </w:r>
      <w:r w:rsidR="006130DF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="0062491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غرفة</w:t>
      </w:r>
      <w:r w:rsidR="0062491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/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مسكن عام </w:t>
      </w:r>
      <w:r w:rsidR="006130DF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فلسطين وبلغ المتوسط 3.</w:t>
      </w:r>
      <w:r w:rsidR="006130DF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2491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غرفة</w:t>
      </w:r>
      <w:r w:rsidR="0062491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/ </w:t>
      </w:r>
      <w:r w:rsidR="0062491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مسكن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 الحضر و</w:t>
      </w:r>
      <w:r w:rsidR="006130DF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3.7</w:t>
      </w:r>
      <w:r w:rsidR="0062491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غرفة</w:t>
      </w:r>
      <w:r w:rsidR="0062491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/ </w:t>
      </w:r>
      <w:r w:rsidR="0062491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مسكن</w:t>
      </w:r>
      <w:r w:rsidR="006130DF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الريف الفلسطيني مقابل 3.</w:t>
      </w:r>
      <w:r w:rsidR="006130DF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="0062491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غرفة</w:t>
      </w:r>
      <w:r w:rsidR="0062491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/ </w:t>
      </w:r>
      <w:r w:rsidR="0062491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مسكن</w:t>
      </w:r>
      <w:r w:rsidR="006B3D6E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 المخيمات</w:t>
      </w:r>
      <w:r w:rsidR="0086195D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86195D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وبلغ متوسط عدد الغرف </w:t>
      </w:r>
      <w:r w:rsidR="002A1BA9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في المسكن في كل من الضفة الغربية </w:t>
      </w:r>
      <w:r w:rsidR="0061528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وقطاع غزة 3.6 </w:t>
      </w:r>
      <w:r w:rsidR="0062491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غرفة</w:t>
      </w:r>
      <w:r w:rsidR="0062491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/ </w:t>
      </w:r>
      <w:r w:rsidR="0062491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مسكن</w:t>
      </w:r>
      <w:r w:rsidR="0061528C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.   </w:t>
      </w:r>
    </w:p>
    <w:p w:rsidR="00971F1D" w:rsidRPr="00B226FC" w:rsidRDefault="00971F1D" w:rsidP="00B226F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335163" w:rsidRPr="00B226FC" w:rsidRDefault="00335163" w:rsidP="00B226F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226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فقط </w:t>
      </w:r>
      <w:r w:rsidR="002A49D6" w:rsidRPr="00B226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4.0</w:t>
      </w:r>
      <w:r w:rsidRPr="00B226FC">
        <w:rPr>
          <w:rFonts w:ascii="Simplified Arabic" w:hAnsi="Simplified Arabic" w:cs="Simplified Arabic"/>
          <w:b/>
          <w:bCs/>
          <w:sz w:val="28"/>
          <w:szCs w:val="28"/>
          <w:rtl/>
        </w:rPr>
        <w:t>% من الافراد في قطاع غزة لديهم وصول الى مياه مدارة بشكل آمن وخالية من التلوث</w:t>
      </w:r>
    </w:p>
    <w:p w:rsidR="00335163" w:rsidRPr="00B226FC" w:rsidRDefault="00335163" w:rsidP="00B226FC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B226FC">
        <w:rPr>
          <w:rFonts w:ascii="Simplified Arabic" w:hAnsi="Simplified Arabic" w:cs="Simplified Arabic"/>
          <w:sz w:val="26"/>
          <w:szCs w:val="26"/>
          <w:rtl/>
        </w:rPr>
        <w:t xml:space="preserve">أما فيما يتعلق بمصادر المياه المدارة بشكل آمن (وتعرف على انها </w:t>
      </w:r>
      <w:r w:rsidR="002D7C34" w:rsidRPr="00B226FC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Pr="00B226FC">
        <w:rPr>
          <w:rFonts w:ascii="Simplified Arabic" w:hAnsi="Simplified Arabic" w:cs="Simplified Arabic"/>
          <w:sz w:val="26"/>
          <w:szCs w:val="26"/>
          <w:rtl/>
        </w:rPr>
        <w:t xml:space="preserve">مصادر المحسنة، مستخدمة في المسكن، متوفرة عند الحاجة وخالية من التلوث (خالية من بكتيريا </w:t>
      </w:r>
      <w:r w:rsidRPr="00B226FC">
        <w:rPr>
          <w:rFonts w:ascii="Simplified Arabic" w:hAnsi="Simplified Arabic" w:cs="Simplified Arabic"/>
          <w:sz w:val="26"/>
          <w:szCs w:val="26"/>
        </w:rPr>
        <w:t>E-Coli</w:t>
      </w:r>
      <w:r w:rsidRPr="00B226FC">
        <w:rPr>
          <w:rFonts w:ascii="Simplified Arabic" w:hAnsi="Simplified Arabic" w:cs="Simplified Arabic"/>
          <w:sz w:val="26"/>
          <w:szCs w:val="26"/>
          <w:rtl/>
        </w:rPr>
        <w:t xml:space="preserve">)) (هدف التنمية المستدام 1.1.6) فتشير </w:t>
      </w:r>
      <w:r w:rsidR="002D7C34" w:rsidRPr="00B226FC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Pr="00B226FC">
        <w:rPr>
          <w:rFonts w:ascii="Simplified Arabic" w:hAnsi="Simplified Arabic" w:cs="Simplified Arabic"/>
          <w:sz w:val="26"/>
          <w:szCs w:val="26"/>
          <w:rtl/>
        </w:rPr>
        <w:t>بيانات الى ان 39.5% من الأفراد في فلسطين يحصلون على مياه مدارة بشكل آمن، وتتذبذب هذه النسبة بين الضفة الغربية التي تصل فيها الى 66.2% من الأفراد، مقابل 4.3% من الأفراد في قطاع غزة، أما بالنسبة لنوع التجمع فتوزعت هذه النسب إلى 35.5% في الحضر و67.1% في الريف وتنخفض هذه النسبة إلى 25.2% من الأفراد في المخيمات.</w:t>
      </w:r>
    </w:p>
    <w:p w:rsidR="009B3DCF" w:rsidRPr="00B226FC" w:rsidRDefault="009B3DCF" w:rsidP="00B226FC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9F0239" w:rsidRPr="00B226FC" w:rsidRDefault="009F0239" w:rsidP="00B226FC">
      <w:pPr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58.5% من الأسر الفلسطينية تقيم في مسا</w:t>
      </w:r>
      <w:r w:rsidR="00C44315" w:rsidRPr="00B226F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كن متصلة بشبكة صرف صحي</w:t>
      </w:r>
    </w:p>
    <w:p w:rsidR="009F0239" w:rsidRPr="00B226FC" w:rsidRDefault="009F0239" w:rsidP="00B226FC">
      <w:pPr>
        <w:spacing w:after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حوالي</w:t>
      </w:r>
      <w:r w:rsidR="005D5021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28</w:t>
      </w:r>
      <w:r w:rsidR="00D64939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.0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الأسر الفلسطينية </w:t>
      </w:r>
      <w:r w:rsidR="00921652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في العام 2020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تقيم</w:t>
      </w:r>
      <w:r w:rsidR="00721056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مساكن موصولة بحفر امتصاصية 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و11.8% من الأسر تعتمد الحفر</w:t>
      </w:r>
      <w:r w:rsidR="00D326B7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</w:t>
      </w:r>
      <w:r w:rsidR="00721056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صماء </w:t>
      </w:r>
      <w:r w:rsidR="00D326B7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في مساكنها</w:t>
      </w:r>
      <w:r w:rsidR="00D326B7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1056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للتخلص من المياه العادمة،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 حين أن شبكة الصرف الصحي متوفرة لدى 58.</w:t>
      </w:r>
      <w:r w:rsidR="00147EDD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الأسر الفلسطينية، و</w:t>
      </w:r>
      <w:r w:rsidR="00147EDD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1.7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الأسر تستخدم طرق أخرى للصرف الصحي، </w:t>
      </w:r>
      <w:r w:rsidR="00921652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وبلغت هذه النسبة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95.5% في المخيمات و63.9% في الحضر و10.1% في الريف </w:t>
      </w:r>
      <w:r w:rsidR="00921652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على التوالي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9B3DCF" w:rsidRPr="00B226FC" w:rsidRDefault="009B3DCF" w:rsidP="000B73AF">
      <w:pPr>
        <w:spacing w:after="0"/>
        <w:jc w:val="both"/>
        <w:rPr>
          <w:rFonts w:ascii="Simplified Arabic" w:hAnsi="Simplified Arabic" w:cs="Simplified Arabic"/>
          <w:color w:val="FF0000"/>
          <w:sz w:val="26"/>
          <w:szCs w:val="26"/>
          <w:rtl/>
        </w:rPr>
      </w:pPr>
    </w:p>
    <w:p w:rsidR="00CF7802" w:rsidRPr="00B226FC" w:rsidRDefault="00CF7802" w:rsidP="00B226FC">
      <w:pPr>
        <w:spacing w:after="0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B226F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lastRenderedPageBreak/>
        <w:t xml:space="preserve">الصرف الصحي في فلسطين هو صرف صحي محسن </w:t>
      </w:r>
    </w:p>
    <w:p w:rsidR="00CF7802" w:rsidRPr="00B226FC" w:rsidRDefault="00FA1385" w:rsidP="00B226FC">
      <w:pPr>
        <w:spacing w:after="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98.8% </w:t>
      </w:r>
      <w:r w:rsidR="00366839" w:rsidRPr="00B226FC">
        <w:rPr>
          <w:rFonts w:ascii="Simplified Arabic" w:hAnsi="Simplified Arabic" w:cs="Simplified Arabic"/>
          <w:color w:val="000000"/>
          <w:sz w:val="26"/>
          <w:szCs w:val="26"/>
          <w:rtl/>
        </w:rPr>
        <w:t>من ال</w:t>
      </w:r>
      <w:r w:rsidR="00366839" w:rsidRPr="00B226F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</w:t>
      </w:r>
      <w:r w:rsidR="00CF7802" w:rsidRPr="00B226F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سر الفلسطينية </w:t>
      </w:r>
      <w:r w:rsidR="00761B56" w:rsidRPr="00B226FC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في العام 2020 </w:t>
      </w:r>
      <w:r w:rsidR="00CF7802" w:rsidRPr="00B226F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لديها صرف صحي محسن يشمل (مرحاض متصل بشبكة مجاري عامة، </w:t>
      </w:r>
      <w:r w:rsidR="00366839" w:rsidRPr="00B226FC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أو </w:t>
      </w:r>
      <w:r w:rsidR="00CF7802" w:rsidRPr="00B226FC">
        <w:rPr>
          <w:rFonts w:ascii="Simplified Arabic" w:hAnsi="Simplified Arabic" w:cs="Simplified Arabic"/>
          <w:color w:val="000000"/>
          <w:sz w:val="26"/>
          <w:szCs w:val="26"/>
          <w:rtl/>
        </w:rPr>
        <w:t>مرحاض متصل بحفرة امتصاصية</w:t>
      </w:r>
      <w:r w:rsidR="00366839" w:rsidRPr="00B226F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 w:rsidR="00CF7802" w:rsidRPr="00B226F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أو مرحاض متصل بحفرة صماء)، وعلى مستوى نوع التجمع </w:t>
      </w:r>
      <w:r w:rsidR="00D64939" w:rsidRPr="00B226FC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99.1%</w:t>
      </w:r>
      <w:r w:rsidR="00D3517A" w:rsidRPr="00B226FC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من ال</w:t>
      </w:r>
      <w:r w:rsidR="00D3517A" w:rsidRPr="00B226FC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أ</w:t>
      </w:r>
      <w:r w:rsidR="00CF7802" w:rsidRPr="00B226FC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سر </w:t>
      </w:r>
      <w:r w:rsidR="00761B56" w:rsidRPr="00B226FC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التي تقيم في الحضر </w:t>
      </w:r>
      <w:r w:rsidR="00CF7802" w:rsidRPr="00B226FC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لديها صرف صحي محسن </w:t>
      </w:r>
      <w:r w:rsidR="00D64939" w:rsidRPr="00B226FC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مقابل 99.4% في </w:t>
      </w:r>
      <w:r w:rsidR="00CF7802" w:rsidRPr="00B226F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المخيمات </w:t>
      </w:r>
      <w:r w:rsidR="00D64939" w:rsidRPr="00B226F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="00CF7802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</w:t>
      </w:r>
      <w:r w:rsidR="00D64939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6.9</w:t>
      </w:r>
      <w:r w:rsidR="00CF7802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</w:t>
      </w:r>
      <w:r w:rsidR="00CF7802" w:rsidRPr="00B226FC">
        <w:rPr>
          <w:rFonts w:ascii="Simplified Arabic" w:hAnsi="Simplified Arabic" w:cs="Simplified Arabic"/>
          <w:color w:val="000000"/>
          <w:sz w:val="26"/>
          <w:szCs w:val="26"/>
          <w:rtl/>
        </w:rPr>
        <w:t>في الريف</w:t>
      </w:r>
      <w:r w:rsidR="00A25F9C" w:rsidRPr="00B226F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</w:p>
    <w:p w:rsidR="00714FB8" w:rsidRPr="00B226FC" w:rsidRDefault="00714FB8" w:rsidP="00B226FC">
      <w:pPr>
        <w:spacing w:after="0"/>
        <w:jc w:val="both"/>
        <w:rPr>
          <w:rFonts w:ascii="Simplified Arabic" w:hAnsi="Simplified Arabic" w:cs="Simplified Arabic"/>
          <w:color w:val="FF0000"/>
          <w:sz w:val="10"/>
          <w:szCs w:val="10"/>
          <w:rtl/>
        </w:rPr>
      </w:pPr>
    </w:p>
    <w:p w:rsidR="00674637" w:rsidRPr="00B226FC" w:rsidRDefault="00674637" w:rsidP="00B226FC">
      <w:pPr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B226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زيادة في عدد الوحدات السكنية المرخصة للعام 2021 مقارنه مع السنوات السابقة</w:t>
      </w:r>
    </w:p>
    <w:p w:rsidR="00714FB8" w:rsidRPr="00B226FC" w:rsidRDefault="00714FB8" w:rsidP="00B226FC">
      <w:pPr>
        <w:spacing w:after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 عدد الوحدات السكنية المرخصة</w:t>
      </w:r>
      <w:r w:rsidR="00A562FD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326B7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في فلسطين </w:t>
      </w:r>
      <w:r w:rsidR="00A562FD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للعام 2021 </w:t>
      </w:r>
      <w:r w:rsidR="00D326B7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(</w:t>
      </w:r>
      <w:r w:rsidR="001F398D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الجديدة والقائمة</w:t>
      </w:r>
      <w:r w:rsidR="00D326B7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)</w:t>
      </w:r>
      <w:r w:rsidR="00A562FD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87258"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>21,279</w:t>
      </w:r>
      <w:r w:rsidR="00AA3AD8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و</w:t>
      </w:r>
      <w:r w:rsidR="002F2CF7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</w:t>
      </w:r>
      <w:r w:rsidR="00AA3AD8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دة سكنية</w:t>
      </w:r>
      <w:r w:rsidR="000534B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مرخصة</w:t>
      </w:r>
      <w:r w:rsidR="00AA3AD8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بمتوسط مساحة</w:t>
      </w:r>
      <w:r w:rsidR="00AA3AD8"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>163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AA3AD8"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8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</w:rPr>
        <w:t>2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حيث تتوزع بواقع </w:t>
      </w:r>
      <w:r w:rsidR="000E123F"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>19,684 </w:t>
      </w:r>
      <w:r w:rsidR="000E123F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وحدة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سكنية مرخصة في الضفة الغربية بمتوسط مساحة </w:t>
      </w:r>
      <w:r w:rsidR="00AA3AD8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163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AA3AD8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2F2CF7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</w:t>
      </w:r>
      <w:r w:rsidR="002F2CF7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vertAlign w:val="superscript"/>
          <w:rtl/>
        </w:rPr>
        <w:t>2</w:t>
      </w:r>
      <w:r w:rsidR="002F2CF7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وفي قطاع غزة </w:t>
      </w:r>
      <w:r w:rsidR="00AA3AD8"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0E123F" w:rsidRPr="00B226FC">
        <w:rPr>
          <w:rFonts w:ascii="Simplified Arabic" w:hAnsi="Simplified Arabic" w:cs="Simplified Arabic"/>
          <w:color w:val="000000" w:themeColor="text1"/>
          <w:sz w:val="26"/>
          <w:szCs w:val="26"/>
        </w:rPr>
        <w:t>1,595</w:t>
      </w:r>
      <w:r w:rsidR="00AA3AD8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وحد</w:t>
      </w:r>
      <w:r w:rsidR="00AA3AD8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ة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سكنية مرخصة بمتوسط مساحة 16</w:t>
      </w:r>
      <w:r w:rsidR="00AA3AD8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</w:t>
      </w:r>
      <w:r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AA3AD8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E21A8B" w:rsidRPr="00B226F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</w:t>
      </w:r>
      <w:r w:rsidR="00E21A8B" w:rsidRPr="00B226FC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</w:rPr>
        <w:t>2</w:t>
      </w:r>
      <w:r w:rsidR="00E21A8B" w:rsidRPr="00B226F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971F1D" w:rsidRPr="00B226FC" w:rsidRDefault="00971F1D" w:rsidP="0017338C">
      <w:pPr>
        <w:jc w:val="both"/>
        <w:rPr>
          <w:rFonts w:ascii="Simplified Arabic" w:hAnsi="Simplified Arabic" w:cs="Simplified Arabic"/>
          <w:sz w:val="26"/>
          <w:szCs w:val="26"/>
        </w:rPr>
      </w:pPr>
    </w:p>
    <w:p w:rsidR="00CD03B2" w:rsidRPr="00B226FC" w:rsidRDefault="00CD03B2" w:rsidP="0017338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sectPr w:rsidR="00CD03B2" w:rsidRPr="00B226FC" w:rsidSect="00B226FC">
      <w:footerReference w:type="default" r:id="rId6"/>
      <w:pgSz w:w="11906" w:h="16838"/>
      <w:pgMar w:top="1418" w:right="1134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A49" w:rsidRDefault="00A30A49" w:rsidP="00E40379">
      <w:pPr>
        <w:spacing w:after="0" w:line="240" w:lineRule="auto"/>
      </w:pPr>
      <w:r>
        <w:separator/>
      </w:r>
    </w:p>
  </w:endnote>
  <w:endnote w:type="continuationSeparator" w:id="0">
    <w:p w:rsidR="00A30A49" w:rsidRDefault="00A30A49" w:rsidP="00E4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81792242"/>
      <w:docPartObj>
        <w:docPartGallery w:val="Page Numbers (Bottom of Page)"/>
        <w:docPartUnique/>
      </w:docPartObj>
    </w:sdtPr>
    <w:sdtEndPr/>
    <w:sdtContent>
      <w:p w:rsidR="000854FE" w:rsidRDefault="000854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51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0854FE" w:rsidRDefault="00085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A49" w:rsidRDefault="00A30A49" w:rsidP="00E40379">
      <w:pPr>
        <w:spacing w:after="0" w:line="240" w:lineRule="auto"/>
      </w:pPr>
      <w:r>
        <w:separator/>
      </w:r>
    </w:p>
  </w:footnote>
  <w:footnote w:type="continuationSeparator" w:id="0">
    <w:p w:rsidR="00A30A49" w:rsidRDefault="00A30A49" w:rsidP="00E40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9D"/>
    <w:rsid w:val="000109AE"/>
    <w:rsid w:val="000446EF"/>
    <w:rsid w:val="000534BB"/>
    <w:rsid w:val="00062DEF"/>
    <w:rsid w:val="000854FE"/>
    <w:rsid w:val="00087A90"/>
    <w:rsid w:val="0009108C"/>
    <w:rsid w:val="00091AA3"/>
    <w:rsid w:val="000B73AF"/>
    <w:rsid w:val="000E123F"/>
    <w:rsid w:val="0011087D"/>
    <w:rsid w:val="00141DBD"/>
    <w:rsid w:val="00145F13"/>
    <w:rsid w:val="00147EDD"/>
    <w:rsid w:val="0017338C"/>
    <w:rsid w:val="001841EB"/>
    <w:rsid w:val="001C762A"/>
    <w:rsid w:val="001E69D5"/>
    <w:rsid w:val="001F398D"/>
    <w:rsid w:val="002032FC"/>
    <w:rsid w:val="00206B95"/>
    <w:rsid w:val="00265F89"/>
    <w:rsid w:val="00266D1D"/>
    <w:rsid w:val="00272E4B"/>
    <w:rsid w:val="002820DE"/>
    <w:rsid w:val="00293519"/>
    <w:rsid w:val="002A1BA9"/>
    <w:rsid w:val="002A49D6"/>
    <w:rsid w:val="002B42D5"/>
    <w:rsid w:val="002C14D0"/>
    <w:rsid w:val="002C1AC2"/>
    <w:rsid w:val="002D7C34"/>
    <w:rsid w:val="002E7818"/>
    <w:rsid w:val="002F2CF7"/>
    <w:rsid w:val="00305B38"/>
    <w:rsid w:val="00335163"/>
    <w:rsid w:val="0033791F"/>
    <w:rsid w:val="003525A1"/>
    <w:rsid w:val="00366839"/>
    <w:rsid w:val="00384B37"/>
    <w:rsid w:val="00384C79"/>
    <w:rsid w:val="00394366"/>
    <w:rsid w:val="003A09FB"/>
    <w:rsid w:val="003D6187"/>
    <w:rsid w:val="00406225"/>
    <w:rsid w:val="00410904"/>
    <w:rsid w:val="0042798C"/>
    <w:rsid w:val="00427CB0"/>
    <w:rsid w:val="00466552"/>
    <w:rsid w:val="004F2742"/>
    <w:rsid w:val="004F35BB"/>
    <w:rsid w:val="00540B36"/>
    <w:rsid w:val="005429E0"/>
    <w:rsid w:val="005529EE"/>
    <w:rsid w:val="00557A55"/>
    <w:rsid w:val="0056400D"/>
    <w:rsid w:val="0058079B"/>
    <w:rsid w:val="00580B72"/>
    <w:rsid w:val="00587D4C"/>
    <w:rsid w:val="00593E0F"/>
    <w:rsid w:val="005B553A"/>
    <w:rsid w:val="005D5021"/>
    <w:rsid w:val="005D7372"/>
    <w:rsid w:val="00611FF3"/>
    <w:rsid w:val="006130DF"/>
    <w:rsid w:val="00614AC7"/>
    <w:rsid w:val="0061528C"/>
    <w:rsid w:val="00617014"/>
    <w:rsid w:val="0062491B"/>
    <w:rsid w:val="00634118"/>
    <w:rsid w:val="00674637"/>
    <w:rsid w:val="00675B59"/>
    <w:rsid w:val="00684621"/>
    <w:rsid w:val="006907BB"/>
    <w:rsid w:val="006B08C0"/>
    <w:rsid w:val="006B3D6E"/>
    <w:rsid w:val="006C56A8"/>
    <w:rsid w:val="006D6978"/>
    <w:rsid w:val="006E017C"/>
    <w:rsid w:val="007008EE"/>
    <w:rsid w:val="00714D72"/>
    <w:rsid w:val="00714FB8"/>
    <w:rsid w:val="00721056"/>
    <w:rsid w:val="007362D4"/>
    <w:rsid w:val="00745B66"/>
    <w:rsid w:val="0075300D"/>
    <w:rsid w:val="00755B93"/>
    <w:rsid w:val="007606FD"/>
    <w:rsid w:val="00761B56"/>
    <w:rsid w:val="00764D0C"/>
    <w:rsid w:val="00766E92"/>
    <w:rsid w:val="00772C55"/>
    <w:rsid w:val="007738DA"/>
    <w:rsid w:val="00776CA2"/>
    <w:rsid w:val="007901D8"/>
    <w:rsid w:val="007B4A14"/>
    <w:rsid w:val="007E1CE7"/>
    <w:rsid w:val="007F2738"/>
    <w:rsid w:val="007F2F02"/>
    <w:rsid w:val="0080705C"/>
    <w:rsid w:val="0083709D"/>
    <w:rsid w:val="00847ED2"/>
    <w:rsid w:val="00855771"/>
    <w:rsid w:val="0086195D"/>
    <w:rsid w:val="008678DB"/>
    <w:rsid w:val="00894E70"/>
    <w:rsid w:val="008D422E"/>
    <w:rsid w:val="008F53F3"/>
    <w:rsid w:val="00902D8D"/>
    <w:rsid w:val="009135DA"/>
    <w:rsid w:val="00914409"/>
    <w:rsid w:val="00921652"/>
    <w:rsid w:val="009311D6"/>
    <w:rsid w:val="0093359F"/>
    <w:rsid w:val="00954234"/>
    <w:rsid w:val="00971F1D"/>
    <w:rsid w:val="00977755"/>
    <w:rsid w:val="009922A4"/>
    <w:rsid w:val="00993628"/>
    <w:rsid w:val="009A6AB2"/>
    <w:rsid w:val="009B3DCF"/>
    <w:rsid w:val="009B758A"/>
    <w:rsid w:val="009D1778"/>
    <w:rsid w:val="009F0239"/>
    <w:rsid w:val="009F6534"/>
    <w:rsid w:val="00A0519D"/>
    <w:rsid w:val="00A115E4"/>
    <w:rsid w:val="00A14439"/>
    <w:rsid w:val="00A25506"/>
    <w:rsid w:val="00A25F9C"/>
    <w:rsid w:val="00A26EC4"/>
    <w:rsid w:val="00A30A49"/>
    <w:rsid w:val="00A448CE"/>
    <w:rsid w:val="00A46ABE"/>
    <w:rsid w:val="00A5067B"/>
    <w:rsid w:val="00A562FD"/>
    <w:rsid w:val="00A85E13"/>
    <w:rsid w:val="00A92EA7"/>
    <w:rsid w:val="00A93407"/>
    <w:rsid w:val="00AA251F"/>
    <w:rsid w:val="00AA29C1"/>
    <w:rsid w:val="00AA3AD8"/>
    <w:rsid w:val="00AD6885"/>
    <w:rsid w:val="00AD73FF"/>
    <w:rsid w:val="00AF348D"/>
    <w:rsid w:val="00B1613B"/>
    <w:rsid w:val="00B17200"/>
    <w:rsid w:val="00B226FC"/>
    <w:rsid w:val="00B55764"/>
    <w:rsid w:val="00B8221D"/>
    <w:rsid w:val="00B87258"/>
    <w:rsid w:val="00B9270C"/>
    <w:rsid w:val="00BA654F"/>
    <w:rsid w:val="00BA67D1"/>
    <w:rsid w:val="00BF708F"/>
    <w:rsid w:val="00C24A7D"/>
    <w:rsid w:val="00C44315"/>
    <w:rsid w:val="00C7232C"/>
    <w:rsid w:val="00C804A3"/>
    <w:rsid w:val="00C80DF3"/>
    <w:rsid w:val="00C85A72"/>
    <w:rsid w:val="00C8742E"/>
    <w:rsid w:val="00CC6E67"/>
    <w:rsid w:val="00CD03B2"/>
    <w:rsid w:val="00CE01E2"/>
    <w:rsid w:val="00CE2F0B"/>
    <w:rsid w:val="00CF7802"/>
    <w:rsid w:val="00D051BC"/>
    <w:rsid w:val="00D1294F"/>
    <w:rsid w:val="00D326B7"/>
    <w:rsid w:val="00D33DB8"/>
    <w:rsid w:val="00D3517A"/>
    <w:rsid w:val="00D40BF7"/>
    <w:rsid w:val="00D413A6"/>
    <w:rsid w:val="00D44121"/>
    <w:rsid w:val="00D64939"/>
    <w:rsid w:val="00D64CE3"/>
    <w:rsid w:val="00D95908"/>
    <w:rsid w:val="00D9692F"/>
    <w:rsid w:val="00DC2FC8"/>
    <w:rsid w:val="00DF307C"/>
    <w:rsid w:val="00DF68C9"/>
    <w:rsid w:val="00E019D5"/>
    <w:rsid w:val="00E21A8B"/>
    <w:rsid w:val="00E2602B"/>
    <w:rsid w:val="00E279A6"/>
    <w:rsid w:val="00E40379"/>
    <w:rsid w:val="00E72693"/>
    <w:rsid w:val="00E85835"/>
    <w:rsid w:val="00E90E9D"/>
    <w:rsid w:val="00EA1BA0"/>
    <w:rsid w:val="00EA306E"/>
    <w:rsid w:val="00EA4105"/>
    <w:rsid w:val="00F006EA"/>
    <w:rsid w:val="00F4248B"/>
    <w:rsid w:val="00F52803"/>
    <w:rsid w:val="00F54E18"/>
    <w:rsid w:val="00F55E41"/>
    <w:rsid w:val="00F6661D"/>
    <w:rsid w:val="00F87719"/>
    <w:rsid w:val="00F953C6"/>
    <w:rsid w:val="00F959CB"/>
    <w:rsid w:val="00FA1385"/>
    <w:rsid w:val="00FA3DDC"/>
    <w:rsid w:val="00FA5786"/>
    <w:rsid w:val="00FC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D4105"/>
  <w15:chartTrackingRefBased/>
  <w15:docId w15:val="{20774CAD-C0FE-45F3-A41E-EC8D8162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A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6661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379"/>
  </w:style>
  <w:style w:type="paragraph" w:styleId="Footer">
    <w:name w:val="footer"/>
    <w:basedOn w:val="Normal"/>
    <w:link w:val="FooterChar"/>
    <w:uiPriority w:val="99"/>
    <w:unhideWhenUsed/>
    <w:rsid w:val="00E40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379"/>
  </w:style>
  <w:style w:type="paragraph" w:styleId="Title">
    <w:name w:val="Title"/>
    <w:basedOn w:val="Normal"/>
    <w:link w:val="TitleChar"/>
    <w:uiPriority w:val="99"/>
    <w:qFormat/>
    <w:rsid w:val="00E40379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E4037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F6661D"/>
    <w:rPr>
      <w:rFonts w:ascii="Times New Roman" w:eastAsia="Times New Roman" w:hAnsi="Times New Roman" w:cs="Simplified Arabic"/>
      <w:b/>
      <w:bCs/>
      <w:sz w:val="20"/>
      <w:szCs w:val="20"/>
    </w:rPr>
  </w:style>
  <w:style w:type="paragraph" w:styleId="BodyText2">
    <w:name w:val="Body Text 2"/>
    <w:basedOn w:val="Normal"/>
    <w:link w:val="BodyText2Char"/>
    <w:semiHidden/>
    <w:rsid w:val="00F6661D"/>
    <w:pPr>
      <w:autoSpaceDE w:val="0"/>
      <w:autoSpaceDN w:val="0"/>
      <w:adjustRightInd w:val="0"/>
      <w:spacing w:after="0" w:line="240" w:lineRule="auto"/>
      <w:jc w:val="center"/>
    </w:pPr>
    <w:rPr>
      <w:rFonts w:ascii="Simplified Arabic" w:eastAsia="Times New Roman" w:hAnsi="Times New Roman" w:cs="Simplified Arabic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6661D"/>
    <w:rPr>
      <w:rFonts w:ascii="Simplified Arabic" w:eastAsia="Times New Roman" w:hAnsi="Times New Roman" w:cs="Simplified Arabic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6661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C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2935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3519"/>
  </w:style>
  <w:style w:type="character" w:customStyle="1" w:styleId="Heading2Char">
    <w:name w:val="Heading 2 Char"/>
    <w:basedOn w:val="DefaultParagraphFont"/>
    <w:link w:val="Heading2"/>
    <w:uiPriority w:val="9"/>
    <w:semiHidden/>
    <w:rsid w:val="00C85A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WAHEED SHAHROURI</dc:creator>
  <cp:keywords/>
  <dc:description/>
  <cp:lastModifiedBy>LOAY SHEHADEH</cp:lastModifiedBy>
  <cp:revision>4</cp:revision>
  <cp:lastPrinted>2022-10-03T05:47:00Z</cp:lastPrinted>
  <dcterms:created xsi:type="dcterms:W3CDTF">2022-10-03T05:41:00Z</dcterms:created>
  <dcterms:modified xsi:type="dcterms:W3CDTF">2022-10-03T05:47:00Z</dcterms:modified>
</cp:coreProperties>
</file>