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6707A" w14:textId="5575F500" w:rsidR="00BB3119" w:rsidRPr="00F6104F" w:rsidRDefault="009C6172" w:rsidP="00F57341">
      <w:pPr>
        <w:pStyle w:val="Title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الجهاز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المركزي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للإحصاء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الفلسطيني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والإدارة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العامة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للأرصاد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الجوية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4B0FA1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الفلسطينية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يصدران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بياناً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صح</w:t>
      </w:r>
      <w:r w:rsidR="00F6104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فياً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بمناسبة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اليوم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العالمي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للأرصاد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B3119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الجوية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تحت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شعار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="00B137E5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معاً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137E5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لسد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137E5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الفجوة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137E5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137E5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نظم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137E5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الإنذار</w:t>
      </w:r>
      <w:r w:rsidR="004D4E68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B137E5"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المبكر</w:t>
      </w:r>
      <w:r w:rsidRPr="00F6104F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</w:p>
    <w:p w14:paraId="573BF3F3" w14:textId="77777777" w:rsidR="004A7B97" w:rsidRPr="00F6104F" w:rsidRDefault="004A7B97" w:rsidP="00F6104F">
      <w:pPr>
        <w:pStyle w:val="Title"/>
        <w:rPr>
          <w:rFonts w:ascii="Simplified Arabic" w:hAnsi="Simplified Arabic" w:cs="Simplified Arabic"/>
          <w:color w:val="000000"/>
          <w:sz w:val="12"/>
          <w:szCs w:val="12"/>
        </w:rPr>
      </w:pPr>
    </w:p>
    <w:p w14:paraId="68BEECE4" w14:textId="77777777" w:rsidR="00F57341" w:rsidRDefault="00F5734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color w:val="000000"/>
          <w:rtl/>
          <w:lang w:eastAsia="en-US"/>
        </w:rPr>
      </w:pPr>
    </w:p>
    <w:p w14:paraId="320A8858" w14:textId="7328367A" w:rsidR="004A7B97" w:rsidRPr="00F57341" w:rsidRDefault="009A0B9A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color w:val="000000"/>
          <w:sz w:val="26"/>
          <w:szCs w:val="26"/>
          <w:lang w:eastAsia="en-US"/>
        </w:rPr>
      </w:pP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تحتفل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218EC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المنظمة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218EC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العالمية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218EC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للأرصاد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218EC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الجوية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باليوم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العالمي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للأرصاد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97B15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الجوية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97B15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97B15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23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97B15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آذار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كل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عام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حول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موضوع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مختار،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وموضوع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هذا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العام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هو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0B07FD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"</w:t>
      </w:r>
      <w:r w:rsidR="00893BBF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معاً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93BBF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لسد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93BBF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الفجوة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93BBF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93BBF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نظم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93BBF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الإنذار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93BBF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المبكر</w:t>
      </w:r>
      <w:r w:rsidR="00896F3E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"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تأكيد</w:t>
      </w:r>
      <w:r w:rsidR="00F6104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اً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على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أهمية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تعزيز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أنظمة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التحذير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المبكر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لمواجهة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التغيرات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المناخية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وتقليل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آثارها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على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المجتمعات</w:t>
      </w:r>
      <w:r w:rsidR="00394E3F" w:rsidRPr="00F57341">
        <w:rPr>
          <w:rFonts w:ascii="Simplified Arabic" w:hAnsi="Simplified Arabic" w:cs="Simplified Arabic"/>
          <w:color w:val="000000"/>
          <w:sz w:val="26"/>
          <w:szCs w:val="26"/>
        </w:rPr>
        <w:t>.</w:t>
      </w:r>
    </w:p>
    <w:p w14:paraId="591D745B" w14:textId="77777777" w:rsidR="004A7B97" w:rsidRPr="00F57341" w:rsidRDefault="004A7B97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14:paraId="5A059F79" w14:textId="4EF6E298" w:rsidR="00BC62A7" w:rsidRPr="00F57341" w:rsidRDefault="00DD1D16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lang w:eastAsia="en-US"/>
        </w:rPr>
      </w:pP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فيما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يلي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F6104F" w:rsidRPr="00F5734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>أ</w:t>
      </w:r>
      <w:r w:rsidR="00F6104F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هم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ملامح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المناخ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التي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سادت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خلال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العام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F71940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lang w:eastAsia="en-US"/>
        </w:rPr>
        <w:t>2024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:</w:t>
      </w:r>
    </w:p>
    <w:p w14:paraId="24C3CBB0" w14:textId="77777777" w:rsidR="008D36C6" w:rsidRPr="00F57341" w:rsidRDefault="008D36C6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color w:val="000000"/>
          <w:sz w:val="26"/>
          <w:szCs w:val="26"/>
          <w:lang w:eastAsia="en-US"/>
        </w:rPr>
      </w:pPr>
    </w:p>
    <w:p w14:paraId="0669D38A" w14:textId="3F7A56D3" w:rsidR="008D36C6" w:rsidRPr="00F57341" w:rsidRDefault="008D36C6" w:rsidP="00F6104F">
      <w:pPr>
        <w:pStyle w:val="Heading3"/>
        <w:rPr>
          <w:rStyle w:val="Strong"/>
          <w:rFonts w:hAnsi="Simplified Arabic" w:cs="Simplified Arabic"/>
          <w:b/>
          <w:bCs/>
          <w:sz w:val="26"/>
          <w:szCs w:val="26"/>
          <w:rtl/>
        </w:rPr>
      </w:pPr>
      <w:r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محطة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رصد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الأمطار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في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غزة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خارج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الخدمة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بعد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تدميرها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خلال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العدوان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الإسرائيلي</w:t>
      </w:r>
    </w:p>
    <w:p w14:paraId="24E51C3E" w14:textId="3EE1C94C" w:rsidR="008D36C6" w:rsidRPr="00F57341" w:rsidRDefault="008D36C6" w:rsidP="00F6104F">
      <w:pPr>
        <w:jc w:val="both"/>
        <w:rPr>
          <w:rFonts w:ascii="Simplified Arabic" w:hAnsi="Simplified Arabic" w:cs="Simplified Arabic"/>
          <w:sz w:val="26"/>
          <w:szCs w:val="26"/>
          <w:lang w:eastAsia="en-US"/>
        </w:rPr>
      </w:pP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يضم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قطاع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غزة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12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محطة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لرصد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كميات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الأمطار،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موزعة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شماله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إلى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F7B32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جنوبه،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إلا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أنه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اندلاع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العدوان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الإسرائيلي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السابع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أكتوبر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2023،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تعرضت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جميع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هذه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المحطات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للتدمير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الكامل،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ما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أد</w:t>
      </w:r>
      <w:r w:rsidR="00F6104F" w:rsidRPr="00F57341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َّ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ى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إلى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فقدان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بياناتها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بالكامل.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وبناء</w:t>
      </w:r>
      <w:r w:rsidR="00F6104F" w:rsidRPr="00F57341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ً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على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ذلك،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لن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يتم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إدراجها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هذا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البيان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نظرا</w:t>
      </w:r>
      <w:r w:rsidR="00B22646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ً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لعدم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توفر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أي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بيانات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صادرة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>عنها</w:t>
      </w:r>
      <w:r w:rsidRPr="00F57341">
        <w:rPr>
          <w:rFonts w:ascii="Simplified Arabic" w:hAnsi="Simplified Arabic" w:cs="Simplified Arabic"/>
          <w:sz w:val="26"/>
          <w:szCs w:val="26"/>
        </w:rPr>
        <w:t>.</w:t>
      </w:r>
    </w:p>
    <w:p w14:paraId="04793877" w14:textId="77777777" w:rsidR="00621E92" w:rsidRPr="00F57341" w:rsidRDefault="00621E92" w:rsidP="00F6104F">
      <w:pPr>
        <w:jc w:val="both"/>
        <w:rPr>
          <w:rFonts w:ascii="Simplified Arabic" w:hAnsi="Simplified Arabic" w:cs="Simplified Arabic"/>
          <w:color w:val="000000"/>
          <w:sz w:val="26"/>
          <w:szCs w:val="26"/>
          <w:lang w:eastAsia="en-US"/>
        </w:rPr>
      </w:pPr>
    </w:p>
    <w:p w14:paraId="3977DAB6" w14:textId="76F4472A" w:rsidR="00621E92" w:rsidRPr="00F57341" w:rsidRDefault="00621E92" w:rsidP="00F6104F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فلسطين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F6104F" w:rsidRPr="00F5734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>والإنذار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المبكر</w:t>
      </w:r>
    </w:p>
    <w:p w14:paraId="460E5BC6" w14:textId="3DD17183" w:rsidR="007C3543" w:rsidRPr="00F57341" w:rsidRDefault="007C3543" w:rsidP="00F6104F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</w:pP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ازدادت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أهمية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أنظمة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الإنذار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المبكر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لمواجهة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الأحوال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الجوية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غير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الاعتيادية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التي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تشكل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خطراً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على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الأرواح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والممتلكات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lang w:eastAsia="ar-SA"/>
        </w:rPr>
        <w:t>.</w:t>
      </w:r>
    </w:p>
    <w:p w14:paraId="0CC2C80A" w14:textId="77777777" w:rsidR="00F6104F" w:rsidRPr="00F57341" w:rsidRDefault="00F6104F" w:rsidP="00F6104F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sz w:val="10"/>
          <w:szCs w:val="10"/>
          <w:rtl/>
          <w:lang w:eastAsia="ar-SA"/>
        </w:rPr>
      </w:pPr>
    </w:p>
    <w:p w14:paraId="2FE384BC" w14:textId="7F808E73" w:rsidR="007C3543" w:rsidRPr="00F57341" w:rsidRDefault="00B22646" w:rsidP="00F6104F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</w:pP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نفذت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الأرصاد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الجوية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بين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F6104F" w:rsidRPr="00F57341">
        <w:rPr>
          <w:rFonts w:ascii="Simplified Arabic" w:hAnsi="Simplified Arabic" w:cs="Simplified Arabic" w:hint="cs"/>
          <w:color w:val="000000"/>
          <w:sz w:val="26"/>
          <w:szCs w:val="26"/>
          <w:rtl/>
          <w:lang w:eastAsia="ar-SA"/>
        </w:rPr>
        <w:t>ال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عامي</w:t>
      </w:r>
      <w:r w:rsidR="00F6104F" w:rsidRPr="00F57341">
        <w:rPr>
          <w:rFonts w:ascii="Simplified Arabic" w:hAnsi="Simplified Arabic" w:cs="Simplified Arabic" w:hint="cs"/>
          <w:color w:val="000000"/>
          <w:sz w:val="26"/>
          <w:szCs w:val="26"/>
          <w:rtl/>
          <w:lang w:eastAsia="ar-SA"/>
        </w:rPr>
        <w:t>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2021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و2022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و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بالتعاون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مع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العديد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الشركاء</w:t>
      </w:r>
      <w:r w:rsidR="00F6104F" w:rsidRPr="00F57341">
        <w:rPr>
          <w:rFonts w:ascii="Simplified Arabic" w:hAnsi="Simplified Arabic" w:cs="Simplified Arabic" w:hint="cs"/>
          <w:color w:val="000000"/>
          <w:sz w:val="26"/>
          <w:szCs w:val="26"/>
          <w:rtl/>
          <w:lang w:eastAsia="ar-SA"/>
        </w:rPr>
        <w:t>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مشاريع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لتعزيز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البنية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التحتية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التقنية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والبشرية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في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مجالات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الإنذار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المبكر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لخدمة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مختلف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القطاعات،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حيث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تم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تركيب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11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محطة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رصد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جوي،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منها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محطتان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لقياس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الفيضانات،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إضافة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إلى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نظام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تنبؤات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يربط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مركز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التنبؤات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الجوية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بمصادر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البيانات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الدولية</w:t>
      </w:r>
      <w:r w:rsidR="00F6104F" w:rsidRPr="00F57341">
        <w:rPr>
          <w:rFonts w:ascii="Simplified Arabic" w:hAnsi="Simplified Arabic" w:cs="Simplified Arabic" w:hint="cs"/>
          <w:color w:val="000000"/>
          <w:sz w:val="26"/>
          <w:szCs w:val="26"/>
          <w:rtl/>
          <w:lang w:eastAsia="ar-SA"/>
        </w:rPr>
        <w:t>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وينقل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التحذيرات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مباشرة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إلى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الجهات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المعنية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والمواطنين</w:t>
      </w:r>
      <w:r w:rsidR="007C3543" w:rsidRPr="00F57341">
        <w:rPr>
          <w:rFonts w:ascii="Simplified Arabic" w:hAnsi="Simplified Arabic" w:cs="Simplified Arabic"/>
          <w:color w:val="000000"/>
          <w:sz w:val="26"/>
          <w:szCs w:val="26"/>
          <w:lang w:eastAsia="ar-SA"/>
        </w:rPr>
        <w:t>.</w:t>
      </w:r>
    </w:p>
    <w:p w14:paraId="6B4F7B2A" w14:textId="77777777" w:rsidR="00F6104F" w:rsidRPr="00F57341" w:rsidRDefault="00F6104F" w:rsidP="00F6104F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sz w:val="10"/>
          <w:szCs w:val="10"/>
          <w:lang w:eastAsia="ar-SA"/>
        </w:rPr>
      </w:pPr>
    </w:p>
    <w:p w14:paraId="4667F6EA" w14:textId="06CCAF5B" w:rsidR="00621E92" w:rsidRPr="00F57341" w:rsidRDefault="007C3543" w:rsidP="00F6104F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</w:pP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حالي</w:t>
      </w:r>
      <w:r w:rsidR="00F6104F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اً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يجري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تنفيذ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مشروع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لتعزيز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التكيف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الزراعي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مع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تغير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المناخ</w:t>
      </w:r>
      <w:r w:rsidR="00F6104F" w:rsidRPr="00F57341">
        <w:rPr>
          <w:rFonts w:ascii="Simplified Arabic" w:hAnsi="Simplified Arabic" w:cs="Simplified Arabic" w:hint="cs"/>
          <w:color w:val="000000"/>
          <w:sz w:val="26"/>
          <w:szCs w:val="26"/>
          <w:rtl/>
          <w:lang w:eastAsia="ar-SA"/>
        </w:rPr>
        <w:t>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خلال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تركيب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lang w:eastAsia="ar-SA"/>
        </w:rPr>
        <w:t>9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محطات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رصد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جديدة</w:t>
      </w:r>
      <w:r w:rsidR="00F6104F" w:rsidRPr="00F57341">
        <w:rPr>
          <w:rFonts w:ascii="Simplified Arabic" w:hAnsi="Simplified Arabic" w:cs="Simplified Arabic" w:hint="cs"/>
          <w:color w:val="000000"/>
          <w:sz w:val="26"/>
          <w:szCs w:val="26"/>
          <w:rtl/>
          <w:lang w:eastAsia="ar-SA"/>
        </w:rPr>
        <w:t>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ونظام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إنذار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مبكر،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ما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يتيح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إصدار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إرشادات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للمزارعين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حول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المخاطر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الجوية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وتأثيرها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على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  <w:t>المحاصيل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lang w:eastAsia="ar-SA"/>
        </w:rPr>
        <w:t>.</w:t>
      </w:r>
    </w:p>
    <w:p w14:paraId="389B19E7" w14:textId="77777777" w:rsidR="00F6104F" w:rsidRPr="00F57341" w:rsidRDefault="00F6104F" w:rsidP="00F6104F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ar-SA"/>
        </w:rPr>
      </w:pPr>
    </w:p>
    <w:p w14:paraId="1D7847F3" w14:textId="3A0C8100" w:rsidR="00EE1E1A" w:rsidRPr="00F57341" w:rsidRDefault="0034725C" w:rsidP="00F6104F">
      <w:pPr>
        <w:pStyle w:val="Heading3"/>
        <w:rPr>
          <w:rFonts w:hAnsi="Simplified Arabic" w:cs="Simplified Arabic"/>
          <w:sz w:val="26"/>
          <w:szCs w:val="26"/>
          <w:lang w:eastAsia="en-US"/>
        </w:rPr>
      </w:pPr>
      <w:r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شح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="00EE1E1A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كميات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="00EE1E1A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الأمطار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="00EE1E1A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خلال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="00EE1E1A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الموسم</w:t>
      </w:r>
      <w:r w:rsidR="004D4E68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 xml:space="preserve"> </w:t>
      </w:r>
      <w:r w:rsidR="00EE1E1A" w:rsidRPr="00F57341">
        <w:rPr>
          <w:rStyle w:val="Strong"/>
          <w:rFonts w:hAnsi="Simplified Arabic" w:cs="Simplified Arabic"/>
          <w:b/>
          <w:bCs/>
          <w:sz w:val="26"/>
          <w:szCs w:val="26"/>
          <w:rtl/>
        </w:rPr>
        <w:t>المطري</w:t>
      </w:r>
    </w:p>
    <w:p w14:paraId="2A6D000F" w14:textId="7F92C95B" w:rsidR="004A7B97" w:rsidRPr="00F57341" w:rsidRDefault="00456836" w:rsidP="00B00C44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أظهرت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بيانات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23FD1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الأرصاد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23FD1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الجوية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23FD1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الفلسطينية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4725C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خلال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الموسم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المطري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565B61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ل</w:t>
      </w:r>
      <w:r w:rsidR="00F6104F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</w:t>
      </w:r>
      <w:r w:rsidR="00565B61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عام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930D2C" w:rsidRPr="00F57341">
        <w:rPr>
          <w:rFonts w:ascii="Simplified Arabic" w:hAnsi="Simplified Arabic" w:cs="Simplified Arabic"/>
          <w:sz w:val="26"/>
          <w:szCs w:val="26"/>
          <w:lang w:eastAsia="en-US"/>
        </w:rPr>
        <w:t>2025</w:t>
      </w:r>
      <w:r w:rsidR="00DA7EEF" w:rsidRPr="00F57341">
        <w:rPr>
          <w:rFonts w:ascii="Simplified Arabic" w:hAnsi="Simplified Arabic" w:cs="Simplified Arabic"/>
          <w:sz w:val="26"/>
          <w:szCs w:val="26"/>
          <w:lang w:eastAsia="en-US"/>
        </w:rPr>
        <w:t>/</w:t>
      </w:r>
      <w:r w:rsidR="00930D2C" w:rsidRPr="00F57341">
        <w:rPr>
          <w:rFonts w:ascii="Simplified Arabic" w:hAnsi="Simplified Arabic" w:cs="Simplified Arabic"/>
          <w:sz w:val="26"/>
          <w:szCs w:val="26"/>
          <w:lang w:eastAsia="en-US"/>
        </w:rPr>
        <w:t>2024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4725C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حتى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00C44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02</w:t>
      </w:r>
      <w:r w:rsidR="0034725C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/</w:t>
      </w:r>
      <w:r w:rsidR="00B00C44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03</w:t>
      </w:r>
      <w:r w:rsidR="0034725C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/2025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الضفة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الغربية</w:t>
      </w:r>
      <w:r w:rsidR="00F6104F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الهطول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المطري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0269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متدن</w:t>
      </w:r>
      <w:r w:rsidR="00F6104F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ٍ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0269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وشحيح،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0269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وذلك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0269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لارتفاع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0269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درجات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0269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الحرارة</w:t>
      </w:r>
      <w:r w:rsidR="00F6104F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0269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وندرة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6104F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الأمطار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0269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خلال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0269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هذه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0269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الفترة،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0269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حيث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تركز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4725C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الهطول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4725C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المطري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على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مناطق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شمال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ووسط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الضفة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الغربية</w:t>
      </w:r>
      <w:r w:rsidR="00F6104F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فيما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يظهر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بوضوح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54555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</w:t>
      </w:r>
      <w:r w:rsidR="00FE60F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مناطق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جنوب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الضفة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الغربية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0269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كانت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6104F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أ</w:t>
      </w:r>
      <w:r w:rsidR="00F6104F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قل </w:t>
      </w:r>
      <w:r w:rsidR="0030269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حظاً</w:t>
      </w:r>
      <w:r w:rsidR="00F6104F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وعليه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E60F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كانت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23FD1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على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كميات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أمطار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هطلت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س</w:t>
      </w:r>
      <w:r w:rsidR="00F6104F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ُ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ج</w:t>
      </w:r>
      <w:r w:rsidR="00F6104F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ّ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لت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62A7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77A22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سلفيت</w:t>
      </w:r>
      <w:r w:rsidR="00F6104F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حيث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بلغت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146F04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332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ملم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(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يشكل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ما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نسبته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E11211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حوالي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77A22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4</w:t>
      </w:r>
      <w:r w:rsidR="00146F04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8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المعدل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62A7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للمحطة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)،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فيما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سجلت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76EA7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أدنى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76EA7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كمية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D4E61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أمطار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76EA7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62A7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6104F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أريحا</w:t>
      </w:r>
      <w:r w:rsidR="00276EA7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حيث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بلغت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77A22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54.8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ملم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(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يشكل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ما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نسبته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E11211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حوالي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F77A22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33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المعدل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D7E0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C62A7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للمحطة</w:t>
      </w:r>
      <w:r w:rsidR="0002040A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).</w:t>
      </w:r>
    </w:p>
    <w:p w14:paraId="3D43A2CB" w14:textId="66C90D9A" w:rsidR="00F57341" w:rsidRPr="00F57341" w:rsidRDefault="00F57341" w:rsidP="00B00C44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</w:p>
    <w:p w14:paraId="4A1BAE34" w14:textId="22F6D1E4" w:rsidR="00F57341" w:rsidRPr="00F57341" w:rsidRDefault="00F57341" w:rsidP="00B00C44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</w:p>
    <w:p w14:paraId="71DED8DD" w14:textId="0D32899A" w:rsidR="00F57341" w:rsidRPr="00F57341" w:rsidRDefault="00F57341" w:rsidP="00B00C44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</w:p>
    <w:p w14:paraId="71B76D67" w14:textId="5852F72E" w:rsidR="0046287F" w:rsidRPr="00F57341" w:rsidRDefault="0046287F" w:rsidP="00D0717D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كميات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الأمطار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التراكمية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المسجلة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محطات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الضفة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الغربية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منذ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بداية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الموسم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المطري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2024/2025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وحتى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D0717D" w:rsidRPr="00F5734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>02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/</w:t>
      </w:r>
      <w:r w:rsidR="00D0717D" w:rsidRPr="00F57341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>03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/</w:t>
      </w:r>
      <w:r w:rsidR="008A1FF6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2025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8A1FF6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مقارنة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مع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معدلاتها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العامة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حسب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موقع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المحطة</w:t>
      </w:r>
    </w:p>
    <w:tbl>
      <w:tblPr>
        <w:tblStyle w:val="TableGrid"/>
        <w:bidiVisual/>
        <w:tblW w:w="0" w:type="auto"/>
        <w:tblInd w:w="2478" w:type="dxa"/>
        <w:tblLook w:val="04A0" w:firstRow="1" w:lastRow="0" w:firstColumn="1" w:lastColumn="0" w:noHBand="0" w:noVBand="1"/>
      </w:tblPr>
      <w:tblGrid>
        <w:gridCol w:w="1280"/>
        <w:gridCol w:w="1453"/>
        <w:gridCol w:w="701"/>
        <w:gridCol w:w="1240"/>
      </w:tblGrid>
      <w:tr w:rsidR="00394E3F" w:rsidRPr="00F6104F" w14:paraId="6A81004B" w14:textId="77777777" w:rsidTr="00F57341">
        <w:tc>
          <w:tcPr>
            <w:tcW w:w="1280" w:type="dxa"/>
          </w:tcPr>
          <w:p w14:paraId="24ECFE6F" w14:textId="1E4CBE12" w:rsidR="00394E3F" w:rsidRPr="005C5FA0" w:rsidRDefault="00394E3F" w:rsidP="00F6104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موقع</w:t>
            </w:r>
            <w:r w:rsidR="004D4E68"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المحطة</w:t>
            </w:r>
          </w:p>
        </w:tc>
        <w:tc>
          <w:tcPr>
            <w:tcW w:w="1453" w:type="dxa"/>
          </w:tcPr>
          <w:p w14:paraId="32E99F19" w14:textId="6B466C36" w:rsidR="00394E3F" w:rsidRPr="005C5FA0" w:rsidRDefault="00394E3F" w:rsidP="00F6104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كمية</w:t>
            </w:r>
            <w:r w:rsidR="004D4E68"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الأمطار</w:t>
            </w:r>
            <w:r w:rsidR="004D4E68"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التراكمية</w:t>
            </w:r>
            <w:r w:rsidR="004D4E68"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(ملم)</w:t>
            </w:r>
          </w:p>
          <w:p w14:paraId="47895374" w14:textId="2EF223A1" w:rsidR="00394E3F" w:rsidRPr="005C5FA0" w:rsidRDefault="00394E3F" w:rsidP="008E727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حتى</w:t>
            </w:r>
            <w:r w:rsidR="004D4E68"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تاريخ</w:t>
            </w:r>
            <w:r w:rsidR="004D4E68"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8E727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02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/</w:t>
            </w:r>
            <w:r w:rsidR="008E727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03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/2025</w:t>
            </w:r>
          </w:p>
        </w:tc>
        <w:tc>
          <w:tcPr>
            <w:tcW w:w="701" w:type="dxa"/>
          </w:tcPr>
          <w:p w14:paraId="7A536D04" w14:textId="561998D0" w:rsidR="00394E3F" w:rsidRPr="005C5FA0" w:rsidRDefault="00394E3F" w:rsidP="00F6104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المعدل</w:t>
            </w:r>
            <w:r w:rsidR="004D4E68"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العام</w:t>
            </w:r>
            <w:r w:rsidR="004D4E68"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(ملم)</w:t>
            </w:r>
            <w:r w:rsidR="004D4E68"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40" w:type="dxa"/>
          </w:tcPr>
          <w:p w14:paraId="6D8A3786" w14:textId="15D67D65" w:rsidR="00394E3F" w:rsidRPr="005C5FA0" w:rsidRDefault="00394E3F" w:rsidP="00F6104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النسبة</w:t>
            </w:r>
            <w:r w:rsidR="004D4E68"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من</w:t>
            </w:r>
            <w:r w:rsidR="004D4E68"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المعدل</w:t>
            </w:r>
            <w:r w:rsidR="004D4E68"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العام</w:t>
            </w:r>
            <w:r w:rsidR="004D4E68"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(%)</w:t>
            </w:r>
          </w:p>
        </w:tc>
      </w:tr>
      <w:tr w:rsidR="00D0717D" w:rsidRPr="00F6104F" w14:paraId="7C34EFD7" w14:textId="77777777" w:rsidTr="00F57341">
        <w:tc>
          <w:tcPr>
            <w:tcW w:w="1280" w:type="dxa"/>
            <w:vAlign w:val="center"/>
          </w:tcPr>
          <w:p w14:paraId="71F53DBF" w14:textId="77777777" w:rsidR="00D0717D" w:rsidRPr="005C5FA0" w:rsidRDefault="00D0717D" w:rsidP="00D0717D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سلفيت</w:t>
            </w:r>
          </w:p>
        </w:tc>
        <w:tc>
          <w:tcPr>
            <w:tcW w:w="1453" w:type="dxa"/>
            <w:vAlign w:val="center"/>
          </w:tcPr>
          <w:p w14:paraId="684EB5EE" w14:textId="6BE92946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D0717D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332.0</w:t>
            </w:r>
          </w:p>
        </w:tc>
        <w:tc>
          <w:tcPr>
            <w:tcW w:w="701" w:type="dxa"/>
            <w:vAlign w:val="center"/>
          </w:tcPr>
          <w:p w14:paraId="2EA65AE1" w14:textId="77777777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698.1</w:t>
            </w:r>
          </w:p>
        </w:tc>
        <w:tc>
          <w:tcPr>
            <w:tcW w:w="1240" w:type="dxa"/>
            <w:vAlign w:val="center"/>
          </w:tcPr>
          <w:p w14:paraId="3EF94766" w14:textId="58FF09B9" w:rsidR="00D0717D" w:rsidRPr="005C5FA0" w:rsidRDefault="008E7278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48</w:t>
            </w:r>
          </w:p>
        </w:tc>
      </w:tr>
      <w:tr w:rsidR="00D0717D" w:rsidRPr="00F6104F" w14:paraId="6A192993" w14:textId="77777777" w:rsidTr="00F57341">
        <w:tc>
          <w:tcPr>
            <w:tcW w:w="1280" w:type="dxa"/>
            <w:vAlign w:val="center"/>
          </w:tcPr>
          <w:p w14:paraId="15E1F881" w14:textId="77777777" w:rsidR="00D0717D" w:rsidRPr="005C5FA0" w:rsidRDefault="00D0717D" w:rsidP="00D0717D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نابلس</w:t>
            </w:r>
          </w:p>
        </w:tc>
        <w:tc>
          <w:tcPr>
            <w:tcW w:w="1453" w:type="dxa"/>
            <w:vAlign w:val="center"/>
          </w:tcPr>
          <w:p w14:paraId="190727D6" w14:textId="5ED1C93A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D0717D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331.4</w:t>
            </w:r>
          </w:p>
        </w:tc>
        <w:tc>
          <w:tcPr>
            <w:tcW w:w="701" w:type="dxa"/>
            <w:vAlign w:val="center"/>
          </w:tcPr>
          <w:p w14:paraId="428FEE58" w14:textId="77777777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660.1</w:t>
            </w:r>
          </w:p>
        </w:tc>
        <w:tc>
          <w:tcPr>
            <w:tcW w:w="1240" w:type="dxa"/>
            <w:vAlign w:val="center"/>
          </w:tcPr>
          <w:p w14:paraId="26B78940" w14:textId="148C1373" w:rsidR="00D0717D" w:rsidRPr="005C5FA0" w:rsidRDefault="008E7278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50</w:t>
            </w:r>
          </w:p>
        </w:tc>
      </w:tr>
      <w:tr w:rsidR="00D0717D" w:rsidRPr="00F6104F" w14:paraId="7A5846EB" w14:textId="77777777" w:rsidTr="00F57341">
        <w:tc>
          <w:tcPr>
            <w:tcW w:w="1280" w:type="dxa"/>
            <w:vAlign w:val="center"/>
          </w:tcPr>
          <w:p w14:paraId="625CD79F" w14:textId="68CF6662" w:rsidR="00D0717D" w:rsidRPr="005C5FA0" w:rsidRDefault="00D0717D" w:rsidP="00D0717D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قلقيلية</w:t>
            </w:r>
          </w:p>
        </w:tc>
        <w:tc>
          <w:tcPr>
            <w:tcW w:w="1453" w:type="dxa"/>
            <w:vAlign w:val="center"/>
          </w:tcPr>
          <w:p w14:paraId="1EC8EC32" w14:textId="721312DD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D0717D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331.0</w:t>
            </w:r>
          </w:p>
        </w:tc>
        <w:tc>
          <w:tcPr>
            <w:tcW w:w="701" w:type="dxa"/>
            <w:vAlign w:val="center"/>
          </w:tcPr>
          <w:p w14:paraId="1D19F031" w14:textId="77777777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624.9</w:t>
            </w:r>
          </w:p>
        </w:tc>
        <w:tc>
          <w:tcPr>
            <w:tcW w:w="1240" w:type="dxa"/>
            <w:vAlign w:val="center"/>
          </w:tcPr>
          <w:p w14:paraId="072039DB" w14:textId="5CD2EA68" w:rsidR="00D0717D" w:rsidRPr="005C5FA0" w:rsidRDefault="00D0717D" w:rsidP="008E7278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D0717D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53</w:t>
            </w:r>
          </w:p>
        </w:tc>
      </w:tr>
      <w:tr w:rsidR="00D0717D" w:rsidRPr="00F6104F" w14:paraId="5213DFA6" w14:textId="77777777" w:rsidTr="00F57341">
        <w:tc>
          <w:tcPr>
            <w:tcW w:w="1280" w:type="dxa"/>
            <w:vAlign w:val="center"/>
          </w:tcPr>
          <w:p w14:paraId="27A5A6B3" w14:textId="7797A1A1" w:rsidR="00D0717D" w:rsidRPr="005C5FA0" w:rsidRDefault="00D0717D" w:rsidP="00D0717D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طولكرم</w:t>
            </w:r>
          </w:p>
        </w:tc>
        <w:tc>
          <w:tcPr>
            <w:tcW w:w="1453" w:type="dxa"/>
            <w:vAlign w:val="center"/>
          </w:tcPr>
          <w:p w14:paraId="18F8E849" w14:textId="62E2FFD5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D0717D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289.9</w:t>
            </w:r>
          </w:p>
        </w:tc>
        <w:tc>
          <w:tcPr>
            <w:tcW w:w="701" w:type="dxa"/>
            <w:vAlign w:val="center"/>
          </w:tcPr>
          <w:p w14:paraId="1FF40865" w14:textId="77777777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602.4</w:t>
            </w:r>
          </w:p>
        </w:tc>
        <w:tc>
          <w:tcPr>
            <w:tcW w:w="1240" w:type="dxa"/>
            <w:vAlign w:val="center"/>
          </w:tcPr>
          <w:p w14:paraId="6FF2D64B" w14:textId="22778A80" w:rsidR="00D0717D" w:rsidRPr="005C5FA0" w:rsidRDefault="00D0717D" w:rsidP="008E7278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D0717D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48</w:t>
            </w:r>
          </w:p>
        </w:tc>
      </w:tr>
      <w:tr w:rsidR="00D0717D" w:rsidRPr="00F6104F" w14:paraId="357B3C2E" w14:textId="77777777" w:rsidTr="00F57341">
        <w:tc>
          <w:tcPr>
            <w:tcW w:w="1280" w:type="dxa"/>
            <w:vAlign w:val="center"/>
          </w:tcPr>
          <w:p w14:paraId="5F77CC6D" w14:textId="0F208A23" w:rsidR="00D0717D" w:rsidRPr="005C5FA0" w:rsidRDefault="00D0717D" w:rsidP="00D0717D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رام الله والبيرة</w:t>
            </w:r>
          </w:p>
        </w:tc>
        <w:tc>
          <w:tcPr>
            <w:tcW w:w="1453" w:type="dxa"/>
            <w:vAlign w:val="center"/>
          </w:tcPr>
          <w:p w14:paraId="11EA6BBC" w14:textId="1EA33506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D0717D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257.4</w:t>
            </w:r>
          </w:p>
        </w:tc>
        <w:tc>
          <w:tcPr>
            <w:tcW w:w="701" w:type="dxa"/>
            <w:vAlign w:val="center"/>
          </w:tcPr>
          <w:p w14:paraId="6933C19E" w14:textId="77777777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615.2</w:t>
            </w:r>
          </w:p>
        </w:tc>
        <w:tc>
          <w:tcPr>
            <w:tcW w:w="1240" w:type="dxa"/>
            <w:vAlign w:val="center"/>
          </w:tcPr>
          <w:p w14:paraId="0197BEB1" w14:textId="344BAF06" w:rsidR="00D0717D" w:rsidRPr="005C5FA0" w:rsidRDefault="008E7278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42</w:t>
            </w:r>
          </w:p>
        </w:tc>
      </w:tr>
      <w:tr w:rsidR="00D0717D" w:rsidRPr="00F6104F" w14:paraId="28FD87C0" w14:textId="77777777" w:rsidTr="00F57341">
        <w:tc>
          <w:tcPr>
            <w:tcW w:w="1280" w:type="dxa"/>
            <w:vAlign w:val="center"/>
          </w:tcPr>
          <w:p w14:paraId="53C08D2C" w14:textId="77777777" w:rsidR="00D0717D" w:rsidRPr="005C5FA0" w:rsidRDefault="00D0717D" w:rsidP="00D0717D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الخليل</w:t>
            </w:r>
          </w:p>
        </w:tc>
        <w:tc>
          <w:tcPr>
            <w:tcW w:w="1453" w:type="dxa"/>
            <w:vAlign w:val="center"/>
          </w:tcPr>
          <w:p w14:paraId="1CF4BBD6" w14:textId="0AB354F9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D0717D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226.0</w:t>
            </w:r>
          </w:p>
        </w:tc>
        <w:tc>
          <w:tcPr>
            <w:tcW w:w="701" w:type="dxa"/>
            <w:vAlign w:val="center"/>
          </w:tcPr>
          <w:p w14:paraId="73D6B4F7" w14:textId="77777777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595.9</w:t>
            </w:r>
          </w:p>
        </w:tc>
        <w:tc>
          <w:tcPr>
            <w:tcW w:w="1240" w:type="dxa"/>
            <w:vAlign w:val="center"/>
          </w:tcPr>
          <w:p w14:paraId="0EE958BA" w14:textId="7052840D" w:rsidR="00D0717D" w:rsidRPr="005C5FA0" w:rsidRDefault="008E7278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38</w:t>
            </w:r>
          </w:p>
        </w:tc>
      </w:tr>
      <w:tr w:rsidR="00D0717D" w:rsidRPr="00F6104F" w14:paraId="1EC6FF3C" w14:textId="77777777" w:rsidTr="00F57341">
        <w:tc>
          <w:tcPr>
            <w:tcW w:w="1280" w:type="dxa"/>
            <w:vAlign w:val="center"/>
          </w:tcPr>
          <w:p w14:paraId="214DA2B9" w14:textId="6E6022E0" w:rsidR="00D0717D" w:rsidRPr="005C5FA0" w:rsidRDefault="00D0717D" w:rsidP="00D0717D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جنين</w:t>
            </w:r>
          </w:p>
        </w:tc>
        <w:tc>
          <w:tcPr>
            <w:tcW w:w="1453" w:type="dxa"/>
            <w:vAlign w:val="center"/>
          </w:tcPr>
          <w:p w14:paraId="3A68621B" w14:textId="63B24A0F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D0717D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224.1</w:t>
            </w:r>
          </w:p>
        </w:tc>
        <w:tc>
          <w:tcPr>
            <w:tcW w:w="701" w:type="dxa"/>
            <w:vAlign w:val="center"/>
          </w:tcPr>
          <w:p w14:paraId="518889E9" w14:textId="77777777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468.2</w:t>
            </w:r>
          </w:p>
        </w:tc>
        <w:tc>
          <w:tcPr>
            <w:tcW w:w="1240" w:type="dxa"/>
            <w:vAlign w:val="center"/>
          </w:tcPr>
          <w:p w14:paraId="7E1FA341" w14:textId="5D52AEE9" w:rsidR="00D0717D" w:rsidRPr="005C5FA0" w:rsidRDefault="008E7278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48</w:t>
            </w:r>
          </w:p>
        </w:tc>
      </w:tr>
      <w:tr w:rsidR="00D0717D" w:rsidRPr="00F6104F" w14:paraId="4B2EF919" w14:textId="77777777" w:rsidTr="00F57341">
        <w:tc>
          <w:tcPr>
            <w:tcW w:w="1280" w:type="dxa"/>
            <w:vAlign w:val="center"/>
          </w:tcPr>
          <w:p w14:paraId="533A55C5" w14:textId="77777777" w:rsidR="00D0717D" w:rsidRPr="005C5FA0" w:rsidRDefault="00D0717D" w:rsidP="00D0717D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طوباس</w:t>
            </w:r>
          </w:p>
        </w:tc>
        <w:tc>
          <w:tcPr>
            <w:tcW w:w="1453" w:type="dxa"/>
            <w:vAlign w:val="center"/>
          </w:tcPr>
          <w:p w14:paraId="7FF95083" w14:textId="4E1872D3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D0717D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219.0</w:t>
            </w:r>
          </w:p>
        </w:tc>
        <w:tc>
          <w:tcPr>
            <w:tcW w:w="701" w:type="dxa"/>
            <w:vAlign w:val="center"/>
          </w:tcPr>
          <w:p w14:paraId="1A92ABA7" w14:textId="77777777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431.2</w:t>
            </w:r>
          </w:p>
        </w:tc>
        <w:tc>
          <w:tcPr>
            <w:tcW w:w="1240" w:type="dxa"/>
            <w:vAlign w:val="center"/>
          </w:tcPr>
          <w:p w14:paraId="07CFD51A" w14:textId="125D1CAC" w:rsidR="00D0717D" w:rsidRPr="005C5FA0" w:rsidRDefault="008E7278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51</w:t>
            </w:r>
          </w:p>
        </w:tc>
      </w:tr>
      <w:tr w:rsidR="00D0717D" w:rsidRPr="00F6104F" w14:paraId="2565C485" w14:textId="77777777" w:rsidTr="00F57341">
        <w:tc>
          <w:tcPr>
            <w:tcW w:w="1280" w:type="dxa"/>
            <w:vAlign w:val="center"/>
          </w:tcPr>
          <w:p w14:paraId="641705D4" w14:textId="7926D41F" w:rsidR="00D0717D" w:rsidRPr="005C5FA0" w:rsidRDefault="00D0717D" w:rsidP="00D0717D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القدس</w:t>
            </w:r>
          </w:p>
        </w:tc>
        <w:tc>
          <w:tcPr>
            <w:tcW w:w="1453" w:type="dxa"/>
            <w:vAlign w:val="center"/>
          </w:tcPr>
          <w:p w14:paraId="6247765F" w14:textId="0235EDA3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D0717D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207.5</w:t>
            </w:r>
          </w:p>
        </w:tc>
        <w:tc>
          <w:tcPr>
            <w:tcW w:w="701" w:type="dxa"/>
            <w:vAlign w:val="center"/>
          </w:tcPr>
          <w:p w14:paraId="6A950AFA" w14:textId="77777777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537.0</w:t>
            </w:r>
          </w:p>
        </w:tc>
        <w:tc>
          <w:tcPr>
            <w:tcW w:w="1240" w:type="dxa"/>
            <w:vAlign w:val="center"/>
          </w:tcPr>
          <w:p w14:paraId="72D30B4F" w14:textId="3401DE2D" w:rsidR="00D0717D" w:rsidRPr="005C5FA0" w:rsidRDefault="008E7278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39</w:t>
            </w:r>
          </w:p>
        </w:tc>
      </w:tr>
      <w:tr w:rsidR="00D0717D" w:rsidRPr="00F6104F" w14:paraId="39AED4F0" w14:textId="77777777" w:rsidTr="00F57341">
        <w:tc>
          <w:tcPr>
            <w:tcW w:w="1280" w:type="dxa"/>
            <w:vAlign w:val="center"/>
          </w:tcPr>
          <w:p w14:paraId="4C30EEAB" w14:textId="772A5DC5" w:rsidR="00D0717D" w:rsidRPr="005C5FA0" w:rsidRDefault="00D0717D" w:rsidP="00D0717D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بيت لحم</w:t>
            </w:r>
          </w:p>
        </w:tc>
        <w:tc>
          <w:tcPr>
            <w:tcW w:w="1453" w:type="dxa"/>
            <w:vAlign w:val="center"/>
          </w:tcPr>
          <w:p w14:paraId="0C40F37C" w14:textId="573029F1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D0717D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187.6</w:t>
            </w:r>
          </w:p>
        </w:tc>
        <w:tc>
          <w:tcPr>
            <w:tcW w:w="701" w:type="dxa"/>
            <w:vAlign w:val="center"/>
          </w:tcPr>
          <w:p w14:paraId="32C99BF6" w14:textId="77777777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518.4</w:t>
            </w:r>
          </w:p>
        </w:tc>
        <w:tc>
          <w:tcPr>
            <w:tcW w:w="1240" w:type="dxa"/>
            <w:vAlign w:val="center"/>
          </w:tcPr>
          <w:p w14:paraId="7B7103E1" w14:textId="69355537" w:rsidR="00D0717D" w:rsidRPr="005C5FA0" w:rsidRDefault="008E7278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36</w:t>
            </w:r>
          </w:p>
        </w:tc>
      </w:tr>
      <w:tr w:rsidR="00D0717D" w:rsidRPr="00F6104F" w14:paraId="2700BE4D" w14:textId="77777777" w:rsidTr="00F57341">
        <w:tc>
          <w:tcPr>
            <w:tcW w:w="1280" w:type="dxa"/>
            <w:vAlign w:val="center"/>
          </w:tcPr>
          <w:p w14:paraId="032BBAF5" w14:textId="0CFD1698" w:rsidR="00D0717D" w:rsidRPr="005C5FA0" w:rsidRDefault="00D0717D" w:rsidP="00D0717D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 w:hint="eastAsia"/>
                <w:color w:val="000000"/>
                <w:sz w:val="20"/>
                <w:szCs w:val="20"/>
                <w:rtl/>
              </w:rPr>
              <w:t>أريحا</w:t>
            </w:r>
          </w:p>
        </w:tc>
        <w:tc>
          <w:tcPr>
            <w:tcW w:w="1453" w:type="dxa"/>
            <w:vAlign w:val="center"/>
          </w:tcPr>
          <w:p w14:paraId="3FAFEC38" w14:textId="5E61EEEF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D0717D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54.8</w:t>
            </w:r>
          </w:p>
        </w:tc>
        <w:tc>
          <w:tcPr>
            <w:tcW w:w="701" w:type="dxa"/>
            <w:vAlign w:val="center"/>
          </w:tcPr>
          <w:p w14:paraId="5B06086C" w14:textId="77777777" w:rsidR="00D0717D" w:rsidRPr="005C5FA0" w:rsidRDefault="00D0717D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166.0</w:t>
            </w:r>
          </w:p>
        </w:tc>
        <w:tc>
          <w:tcPr>
            <w:tcW w:w="1240" w:type="dxa"/>
            <w:vAlign w:val="center"/>
          </w:tcPr>
          <w:p w14:paraId="117DED2E" w14:textId="2F0C3601" w:rsidR="00D0717D" w:rsidRPr="005C5FA0" w:rsidRDefault="008E7278" w:rsidP="00D0717D">
            <w:pPr>
              <w:bidi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</w:rPr>
              <w:t>33</w:t>
            </w:r>
          </w:p>
        </w:tc>
      </w:tr>
    </w:tbl>
    <w:p w14:paraId="6E517FA8" w14:textId="77777777" w:rsidR="003C7647" w:rsidRDefault="003C7647" w:rsidP="00F6104F">
      <w:pPr>
        <w:autoSpaceDE w:val="0"/>
        <w:autoSpaceDN w:val="0"/>
        <w:adjustRightInd w:val="0"/>
        <w:ind w:left="-288"/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14:paraId="7D227E6D" w14:textId="1074DD11" w:rsidR="00033A18" w:rsidRPr="00F57341" w:rsidRDefault="00745CA0" w:rsidP="00F6104F">
      <w:pPr>
        <w:autoSpaceDE w:val="0"/>
        <w:autoSpaceDN w:val="0"/>
        <w:adjustRightInd w:val="0"/>
        <w:ind w:left="-288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الخليل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033A1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أكثر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033A1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المناطق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033A1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رطوبة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033A1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وأقلها</w:t>
      </w:r>
      <w:r w:rsidR="004D4E68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="0029538B" w:rsidRPr="00F57341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أريحا</w:t>
      </w:r>
    </w:p>
    <w:p w14:paraId="2F590506" w14:textId="26D82B9B" w:rsidR="00033A18" w:rsidRPr="00F57341" w:rsidRDefault="00033A18" w:rsidP="00F6104F">
      <w:pPr>
        <w:autoSpaceDE w:val="0"/>
        <w:autoSpaceDN w:val="0"/>
        <w:adjustRightInd w:val="0"/>
        <w:ind w:left="-378"/>
        <w:jc w:val="lowKashida"/>
        <w:rPr>
          <w:rFonts w:ascii="Simplified Arabic" w:eastAsiaTheme="minorEastAsia" w:hAnsi="Simplified Arabic" w:cs="Simplified Arabic"/>
          <w:color w:val="000000"/>
          <w:sz w:val="26"/>
          <w:szCs w:val="26"/>
          <w:lang w:eastAsia="en-US"/>
        </w:rPr>
      </w:pP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أظهرت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البيانات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D2646C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المتوفرة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D2646C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لمحطات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D2646C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الرصد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أن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معدل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الرطوبة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النسبية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ل</w:t>
      </w:r>
      <w:r w:rsidR="00F6104F" w:rsidRPr="00F57341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ل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عام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21752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2024</w:t>
      </w:r>
      <w:r w:rsidR="00F6104F" w:rsidRPr="00F57341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قد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تراوح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ما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بين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21752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lang w:eastAsia="en-US"/>
        </w:rPr>
        <w:t>74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محطة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F10CA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الخليل</w:t>
      </w:r>
      <w:r w:rsidR="00F6104F" w:rsidRPr="00F57341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C62A7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و</w:t>
      </w:r>
      <w:r w:rsidR="00EF10CA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44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محطة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9538B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أريحا</w:t>
      </w:r>
      <w:r w:rsidR="00BC62A7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A625A2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مع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6104F" w:rsidRPr="00F57341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الإشارة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21752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إلى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6104F" w:rsidRPr="00F57341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أ</w:t>
      </w:r>
      <w:r w:rsidR="00F6104F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ن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ارتفاع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نسب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الرطوبة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لا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يكون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دائماً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</w:t>
      </w:r>
      <w:r w:rsidR="00BC62A7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ؤشراً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C62A7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للهطول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C62A7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المطري</w:t>
      </w:r>
      <w:r w:rsidR="00F6104F" w:rsidRPr="00F57341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C62A7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وقد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C62A7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يكون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C62A7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عل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ى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شكل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ظواهر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مائية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6104F" w:rsidRPr="00F57341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أ</w:t>
      </w:r>
      <w:r w:rsidR="00F6104F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خرى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هي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الضباب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والغيوم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الملامسة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لسطح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6104F" w:rsidRPr="00F57341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الأرض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6104F" w:rsidRPr="00F57341">
        <w:rPr>
          <w:rFonts w:ascii="Simplified Arabic" w:eastAsiaTheme="minorEastAsia" w:hAnsi="Simplified Arabic" w:cs="Simplified Arabic" w:hint="cs"/>
          <w:color w:val="000000"/>
          <w:sz w:val="26"/>
          <w:szCs w:val="26"/>
          <w:rtl/>
          <w:lang w:eastAsia="en-US"/>
        </w:rPr>
        <w:t>أو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تشكل</w:t>
      </w:r>
      <w:r w:rsidR="004D4E68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743F3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الندى</w:t>
      </w:r>
      <w:r w:rsidR="00A8197C" w:rsidRPr="00F57341">
        <w:rPr>
          <w:rFonts w:ascii="Simplified Arabic" w:eastAsiaTheme="minorEastAsia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14:paraId="50CA6142" w14:textId="77777777" w:rsidR="003C7647" w:rsidRPr="00F57341" w:rsidRDefault="003C7647" w:rsidP="00F6104F">
      <w:pPr>
        <w:autoSpaceDE w:val="0"/>
        <w:autoSpaceDN w:val="0"/>
        <w:adjustRightInd w:val="0"/>
        <w:jc w:val="center"/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</w:p>
    <w:p w14:paraId="17A9DAF1" w14:textId="381D22BC" w:rsidR="00033A18" w:rsidRPr="00F57341" w:rsidRDefault="00033A18" w:rsidP="00F6104F">
      <w:pPr>
        <w:autoSpaceDE w:val="0"/>
        <w:autoSpaceDN w:val="0"/>
        <w:adjustRightInd w:val="0"/>
        <w:jc w:val="center"/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معدلات</w:t>
      </w:r>
      <w:r w:rsidR="004D4E68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الرطوبة</w:t>
      </w:r>
      <w:r w:rsidR="004D4E68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النسبية</w:t>
      </w:r>
      <w:r w:rsidR="004D4E68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للعام</w:t>
      </w:r>
      <w:r w:rsidR="004D4E68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EF10CA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lang w:eastAsia="en-US"/>
        </w:rPr>
        <w:t>20</w:t>
      </w:r>
      <w:r w:rsidR="00621752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lang w:eastAsia="en-US"/>
        </w:rPr>
        <w:t>24</w:t>
      </w:r>
      <w:r w:rsidR="004D4E68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والمعدل</w:t>
      </w:r>
      <w:r w:rsidR="004D4E68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العام</w:t>
      </w:r>
      <w:r w:rsidR="004D4E68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276EA7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لبعض</w:t>
      </w:r>
      <w:r w:rsidR="004D4E68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276EA7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المحطات</w:t>
      </w:r>
      <w:r w:rsidR="004D4E68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الضفة</w:t>
      </w:r>
      <w:r w:rsidR="004D4E68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الغربية</w:t>
      </w:r>
    </w:p>
    <w:tbl>
      <w:tblPr>
        <w:bidiVisual/>
        <w:tblW w:w="4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1103"/>
        <w:gridCol w:w="891"/>
        <w:gridCol w:w="1260"/>
      </w:tblGrid>
      <w:tr w:rsidR="00033A18" w:rsidRPr="00F6104F" w14:paraId="3E8E02BC" w14:textId="77777777" w:rsidTr="00F57341">
        <w:trPr>
          <w:jc w:val="center"/>
        </w:trPr>
        <w:tc>
          <w:tcPr>
            <w:tcW w:w="1326" w:type="dxa"/>
            <w:tcBorders>
              <w:bottom w:val="single" w:sz="4" w:space="0" w:color="auto"/>
            </w:tcBorders>
          </w:tcPr>
          <w:p w14:paraId="6A411ADA" w14:textId="77777777" w:rsidR="00033A18" w:rsidRPr="005C5FA0" w:rsidRDefault="00033A18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C5FA0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المحطة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5EB00C16" w14:textId="4E0DAA28" w:rsidR="00033A18" w:rsidRPr="00F6104F" w:rsidRDefault="00033A18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معدل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الرطوبة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النسبية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(%)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للعام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="000C18F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20</w:t>
            </w:r>
            <w:r w:rsidR="00967A31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24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22CCA19A" w14:textId="4B6C8F82" w:rsidR="00033A18" w:rsidRPr="00F6104F" w:rsidRDefault="00033A18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المعدل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العام</w:t>
            </w:r>
          </w:p>
          <w:p w14:paraId="1F606338" w14:textId="77777777" w:rsidR="00033A18" w:rsidRPr="00F6104F" w:rsidRDefault="00033A18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(%)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FCB1FC1" w14:textId="7D4599FE" w:rsidR="00033A18" w:rsidRPr="00F6104F" w:rsidRDefault="00033A18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النسبة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من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المعدل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العام</w:t>
            </w:r>
            <w:r w:rsidR="004D4E68"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eastAsiaTheme="minorEastAsia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(%)</w:t>
            </w:r>
          </w:p>
        </w:tc>
      </w:tr>
      <w:tr w:rsidR="00EF10CA" w:rsidRPr="00F6104F" w14:paraId="261DC920" w14:textId="77777777" w:rsidTr="00F57341">
        <w:trPr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B50B" w14:textId="77777777" w:rsidR="00EF10CA" w:rsidRPr="005C5FA0" w:rsidRDefault="00EF10CA" w:rsidP="00F6104F">
            <w:pPr>
              <w:jc w:val="both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الخليل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6388" w14:textId="77777777" w:rsidR="00EF10CA" w:rsidRPr="005C5FA0" w:rsidRDefault="00EF10CA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7</w:t>
            </w:r>
            <w:r w:rsidR="00621752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0789" w14:textId="77777777" w:rsidR="00EF10CA" w:rsidRPr="005C5FA0" w:rsidRDefault="00EF10CA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DF647" w14:textId="77777777" w:rsidR="00EF10CA" w:rsidRPr="005C5FA0" w:rsidRDefault="00967A31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119.4</w:t>
            </w:r>
          </w:p>
        </w:tc>
      </w:tr>
      <w:tr w:rsidR="0083528E" w:rsidRPr="00F6104F" w14:paraId="23BF93F7" w14:textId="77777777" w:rsidTr="00F57341">
        <w:trPr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777" w14:textId="3249B43E" w:rsidR="0083528E" w:rsidRPr="005C5FA0" w:rsidRDefault="0083528E" w:rsidP="00F6104F">
            <w:pPr>
              <w:jc w:val="both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رام</w:t>
            </w:r>
            <w:r w:rsidR="004D4E68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الله</w:t>
            </w:r>
            <w:r w:rsidR="004D4E68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والبيرة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6E13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B3AE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2FFE3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89.3</w:t>
            </w:r>
          </w:p>
        </w:tc>
      </w:tr>
      <w:tr w:rsidR="0083528E" w:rsidRPr="00F6104F" w14:paraId="351705EC" w14:textId="77777777" w:rsidTr="00F57341">
        <w:trPr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1ECF" w14:textId="77777777" w:rsidR="0083528E" w:rsidRPr="005C5FA0" w:rsidRDefault="0083528E" w:rsidP="00F6104F">
            <w:pPr>
              <w:jc w:val="both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جنين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A7E5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B49E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4BC41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95.7</w:t>
            </w:r>
          </w:p>
        </w:tc>
      </w:tr>
      <w:tr w:rsidR="0083528E" w:rsidRPr="00F6104F" w14:paraId="7DCEC7B9" w14:textId="77777777" w:rsidTr="00F57341">
        <w:trPr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EF66" w14:textId="77777777" w:rsidR="0083528E" w:rsidRPr="005C5FA0" w:rsidRDefault="0083528E" w:rsidP="00F6104F">
            <w:pPr>
              <w:jc w:val="both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نابلس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EC88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D408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6FA58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106.6</w:t>
            </w:r>
          </w:p>
        </w:tc>
      </w:tr>
      <w:tr w:rsidR="0083528E" w:rsidRPr="00F6104F" w14:paraId="7240B934" w14:textId="77777777" w:rsidTr="00F57341">
        <w:trPr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0889" w14:textId="7231A0D4" w:rsidR="0083528E" w:rsidRPr="005C5FA0" w:rsidRDefault="0083528E" w:rsidP="00F6104F">
            <w:pPr>
              <w:jc w:val="both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أريحا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DA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080B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17420" w14:textId="77777777" w:rsidR="0083528E" w:rsidRPr="005C5FA0" w:rsidRDefault="0083528E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84.6</w:t>
            </w:r>
          </w:p>
        </w:tc>
      </w:tr>
    </w:tbl>
    <w:p w14:paraId="24D11D44" w14:textId="77777777" w:rsidR="003C7647" w:rsidRPr="005C5FA0" w:rsidRDefault="003C7647" w:rsidP="005C5FA0">
      <w:pPr>
        <w:rPr>
          <w:lang w:eastAsia="en-US"/>
        </w:rPr>
      </w:pPr>
    </w:p>
    <w:p w14:paraId="043E06CC" w14:textId="74F3D315" w:rsidR="00F833E7" w:rsidRPr="00F57341" w:rsidRDefault="00F833E7" w:rsidP="00F6104F">
      <w:pPr>
        <w:pStyle w:val="Heading3"/>
        <w:ind w:left="-378"/>
        <w:jc w:val="both"/>
        <w:rPr>
          <w:rFonts w:hAnsi="Simplified Arabic" w:cs="Simplified Arabic"/>
          <w:b w:val="0"/>
          <w:bCs w:val="0"/>
          <w:color w:val="000000"/>
          <w:sz w:val="26"/>
          <w:szCs w:val="26"/>
          <w:rtl/>
        </w:rPr>
      </w:pPr>
      <w:r w:rsidRPr="00F57341">
        <w:rPr>
          <w:rFonts w:hAnsi="Simplified Arabic" w:cs="Simplified Arabic"/>
          <w:color w:val="000000"/>
          <w:sz w:val="26"/>
          <w:szCs w:val="26"/>
          <w:rtl/>
        </w:rPr>
        <w:t>كميات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التبخر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للعام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B12FD2" w:rsidRPr="00F57341">
        <w:rPr>
          <w:rFonts w:hAnsi="Simplified Arabic" w:cs="Simplified Arabic"/>
          <w:color w:val="000000"/>
          <w:sz w:val="26"/>
          <w:szCs w:val="26"/>
        </w:rPr>
        <w:t>2024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أعلى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من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المعدل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العام</w:t>
      </w:r>
    </w:p>
    <w:p w14:paraId="5A9784AB" w14:textId="1689127D" w:rsidR="00E71295" w:rsidRPr="00F57341" w:rsidRDefault="00F833E7" w:rsidP="00F6104F">
      <w:pPr>
        <w:autoSpaceDE w:val="0"/>
        <w:autoSpaceDN w:val="0"/>
        <w:adjustRightInd w:val="0"/>
        <w:ind w:left="-378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تشير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البيانات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إلى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كميات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التبخر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الضفة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الغربية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قد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ارتفعت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معظم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المحطات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المتوفرة،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حيث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أعلاها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محطة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أريحا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33315" w:rsidRPr="00F57341">
        <w:rPr>
          <w:rFonts w:ascii="Simplified Arabic" w:hAnsi="Simplified Arabic" w:cs="Simplified Arabic"/>
          <w:color w:val="000000"/>
          <w:sz w:val="26"/>
          <w:szCs w:val="26"/>
        </w:rPr>
        <w:t>2,</w:t>
      </w:r>
      <w:r w:rsidR="00B12FD2" w:rsidRPr="00F57341">
        <w:rPr>
          <w:rFonts w:ascii="Simplified Arabic" w:hAnsi="Simplified Arabic" w:cs="Simplified Arabic"/>
          <w:color w:val="000000"/>
          <w:sz w:val="26"/>
          <w:szCs w:val="26"/>
        </w:rPr>
        <w:t>811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ملم</w:t>
      </w:r>
      <w:r w:rsidR="00BC62A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وأدناها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محطة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33315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نابلس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</w:t>
      </w:r>
      <w:r w:rsidR="007814D9" w:rsidRPr="00F57341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7</w:t>
      </w:r>
      <w:r w:rsidR="00B12FD2" w:rsidRPr="00F57341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0</w:t>
      </w:r>
      <w:r w:rsidR="007814D9" w:rsidRPr="00F57341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6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ملم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خلال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العام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12FD2" w:rsidRPr="00F57341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2024</w:t>
      </w:r>
      <w:r w:rsidR="003C7647" w:rsidRPr="00F57341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/>
        </w:rPr>
        <w:t xml:space="preserve">. 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ومن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المعروف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C7647" w:rsidRPr="00F57341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/>
        </w:rPr>
        <w:t>أن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كميات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التبخر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ترتبط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بارتفاع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درجات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الحرارة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وكذل</w:t>
      </w:r>
      <w:r w:rsidR="00BC62A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ك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بنشاط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الرياح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9B4317"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المنطقة</w:t>
      </w:r>
      <w:r w:rsidRPr="00F57341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14:paraId="18EE2DD7" w14:textId="0B38C847" w:rsidR="00F833E7" w:rsidRPr="00F57341" w:rsidRDefault="00F833E7" w:rsidP="00F6104F">
      <w:pPr>
        <w:pStyle w:val="BodyText2"/>
        <w:rPr>
          <w:rFonts w:hAnsi="Simplified Arabic" w:cs="Simplified Arabic"/>
          <w:color w:val="000000"/>
          <w:sz w:val="26"/>
          <w:szCs w:val="26"/>
          <w:rtl/>
        </w:rPr>
      </w:pPr>
      <w:r w:rsidRPr="00F57341">
        <w:rPr>
          <w:rFonts w:hAnsi="Simplified Arabic" w:cs="Simplified Arabic"/>
          <w:color w:val="000000"/>
          <w:sz w:val="26"/>
          <w:szCs w:val="26"/>
          <w:rtl/>
        </w:rPr>
        <w:lastRenderedPageBreak/>
        <w:t>كميات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التبخر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للعام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B12FD2" w:rsidRPr="00F57341">
        <w:rPr>
          <w:rFonts w:hAnsi="Simplified Arabic" w:cs="Simplified Arabic"/>
          <w:color w:val="000000"/>
          <w:sz w:val="26"/>
          <w:szCs w:val="26"/>
        </w:rPr>
        <w:t>2024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والمعدل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العام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لبعض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المحطات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في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الضفة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الغربية</w:t>
      </w:r>
    </w:p>
    <w:tbl>
      <w:tblPr>
        <w:bidiVisual/>
        <w:tblW w:w="4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045"/>
        <w:gridCol w:w="1019"/>
        <w:gridCol w:w="1053"/>
      </w:tblGrid>
      <w:tr w:rsidR="00F833E7" w:rsidRPr="00F6104F" w14:paraId="2B7AA585" w14:textId="77777777" w:rsidTr="004A7B97">
        <w:trPr>
          <w:trHeight w:val="65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518C" w14:textId="77777777" w:rsidR="00F833E7" w:rsidRPr="00F6104F" w:rsidRDefault="00F833E7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المحطة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236E" w14:textId="447022D4" w:rsidR="00F833E7" w:rsidRPr="00F6104F" w:rsidRDefault="00F833E7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كميات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التبخر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(ملم)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للعام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="007814D9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F5F3" w14:textId="52BF3BD9" w:rsidR="00F833E7" w:rsidRPr="00F6104F" w:rsidRDefault="00F833E7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المعدل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العام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لمجموع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التبخر</w:t>
            </w:r>
          </w:p>
          <w:p w14:paraId="27092D97" w14:textId="77777777" w:rsidR="00F833E7" w:rsidRPr="00F6104F" w:rsidRDefault="00F833E7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(ملم)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CA2E" w14:textId="21DCAC8B" w:rsidR="00F833E7" w:rsidRPr="00F6104F" w:rsidRDefault="00F833E7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النسبة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من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المعدل</w:t>
            </w:r>
            <w:r w:rsidR="004D4E68"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العام</w:t>
            </w:r>
          </w:p>
          <w:p w14:paraId="392715C3" w14:textId="77777777" w:rsidR="00F833E7" w:rsidRPr="00F6104F" w:rsidRDefault="00F833E7" w:rsidP="00F6104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104F">
              <w:rPr>
                <w:rFonts w:ascii="Simplified Arabic" w:hAns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  <w:t>(%)</w:t>
            </w:r>
          </w:p>
        </w:tc>
      </w:tr>
      <w:tr w:rsidR="004B44E6" w:rsidRPr="00F6104F" w14:paraId="14ACAFC7" w14:textId="77777777" w:rsidTr="004A7B97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454" w14:textId="0751EE64" w:rsidR="004B44E6" w:rsidRPr="005C5FA0" w:rsidRDefault="004B44E6" w:rsidP="00F6104F">
            <w:pPr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أريحا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E929" w14:textId="77777777" w:rsidR="004B44E6" w:rsidRPr="005C5FA0" w:rsidRDefault="007814D9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2,</w:t>
            </w:r>
            <w:r w:rsidR="00B12FD2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77AD" w14:textId="77777777" w:rsidR="004B44E6" w:rsidRPr="005C5FA0" w:rsidRDefault="004B44E6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2,101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D0103" w14:textId="77777777" w:rsidR="004B44E6" w:rsidRPr="005C5FA0" w:rsidRDefault="007814D9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</w:t>
            </w:r>
            <w:r w:rsidR="00B12FD2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33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.</w:t>
            </w:r>
            <w:r w:rsidR="00B12FD2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8</w:t>
            </w:r>
          </w:p>
        </w:tc>
      </w:tr>
      <w:tr w:rsidR="004B44E6" w:rsidRPr="00F6104F" w14:paraId="4AEC710B" w14:textId="77777777" w:rsidTr="004A7B97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70C" w14:textId="77777777" w:rsidR="004B44E6" w:rsidRPr="005C5FA0" w:rsidRDefault="004B44E6" w:rsidP="00F6104F">
            <w:pPr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جنين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F237" w14:textId="77777777" w:rsidR="004B44E6" w:rsidRPr="005C5FA0" w:rsidRDefault="007814D9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1,971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ED10" w14:textId="77777777" w:rsidR="004B44E6" w:rsidRPr="005C5FA0" w:rsidRDefault="004B44E6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B6ACA" w14:textId="77777777" w:rsidR="004B44E6" w:rsidRPr="005C5FA0" w:rsidRDefault="00357761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..</w:t>
            </w:r>
          </w:p>
        </w:tc>
      </w:tr>
      <w:tr w:rsidR="00357761" w:rsidRPr="00F6104F" w14:paraId="1243D9DE" w14:textId="77777777" w:rsidTr="004A7B97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8C88" w14:textId="74FA6CF7" w:rsidR="00357761" w:rsidRPr="005C5FA0" w:rsidRDefault="00B44C28" w:rsidP="00F6104F">
            <w:pPr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رام</w:t>
            </w:r>
            <w:r w:rsidR="004D4E68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الله</w:t>
            </w:r>
            <w:r w:rsidR="004D4E68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والبيرة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3FEE" w14:textId="77777777" w:rsidR="00357761" w:rsidRPr="005C5FA0" w:rsidRDefault="007814D9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1,7</w:t>
            </w:r>
            <w:r w:rsidR="00B12FD2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777B" w14:textId="77777777" w:rsidR="00357761" w:rsidRPr="005C5FA0" w:rsidRDefault="00357761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1,889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AAAB5" w14:textId="77777777" w:rsidR="00357761" w:rsidRPr="005C5FA0" w:rsidRDefault="007814D9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9</w:t>
            </w:r>
            <w:r w:rsidR="00B12FD2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.7</w:t>
            </w:r>
          </w:p>
        </w:tc>
      </w:tr>
      <w:tr w:rsidR="00357761" w:rsidRPr="00F6104F" w14:paraId="6526AE4B" w14:textId="77777777" w:rsidTr="004A7B97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D3B8" w14:textId="77777777" w:rsidR="00357761" w:rsidRPr="005C5FA0" w:rsidRDefault="00357761" w:rsidP="00F6104F">
            <w:pPr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نابلس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0AEB" w14:textId="77777777" w:rsidR="00357761" w:rsidRPr="005C5FA0" w:rsidRDefault="007814D9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1,7</w:t>
            </w:r>
            <w:r w:rsidR="00B12FD2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0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A160" w14:textId="77777777" w:rsidR="00357761" w:rsidRPr="005C5FA0" w:rsidRDefault="00357761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1,682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ACF12" w14:textId="77777777" w:rsidR="00357761" w:rsidRPr="005C5FA0" w:rsidRDefault="007814D9" w:rsidP="00F6104F">
            <w:pPr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10</w:t>
            </w:r>
            <w:r w:rsidR="00B12FD2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.</w:t>
            </w:r>
            <w:r w:rsidR="00B12FD2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4</w:t>
            </w:r>
          </w:p>
        </w:tc>
      </w:tr>
      <w:tr w:rsidR="00357761" w:rsidRPr="00F6104F" w14:paraId="54341DF6" w14:textId="77777777" w:rsidTr="004A7B97">
        <w:trPr>
          <w:jc w:val="center"/>
        </w:trPr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F95B66" w14:textId="20B7C9BA" w:rsidR="00357761" w:rsidRPr="005C5FA0" w:rsidRDefault="00357761" w:rsidP="00F6104F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20"/>
                <w:szCs w:val="20"/>
                <w:lang w:eastAsia="en-US"/>
              </w:rPr>
            </w:pP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..:</w:t>
            </w:r>
            <w:r w:rsidR="004D4E68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بيانات</w:t>
            </w:r>
            <w:r w:rsidR="004D4E68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غير</w:t>
            </w:r>
            <w:r w:rsidR="004D4E68"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5C5FA0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eastAsia="en-US"/>
              </w:rPr>
              <w:t>متوفرة</w:t>
            </w:r>
            <w:r w:rsidR="003C7647">
              <w:rPr>
                <w:rFonts w:ascii="Simplified Arabic" w:hAnsi="Simplified Arabic" w:cs="Simplified Arabic" w:hint="cs"/>
                <w:color w:val="000000"/>
                <w:sz w:val="20"/>
                <w:szCs w:val="20"/>
                <w:rtl/>
                <w:lang w:eastAsia="en-US"/>
              </w:rPr>
              <w:t>.</w:t>
            </w:r>
          </w:p>
        </w:tc>
      </w:tr>
    </w:tbl>
    <w:p w14:paraId="6E6E5243" w14:textId="77777777" w:rsidR="00F833E7" w:rsidRPr="00F6104F" w:rsidRDefault="00F833E7" w:rsidP="00F6104F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color w:val="000000"/>
          <w:rtl/>
          <w:lang w:eastAsia="en-US"/>
        </w:rPr>
      </w:pPr>
    </w:p>
    <w:p w14:paraId="1956C3C3" w14:textId="431C86F4" w:rsidR="009373B3" w:rsidRPr="00F57341" w:rsidRDefault="009373B3" w:rsidP="00F6104F">
      <w:pPr>
        <w:pStyle w:val="Heading3"/>
        <w:jc w:val="both"/>
        <w:rPr>
          <w:rFonts w:hAnsi="Simplified Arabic" w:cs="Simplified Arabic"/>
          <w:color w:val="000000"/>
          <w:sz w:val="26"/>
          <w:szCs w:val="26"/>
          <w:rtl/>
        </w:rPr>
      </w:pPr>
      <w:r w:rsidRPr="00F57341">
        <w:rPr>
          <w:rFonts w:hAnsi="Simplified Arabic" w:cs="Simplified Arabic"/>
          <w:color w:val="000000"/>
          <w:sz w:val="26"/>
          <w:szCs w:val="26"/>
          <w:rtl/>
        </w:rPr>
        <w:t>ارتفاع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درجات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الحرارة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للعام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901A93" w:rsidRPr="00F57341">
        <w:rPr>
          <w:rFonts w:hAnsi="Simplified Arabic" w:cs="Simplified Arabic"/>
          <w:color w:val="000000"/>
          <w:sz w:val="26"/>
          <w:szCs w:val="26"/>
          <w:rtl/>
        </w:rPr>
        <w:t>2024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عن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المعدل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السنوي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العام</w:t>
      </w:r>
    </w:p>
    <w:p w14:paraId="30A0C737" w14:textId="195397D4" w:rsidR="00743951" w:rsidRPr="00F57341" w:rsidRDefault="00743951" w:rsidP="00F6104F">
      <w:pPr>
        <w:autoSpaceDE w:val="0"/>
        <w:autoSpaceDN w:val="0"/>
        <w:adjustRightInd w:val="0"/>
        <w:jc w:val="both"/>
        <w:rPr>
          <w:rFonts w:ascii="Simplified Arabic" w:eastAsiaTheme="minorEastAsia" w:hAnsi="Simplified Arabic" w:cs="Simplified Arabic"/>
          <w:b/>
          <w:bCs/>
          <w:color w:val="FF0000"/>
          <w:sz w:val="26"/>
          <w:szCs w:val="26"/>
          <w:rtl/>
          <w:lang w:eastAsia="en-US"/>
        </w:rPr>
      </w:pP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جرى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تحليل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بيانات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الحرارة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عن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طريق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انتقاء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محطات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تمثل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النظام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المناخي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9354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9354B" w:rsidRPr="00F57341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الضفة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C9354B" w:rsidRPr="00F57341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الغربية</w:t>
      </w:r>
      <w:r w:rsidR="003C7647" w:rsidRPr="00F57341">
        <w:rPr>
          <w:rFonts w:ascii="Simplified Arabic" w:hAnsi="Simplified Arabic" w:cs="Simplified Arabic" w:hint="cs"/>
          <w:sz w:val="26"/>
          <w:szCs w:val="26"/>
          <w:rtl/>
          <w:lang w:eastAsia="en-US" w:bidi="ar-JO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C9354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حيث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تم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7E8C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خذ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عينة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التحليل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لمحطة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تمثل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المناطق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الجبلية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وشبه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الساحلية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9354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والمناطق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9354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الغورية</w:t>
      </w:r>
      <w:r w:rsidRPr="00F57341">
        <w:rPr>
          <w:rFonts w:ascii="Simplified Arabic" w:hAnsi="Simplified Arabic" w:cs="Simplified Arabic"/>
          <w:sz w:val="26"/>
          <w:szCs w:val="26"/>
          <w:lang w:eastAsia="en-US"/>
        </w:rPr>
        <w:t>.</w:t>
      </w:r>
    </w:p>
    <w:p w14:paraId="23074560" w14:textId="77777777" w:rsidR="00677E8C" w:rsidRPr="00F57341" w:rsidRDefault="00677E8C" w:rsidP="00F6104F">
      <w:pPr>
        <w:autoSpaceDE w:val="0"/>
        <w:autoSpaceDN w:val="0"/>
        <w:adjustRightInd w:val="0"/>
        <w:jc w:val="both"/>
        <w:rPr>
          <w:rFonts w:ascii="Simplified Arabic" w:eastAsiaTheme="minorEastAsia" w:hAnsi="Simplified Arabic" w:cs="Simplified Arabic"/>
          <w:b/>
          <w:bCs/>
          <w:color w:val="FF0000"/>
          <w:sz w:val="26"/>
          <w:szCs w:val="26"/>
          <w:rtl/>
          <w:lang w:eastAsia="en-US"/>
        </w:rPr>
      </w:pPr>
    </w:p>
    <w:p w14:paraId="68FD36C9" w14:textId="2EB1A3E8" w:rsidR="00E71295" w:rsidRPr="00F57341" w:rsidRDefault="0074395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lang w:eastAsia="en-US"/>
        </w:rPr>
      </w:pP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تشير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بيانات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الأرصاد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الجوية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7E8C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الفلسطينية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للعام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9354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2024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إلى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درجات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الحرارة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قد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مالت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إلى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الارتفاع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عن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المعدل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المحطات</w:t>
      </w:r>
      <w:r w:rsidR="003C7647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كافة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الضفة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الغربية</w:t>
      </w:r>
      <w:r w:rsidR="003C7647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3C7647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وذلك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يعود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C7647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إ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ل</w:t>
      </w:r>
      <w:r w:rsidR="003C7647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ى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تـأثر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D4E61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الضفة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149A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الغربية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بموجات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حر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خلال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الأشهر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17A6F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حزيران،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23C6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تموز،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</w:t>
      </w:r>
      <w:r w:rsidR="00677E8C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آ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</w:t>
      </w:r>
      <w:r w:rsidR="00BC62A7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حيث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كان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تأثيرها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أكبر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على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المناطق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الجبلية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والساحلية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وشبه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الساحلية</w:t>
      </w:r>
      <w:r w:rsidR="003C7647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ما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جعل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ارتفاع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معدلات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درجات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الحرارة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هذه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المناطق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عن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معدلاتها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واضحاً،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وقد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ترافقت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موجات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الحر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هذه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بارتفاع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ملحوظ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على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نسب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الرطوبة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المناطق</w:t>
      </w:r>
      <w:r w:rsidR="003C7647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ذات</w:t>
      </w:r>
      <w:r w:rsidR="003C7647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ها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حيث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أعلى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ارتفاع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عن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المعدل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محط</w:t>
      </w:r>
      <w:r w:rsidR="00F814CD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أريحا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بواقع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3.</w:t>
      </w:r>
      <w:r w:rsidR="00C9354B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6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84065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م</w:t>
      </w:r>
      <w:r w:rsidR="00B84065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="00B84065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</w:p>
    <w:p w14:paraId="54155220" w14:textId="4AEF28CF" w:rsidR="00A77395" w:rsidRPr="00F57341" w:rsidRDefault="00A77395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</w:p>
    <w:p w14:paraId="40CBAE95" w14:textId="28B7F8F1" w:rsidR="00B84065" w:rsidRPr="00F57341" w:rsidRDefault="00F814CD" w:rsidP="00F57341">
      <w:pPr>
        <w:pStyle w:val="BodyText2"/>
        <w:rPr>
          <w:rFonts w:hAnsi="Simplified Arabic" w:cs="Simplified Arabic"/>
          <w:sz w:val="26"/>
          <w:szCs w:val="26"/>
          <w:lang w:eastAsia="en-US"/>
        </w:rPr>
      </w:pPr>
      <w:r w:rsidRPr="00F57341">
        <w:rPr>
          <w:rFonts w:hAnsi="Simplified Arabic" w:cs="Simplified Arabic"/>
          <w:color w:val="000000"/>
          <w:sz w:val="26"/>
          <w:szCs w:val="26"/>
          <w:rtl/>
        </w:rPr>
        <w:t>الفرق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في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درجات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الحرارة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(م</w:t>
      </w:r>
      <w:r w:rsidRPr="00F57341">
        <w:rPr>
          <w:rFonts w:eastAsiaTheme="minorEastAsia" w:hAnsi="Simplified Arabic" w:cs="Simplified Arabic"/>
          <w:color w:val="000000"/>
          <w:sz w:val="26"/>
          <w:szCs w:val="26"/>
          <w:vertAlign w:val="superscript"/>
          <w:lang w:eastAsia="en-US"/>
        </w:rPr>
        <w:t>o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)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3C7647" w:rsidRPr="00F57341">
        <w:rPr>
          <w:rFonts w:hAnsi="Simplified Arabic" w:cs="Simplified Arabic" w:hint="cs"/>
          <w:color w:val="000000"/>
          <w:sz w:val="26"/>
          <w:szCs w:val="26"/>
          <w:rtl/>
        </w:rPr>
        <w:t>ل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لعام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20</w:t>
      </w:r>
      <w:r w:rsidR="00C9354B" w:rsidRPr="00F57341">
        <w:rPr>
          <w:rFonts w:hAnsi="Simplified Arabic" w:cs="Simplified Arabic"/>
          <w:color w:val="000000"/>
          <w:sz w:val="26"/>
          <w:szCs w:val="26"/>
          <w:rtl/>
        </w:rPr>
        <w:t>24</w:t>
      </w:r>
      <w:r w:rsidR="00F57341" w:rsidRPr="00F57341">
        <w:rPr>
          <w:rFonts w:hAnsi="Simplified Arabic" w:cs="Simplified Arabic" w:hint="cs"/>
          <w:color w:val="000000"/>
          <w:sz w:val="26"/>
          <w:szCs w:val="26"/>
          <w:rtl/>
        </w:rPr>
        <w:t xml:space="preserve"> </w:t>
      </w:r>
      <w:r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>عن</w:t>
      </w:r>
      <w:r w:rsidR="004D4E68"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>المعدل</w:t>
      </w:r>
      <w:r w:rsidR="004D4E68"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>العام</w:t>
      </w:r>
      <w:r w:rsidR="004D4E68"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>لبعض</w:t>
      </w:r>
      <w:r w:rsidR="004D4E68"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>المحطات</w:t>
      </w:r>
      <w:r w:rsidR="004D4E68"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4D4E68"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>الضفة</w:t>
      </w:r>
      <w:r w:rsidR="004D4E68" w:rsidRPr="00F57341">
        <w:rPr>
          <w:rFonts w:eastAsiaTheme="minorEastAsia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الغربية</w:t>
      </w:r>
    </w:p>
    <w:p w14:paraId="60F55CED" w14:textId="34D5F47E" w:rsidR="00B84065" w:rsidRPr="00F6104F" w:rsidRDefault="00F5734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lang w:eastAsia="en-US"/>
        </w:rPr>
      </w:pPr>
      <w:r w:rsidRPr="00F6104F">
        <w:rPr>
          <w:rFonts w:hAnsi="Simplified Arabic" w:cs="Simplified Arabic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4CDE4C6E" wp14:editId="4AD564CC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2729230" cy="1623695"/>
            <wp:effectExtent l="0" t="0" r="13970" b="14605"/>
            <wp:wrapSquare wrapText="left"/>
            <wp:docPr id="3" nam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7F5787B0" w14:textId="77777777" w:rsidR="00F57341" w:rsidRDefault="00F5734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rtl/>
          <w:lang w:eastAsia="en-US" w:bidi="ar-JO"/>
        </w:rPr>
      </w:pPr>
    </w:p>
    <w:p w14:paraId="225AA8F8" w14:textId="77777777" w:rsidR="00F57341" w:rsidRDefault="00F5734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rtl/>
          <w:lang w:eastAsia="en-US" w:bidi="ar-JO"/>
        </w:rPr>
      </w:pPr>
    </w:p>
    <w:p w14:paraId="22A87F30" w14:textId="77777777" w:rsidR="00F57341" w:rsidRDefault="00F5734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rtl/>
          <w:lang w:eastAsia="en-US" w:bidi="ar-JO"/>
        </w:rPr>
      </w:pPr>
    </w:p>
    <w:p w14:paraId="43A0BE8C" w14:textId="77777777" w:rsidR="00F57341" w:rsidRDefault="00F5734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rtl/>
          <w:lang w:eastAsia="en-US" w:bidi="ar-JO"/>
        </w:rPr>
      </w:pPr>
    </w:p>
    <w:p w14:paraId="05CEDAE6" w14:textId="77777777" w:rsidR="00F57341" w:rsidRDefault="00F5734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rtl/>
          <w:lang w:eastAsia="en-US" w:bidi="ar-JO"/>
        </w:rPr>
      </w:pPr>
    </w:p>
    <w:p w14:paraId="674FB4B0" w14:textId="77777777" w:rsidR="00F57341" w:rsidRDefault="00F5734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rtl/>
          <w:lang w:eastAsia="en-US" w:bidi="ar-JO"/>
        </w:rPr>
      </w:pPr>
    </w:p>
    <w:p w14:paraId="1182F17A" w14:textId="77777777" w:rsidR="00F57341" w:rsidRDefault="00F5734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rtl/>
          <w:lang w:eastAsia="en-US" w:bidi="ar-JO"/>
        </w:rPr>
      </w:pPr>
    </w:p>
    <w:p w14:paraId="3FFAD5ED" w14:textId="2B17FA79" w:rsidR="00BF0379" w:rsidRDefault="00B84065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F57341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>كما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 w:bidi="ar-JO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أظهرت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43951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البي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انات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7E8C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ارتفاعاً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7E8C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ملحوظاً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درجات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الحرارة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العظمى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خلال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C7647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عام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677D3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2024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مقارنةً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بالمعدل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السنوي،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وتراوح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هذا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الارتفاع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بين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2.</w:t>
      </w:r>
      <w:r w:rsidR="0048343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9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</w:t>
      </w:r>
      <w:r w:rsidR="00BF0379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="003C7647" w:rsidRPr="00F57341">
        <w:rPr>
          <w:rFonts w:ascii="Simplified Arabic" w:eastAsiaTheme="minorEastAsia" w:hAnsi="Simplified Arabic" w:cs="Simplified Arabic" w:hint="cs"/>
          <w:b/>
          <w:bCs/>
          <w:color w:val="000000"/>
          <w:sz w:val="26"/>
          <w:szCs w:val="26"/>
          <w:vertAlign w:val="superscript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أريحا</w:t>
      </w:r>
      <w:r w:rsidR="003C7647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و0.</w:t>
      </w:r>
      <w:r w:rsidR="0048343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7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</w:t>
      </w:r>
      <w:r w:rsidR="00BF0379"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8343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جنين</w:t>
      </w:r>
      <w:r w:rsidR="00BF0379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</w:p>
    <w:p w14:paraId="51F0B405" w14:textId="51D24E85" w:rsidR="00F57341" w:rsidRDefault="00F5734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</w:p>
    <w:p w14:paraId="0C1B1265" w14:textId="4CE527F7" w:rsidR="00F57341" w:rsidRDefault="00F5734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</w:p>
    <w:p w14:paraId="0E3AFF0F" w14:textId="77777777" w:rsidR="00F57341" w:rsidRPr="00F57341" w:rsidRDefault="00F5734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bookmarkStart w:id="0" w:name="_GoBack"/>
      <w:bookmarkEnd w:id="0"/>
    </w:p>
    <w:p w14:paraId="5532B3B2" w14:textId="1524A63B" w:rsidR="00F57341" w:rsidRPr="00F57341" w:rsidRDefault="00F57341" w:rsidP="00F6104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</w:p>
    <w:p w14:paraId="7EE578D0" w14:textId="7AA68813" w:rsidR="009373B3" w:rsidRPr="00F57341" w:rsidRDefault="009373B3" w:rsidP="00F6104F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</w:pP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lastRenderedPageBreak/>
        <w:t>الفرق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درجات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الحرارة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العظمى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(م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vertAlign w:val="superscript"/>
          <w:lang w:eastAsia="en-US"/>
        </w:rPr>
        <w:t>o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)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="003C7647" w:rsidRPr="00F57341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eastAsia="en-US"/>
        </w:rPr>
        <w:t>ل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لعام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="00B56CB6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2024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عن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المعدل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="00A80FB1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العام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لبعض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المحطات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الضفة</w:t>
      </w:r>
      <w:r w:rsidR="004D4E68"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الغربية</w:t>
      </w:r>
    </w:p>
    <w:p w14:paraId="4458CDBB" w14:textId="77777777" w:rsidR="009373B3" w:rsidRPr="00F6104F" w:rsidRDefault="009373B3" w:rsidP="00F6104F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color w:val="000000"/>
          <w:lang w:eastAsia="en-US"/>
        </w:rPr>
      </w:pPr>
      <w:r w:rsidRPr="00F6104F">
        <w:rPr>
          <w:rFonts w:ascii="Simplified Arabic" w:hAnsi="Simplified Arabic" w:cs="Simplified Arabic"/>
          <w:b/>
          <w:bCs/>
          <w:noProof/>
          <w:color w:val="000000"/>
          <w:lang w:eastAsia="en-US"/>
        </w:rPr>
        <w:drawing>
          <wp:inline distT="0" distB="0" distL="0" distR="0" wp14:anchorId="7F10D4DF" wp14:editId="43C35CDB">
            <wp:extent cx="2933700" cy="1647825"/>
            <wp:effectExtent l="0" t="0" r="0" b="9525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D6A160C" w14:textId="77777777" w:rsidR="00EB1FA3" w:rsidRDefault="00EB1FA3" w:rsidP="00F6104F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rtl/>
          <w:lang w:eastAsia="en-US"/>
        </w:rPr>
      </w:pPr>
    </w:p>
    <w:p w14:paraId="1DD956AD" w14:textId="38D53E44" w:rsidR="003F48F1" w:rsidRPr="00F57341" w:rsidRDefault="003F48F1" w:rsidP="00F6104F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إضافة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C7647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إ</w:t>
      </w:r>
      <w:r w:rsidR="003C7647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لى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ذلك</w:t>
      </w:r>
      <w:r w:rsidR="003C7647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لوحظ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درجات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الحرارة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الصغرى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قد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ارتفعت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خلال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C20C2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2024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عن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المعدل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السنوي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بمقدار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تراوح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ما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بين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C20C2" w:rsidRPr="00F57341">
        <w:rPr>
          <w:rFonts w:ascii="Simplified Arabic" w:hAnsi="Simplified Arabic" w:cs="Simplified Arabic"/>
          <w:sz w:val="26"/>
          <w:szCs w:val="26"/>
          <w:lang w:eastAsia="en-US"/>
        </w:rPr>
        <w:t>1.0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</w:t>
      </w:r>
      <w:r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رام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الله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44C2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والبيرة</w:t>
      </w:r>
      <w:r w:rsidR="003C7647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</w:t>
      </w:r>
      <w:r w:rsidR="006C20C2" w:rsidRPr="00F57341">
        <w:rPr>
          <w:rFonts w:ascii="Simplified Arabic" w:hAnsi="Simplified Arabic" w:cs="Simplified Arabic"/>
          <w:sz w:val="26"/>
          <w:szCs w:val="26"/>
          <w:lang w:eastAsia="en-US"/>
        </w:rPr>
        <w:t>5.6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</w:t>
      </w:r>
      <w:r w:rsidRPr="00F57341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أريحا.</w:t>
      </w:r>
    </w:p>
    <w:p w14:paraId="35DEF939" w14:textId="77777777" w:rsidR="003F48F1" w:rsidRPr="00F6104F" w:rsidRDefault="003F48F1" w:rsidP="00F6104F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rtl/>
          <w:lang w:eastAsia="en-US"/>
        </w:rPr>
      </w:pPr>
    </w:p>
    <w:p w14:paraId="460BD965" w14:textId="2BB1D2E1" w:rsidR="003F48F1" w:rsidRPr="00F6104F" w:rsidRDefault="003F48F1" w:rsidP="00F6104F">
      <w:pPr>
        <w:pStyle w:val="BodyText3"/>
        <w:jc w:val="center"/>
        <w:rPr>
          <w:rFonts w:ascii="Simplified Arabic" w:hAnsi="Simplified Arabic" w:cs="Simplified Arabic"/>
          <w:color w:val="000000"/>
          <w:rtl/>
        </w:rPr>
      </w:pP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الفرق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في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درجات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الحرارة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الصغرى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(م</w:t>
      </w:r>
      <w:r w:rsidRPr="00F6104F">
        <w:rPr>
          <w:rFonts w:ascii="Simplified Arabic" w:eastAsiaTheme="minorEastAsia" w:hAnsi="Simplified Arabic" w:cs="Simplified Arabic"/>
          <w:b/>
          <w:bCs/>
          <w:color w:val="000000"/>
          <w:sz w:val="22"/>
          <w:szCs w:val="22"/>
          <w:vertAlign w:val="superscript"/>
          <w:lang w:eastAsia="en-US"/>
        </w:rPr>
        <w:t>o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)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ل</w:t>
      </w:r>
      <w:r w:rsidR="003C7647">
        <w:rPr>
          <w:rFonts w:ascii="Simplified Arabic" w:hAnsi="Simplified Arabic" w:cs="Simplified Arabic" w:hint="cs"/>
          <w:b/>
          <w:bCs/>
          <w:color w:val="000000"/>
          <w:szCs w:val="24"/>
          <w:rtl/>
          <w:lang w:eastAsia="en-US"/>
        </w:rPr>
        <w:t>ل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عام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="001D2FBE" w:rsidRPr="00F6104F">
        <w:rPr>
          <w:rFonts w:ascii="Simplified Arabic" w:hAnsi="Simplified Arabic" w:cs="Simplified Arabic"/>
          <w:b/>
          <w:bCs/>
          <w:color w:val="000000"/>
          <w:szCs w:val="24"/>
          <w:lang w:eastAsia="en-US"/>
        </w:rPr>
        <w:t>2024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="00EB1FA3">
        <w:rPr>
          <w:rFonts w:ascii="Simplified Arabic" w:hAnsi="Simplified Arabic" w:cs="Simplified Arabic" w:hint="cs"/>
          <w:b/>
          <w:bCs/>
          <w:color w:val="000000"/>
          <w:szCs w:val="24"/>
          <w:rtl/>
          <w:lang w:eastAsia="en-US"/>
        </w:rPr>
        <w:t xml:space="preserve">عن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المعدل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="004C247F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العام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لبعض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محطات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الضفة</w:t>
      </w:r>
      <w:r w:rsidR="004D4E68"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 xml:space="preserve"> </w:t>
      </w:r>
      <w:r w:rsidRPr="00F6104F">
        <w:rPr>
          <w:rFonts w:ascii="Simplified Arabic" w:hAnsi="Simplified Arabic" w:cs="Simplified Arabic"/>
          <w:b/>
          <w:bCs/>
          <w:color w:val="000000"/>
          <w:szCs w:val="24"/>
          <w:rtl/>
          <w:lang w:eastAsia="en-US"/>
        </w:rPr>
        <w:t>الغربية</w:t>
      </w:r>
      <w:r w:rsidRPr="00F6104F">
        <w:rPr>
          <w:rFonts w:ascii="Simplified Arabic" w:hAnsi="Simplified Arabic" w:cs="Simplified Arabic"/>
          <w:b/>
          <w:bCs/>
          <w:noProof/>
          <w:color w:val="000000"/>
          <w:lang w:eastAsia="en-US"/>
        </w:rPr>
        <w:drawing>
          <wp:inline distT="0" distB="0" distL="0" distR="0" wp14:anchorId="38CE227D" wp14:editId="3FAB30B9">
            <wp:extent cx="2895600" cy="1852654"/>
            <wp:effectExtent l="0" t="0" r="0" b="14605"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9FE1CA" w14:textId="77777777" w:rsidR="003F48F1" w:rsidRPr="00F6104F" w:rsidRDefault="003F48F1" w:rsidP="00F6104F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rtl/>
          <w:lang w:eastAsia="en-US"/>
        </w:rPr>
      </w:pPr>
    </w:p>
    <w:p w14:paraId="4E293AEE" w14:textId="5FF3D548" w:rsidR="004531DB" w:rsidRPr="00F57341" w:rsidRDefault="004531DB" w:rsidP="00F6104F">
      <w:pPr>
        <w:pStyle w:val="Heading3"/>
        <w:jc w:val="both"/>
        <w:rPr>
          <w:rFonts w:hAnsi="Simplified Arabic" w:cs="Simplified Arabic"/>
          <w:b w:val="0"/>
          <w:bCs w:val="0"/>
          <w:color w:val="000000"/>
          <w:sz w:val="26"/>
          <w:szCs w:val="26"/>
        </w:rPr>
      </w:pPr>
      <w:r w:rsidRPr="00F57341">
        <w:rPr>
          <w:rFonts w:hAnsi="Simplified Arabic" w:cs="Simplified Arabic"/>
          <w:color w:val="000000"/>
          <w:sz w:val="26"/>
          <w:szCs w:val="26"/>
          <w:rtl/>
        </w:rPr>
        <w:t>أعل</w:t>
      </w:r>
      <w:r w:rsidR="00297781" w:rsidRPr="00F57341">
        <w:rPr>
          <w:rFonts w:hAnsi="Simplified Arabic" w:cs="Simplified Arabic"/>
          <w:color w:val="000000"/>
          <w:sz w:val="26"/>
          <w:szCs w:val="26"/>
          <w:rtl/>
        </w:rPr>
        <w:t>ى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297781" w:rsidRPr="00F57341">
        <w:rPr>
          <w:rFonts w:hAnsi="Simplified Arabic" w:cs="Simplified Arabic"/>
          <w:color w:val="000000"/>
          <w:sz w:val="26"/>
          <w:szCs w:val="26"/>
          <w:rtl/>
        </w:rPr>
        <w:t>معدل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297781" w:rsidRPr="00F57341">
        <w:rPr>
          <w:rFonts w:hAnsi="Simplified Arabic" w:cs="Simplified Arabic"/>
          <w:color w:val="000000"/>
          <w:sz w:val="26"/>
          <w:szCs w:val="26"/>
          <w:rtl/>
        </w:rPr>
        <w:t>لسطوع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297781" w:rsidRPr="00F57341">
        <w:rPr>
          <w:rFonts w:hAnsi="Simplified Arabic" w:cs="Simplified Arabic"/>
          <w:color w:val="000000"/>
          <w:sz w:val="26"/>
          <w:szCs w:val="26"/>
          <w:rtl/>
        </w:rPr>
        <w:t>الشمس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297781" w:rsidRPr="00F57341">
        <w:rPr>
          <w:rFonts w:hAnsi="Simplified Arabic" w:cs="Simplified Arabic"/>
          <w:color w:val="000000"/>
          <w:sz w:val="26"/>
          <w:szCs w:val="26"/>
          <w:rtl/>
        </w:rPr>
        <w:t>خلال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297781" w:rsidRPr="00F57341">
        <w:rPr>
          <w:rFonts w:hAnsi="Simplified Arabic" w:cs="Simplified Arabic"/>
          <w:color w:val="000000"/>
          <w:sz w:val="26"/>
          <w:szCs w:val="26"/>
          <w:rtl/>
        </w:rPr>
        <w:t>العام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="00297781" w:rsidRPr="00F57341">
        <w:rPr>
          <w:rFonts w:hAnsi="Simplified Arabic" w:cs="Simplified Arabic"/>
          <w:color w:val="000000"/>
          <w:sz w:val="26"/>
          <w:szCs w:val="26"/>
        </w:rPr>
        <w:t>2024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تم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تسجيله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في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محطة</w:t>
      </w:r>
      <w:r w:rsidR="004D4E68" w:rsidRPr="00F57341">
        <w:rPr>
          <w:rFonts w:hAnsi="Simplified Arabic" w:cs="Simplified Arabic"/>
          <w:color w:val="000000"/>
          <w:sz w:val="26"/>
          <w:szCs w:val="26"/>
          <w:rtl/>
        </w:rPr>
        <w:t xml:space="preserve"> </w:t>
      </w:r>
      <w:r w:rsidRPr="00F57341">
        <w:rPr>
          <w:rFonts w:hAnsi="Simplified Arabic" w:cs="Simplified Arabic"/>
          <w:color w:val="000000"/>
          <w:sz w:val="26"/>
          <w:szCs w:val="26"/>
          <w:rtl/>
        </w:rPr>
        <w:t>أريحا</w:t>
      </w:r>
    </w:p>
    <w:p w14:paraId="5CEBE00B" w14:textId="454B3EFE" w:rsidR="00A625A2" w:rsidRPr="00F57341" w:rsidRDefault="004531DB" w:rsidP="00F57341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أعلى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معدل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لعدد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ساعات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سطوع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الإشعاع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الشمسي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خلال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A63186" w:rsidRPr="00F57341">
        <w:rPr>
          <w:rFonts w:ascii="Simplified Arabic" w:hAnsi="Simplified Arabic" w:cs="Simplified Arabic"/>
          <w:sz w:val="26"/>
          <w:szCs w:val="26"/>
          <w:lang w:eastAsia="en-US"/>
        </w:rPr>
        <w:t>2024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982A23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أ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ريحا</w:t>
      </w:r>
      <w:r w:rsidR="003C7647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حيث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بلغت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8.</w:t>
      </w:r>
      <w:r w:rsidR="00A63186" w:rsidRPr="00F57341">
        <w:rPr>
          <w:rFonts w:ascii="Simplified Arabic" w:hAnsi="Simplified Arabic" w:cs="Simplified Arabic"/>
          <w:sz w:val="26"/>
          <w:szCs w:val="26"/>
          <w:lang w:eastAsia="en-US"/>
        </w:rPr>
        <w:t>8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ساعة</w:t>
      </w:r>
      <w:r w:rsidRPr="00F57341">
        <w:rPr>
          <w:rFonts w:ascii="Simplified Arabic" w:hAnsi="Simplified Arabic" w:cs="Simplified Arabic"/>
          <w:sz w:val="26"/>
          <w:szCs w:val="26"/>
          <w:lang w:eastAsia="en-US"/>
        </w:rPr>
        <w:t>/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يوم،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بينما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سجلت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محطة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رام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الله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44C2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والبيرة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3C7647" w:rsidRPr="00F57341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الأقل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سطوعاً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للشمس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بـ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297781" w:rsidRPr="00F57341">
        <w:rPr>
          <w:rFonts w:ascii="Simplified Arabic" w:hAnsi="Simplified Arabic" w:cs="Simplified Arabic"/>
          <w:sz w:val="26"/>
          <w:szCs w:val="26"/>
          <w:lang w:eastAsia="en-US"/>
        </w:rPr>
        <w:t>8.6</w:t>
      </w:r>
      <w:r w:rsidR="004D4E68"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ساعة</w:t>
      </w:r>
      <w:r w:rsidRPr="00F57341">
        <w:rPr>
          <w:rFonts w:ascii="Simplified Arabic" w:hAnsi="Simplified Arabic" w:cs="Simplified Arabic"/>
          <w:sz w:val="26"/>
          <w:szCs w:val="26"/>
          <w:lang w:eastAsia="en-US"/>
        </w:rPr>
        <w:t>/</w:t>
      </w:r>
      <w:r w:rsidRPr="00F57341">
        <w:rPr>
          <w:rFonts w:ascii="Simplified Arabic" w:hAnsi="Simplified Arabic" w:cs="Simplified Arabic"/>
          <w:sz w:val="26"/>
          <w:szCs w:val="26"/>
          <w:rtl/>
          <w:lang w:eastAsia="en-US"/>
        </w:rPr>
        <w:t>يوم.</w:t>
      </w:r>
    </w:p>
    <w:sectPr w:rsidR="00A625A2" w:rsidRPr="00F57341" w:rsidSect="00F57341">
      <w:footerReference w:type="default" r:id="rId11"/>
      <w:pgSz w:w="11906" w:h="16838" w:code="9"/>
      <w:pgMar w:top="1134" w:right="1134" w:bottom="1134" w:left="1134" w:header="709" w:footer="709" w:gutter="0"/>
      <w:cols w:space="854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1E87A" w14:textId="77777777" w:rsidR="00A66260" w:rsidRDefault="00A66260" w:rsidP="007515D7">
      <w:r>
        <w:separator/>
      </w:r>
    </w:p>
  </w:endnote>
  <w:endnote w:type="continuationSeparator" w:id="0">
    <w:p w14:paraId="07E49684" w14:textId="77777777" w:rsidR="00A66260" w:rsidRDefault="00A66260" w:rsidP="0075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81369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921E1" w14:textId="62A7B6DE" w:rsidR="00F57341" w:rsidRDefault="00F573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2677667" w14:textId="77777777" w:rsidR="00F57341" w:rsidRDefault="00F57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0D728" w14:textId="77777777" w:rsidR="00A66260" w:rsidRDefault="00A66260" w:rsidP="007515D7">
      <w:r>
        <w:separator/>
      </w:r>
    </w:p>
  </w:footnote>
  <w:footnote w:type="continuationSeparator" w:id="0">
    <w:p w14:paraId="3B863B52" w14:textId="77777777" w:rsidR="00A66260" w:rsidRDefault="00A66260" w:rsidP="00751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7B7A"/>
    <w:multiLevelType w:val="multilevel"/>
    <w:tmpl w:val="7576CEF6"/>
    <w:lvl w:ilvl="0">
      <w:start w:val="7"/>
      <w:numFmt w:val="decimal"/>
      <w:lvlText w:val="%1"/>
      <w:lvlJc w:val="left"/>
      <w:pPr>
        <w:tabs>
          <w:tab w:val="num" w:pos="510"/>
        </w:tabs>
        <w:ind w:left="510" w:right="510" w:hanging="51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tabs>
          <w:tab w:val="num" w:pos="206"/>
        </w:tabs>
        <w:ind w:left="206" w:right="206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-308"/>
        </w:tabs>
        <w:ind w:left="-308" w:right="-30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-462"/>
        </w:tabs>
        <w:ind w:left="-462" w:right="-462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-976"/>
        </w:tabs>
        <w:ind w:left="-976" w:right="-97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-1130"/>
        </w:tabs>
        <w:ind w:left="-1130" w:right="-113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-1284"/>
        </w:tabs>
        <w:ind w:left="-1284" w:right="-1284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-1798"/>
        </w:tabs>
        <w:ind w:left="-1798" w:right="-1798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-1952"/>
        </w:tabs>
        <w:ind w:left="-1952" w:right="-1952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JO" w:vendorID="64" w:dllVersion="0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18"/>
    <w:rsid w:val="000025DC"/>
    <w:rsid w:val="00006BC8"/>
    <w:rsid w:val="00011185"/>
    <w:rsid w:val="00012FCE"/>
    <w:rsid w:val="0001437D"/>
    <w:rsid w:val="0002040A"/>
    <w:rsid w:val="0002095A"/>
    <w:rsid w:val="00023FD1"/>
    <w:rsid w:val="00025984"/>
    <w:rsid w:val="00027B18"/>
    <w:rsid w:val="0003346B"/>
    <w:rsid w:val="000339EE"/>
    <w:rsid w:val="00033A18"/>
    <w:rsid w:val="000350C0"/>
    <w:rsid w:val="00040F92"/>
    <w:rsid w:val="00041D0B"/>
    <w:rsid w:val="0004279B"/>
    <w:rsid w:val="0004342C"/>
    <w:rsid w:val="000463AF"/>
    <w:rsid w:val="00047EBC"/>
    <w:rsid w:val="00047EEA"/>
    <w:rsid w:val="0005059F"/>
    <w:rsid w:val="00052118"/>
    <w:rsid w:val="00052F3D"/>
    <w:rsid w:val="00055A3B"/>
    <w:rsid w:val="00055A8A"/>
    <w:rsid w:val="00056121"/>
    <w:rsid w:val="00057296"/>
    <w:rsid w:val="00057B4E"/>
    <w:rsid w:val="00057EDB"/>
    <w:rsid w:val="00060E2F"/>
    <w:rsid w:val="000645F6"/>
    <w:rsid w:val="000651D2"/>
    <w:rsid w:val="00065E71"/>
    <w:rsid w:val="000661A7"/>
    <w:rsid w:val="000672CA"/>
    <w:rsid w:val="0007556E"/>
    <w:rsid w:val="00080E4D"/>
    <w:rsid w:val="00080E91"/>
    <w:rsid w:val="000826C1"/>
    <w:rsid w:val="00083100"/>
    <w:rsid w:val="0008332A"/>
    <w:rsid w:val="0008369E"/>
    <w:rsid w:val="0008445B"/>
    <w:rsid w:val="000908F8"/>
    <w:rsid w:val="000949DD"/>
    <w:rsid w:val="00094C22"/>
    <w:rsid w:val="00095CDB"/>
    <w:rsid w:val="00095D86"/>
    <w:rsid w:val="000A00F2"/>
    <w:rsid w:val="000A1226"/>
    <w:rsid w:val="000A196C"/>
    <w:rsid w:val="000A30A4"/>
    <w:rsid w:val="000A3D8E"/>
    <w:rsid w:val="000B01AF"/>
    <w:rsid w:val="000B07FD"/>
    <w:rsid w:val="000B2A60"/>
    <w:rsid w:val="000B4D73"/>
    <w:rsid w:val="000B5048"/>
    <w:rsid w:val="000B5E63"/>
    <w:rsid w:val="000B6DAD"/>
    <w:rsid w:val="000B7685"/>
    <w:rsid w:val="000C18F8"/>
    <w:rsid w:val="000C269A"/>
    <w:rsid w:val="000C485C"/>
    <w:rsid w:val="000C4CFA"/>
    <w:rsid w:val="000D6B34"/>
    <w:rsid w:val="000D78DF"/>
    <w:rsid w:val="000E5501"/>
    <w:rsid w:val="000E571C"/>
    <w:rsid w:val="000E7F8C"/>
    <w:rsid w:val="000F0A81"/>
    <w:rsid w:val="000F1515"/>
    <w:rsid w:val="000F166C"/>
    <w:rsid w:val="000F7ED0"/>
    <w:rsid w:val="00101038"/>
    <w:rsid w:val="00101224"/>
    <w:rsid w:val="00101F23"/>
    <w:rsid w:val="00103082"/>
    <w:rsid w:val="00104D22"/>
    <w:rsid w:val="00105FE9"/>
    <w:rsid w:val="00113848"/>
    <w:rsid w:val="0011496D"/>
    <w:rsid w:val="001150C2"/>
    <w:rsid w:val="001216A2"/>
    <w:rsid w:val="00130851"/>
    <w:rsid w:val="0013242A"/>
    <w:rsid w:val="00141FD3"/>
    <w:rsid w:val="00143C21"/>
    <w:rsid w:val="001440FC"/>
    <w:rsid w:val="00144898"/>
    <w:rsid w:val="00146F04"/>
    <w:rsid w:val="00150550"/>
    <w:rsid w:val="001520AD"/>
    <w:rsid w:val="00153FDF"/>
    <w:rsid w:val="00154DDE"/>
    <w:rsid w:val="00160269"/>
    <w:rsid w:val="001662CA"/>
    <w:rsid w:val="00175C60"/>
    <w:rsid w:val="001762F5"/>
    <w:rsid w:val="001768C5"/>
    <w:rsid w:val="001771E3"/>
    <w:rsid w:val="001830FF"/>
    <w:rsid w:val="001839B9"/>
    <w:rsid w:val="00186E34"/>
    <w:rsid w:val="00190B7D"/>
    <w:rsid w:val="00192471"/>
    <w:rsid w:val="00194594"/>
    <w:rsid w:val="001A589F"/>
    <w:rsid w:val="001A6BBB"/>
    <w:rsid w:val="001A767C"/>
    <w:rsid w:val="001B1607"/>
    <w:rsid w:val="001B192A"/>
    <w:rsid w:val="001B3989"/>
    <w:rsid w:val="001B3C33"/>
    <w:rsid w:val="001B4055"/>
    <w:rsid w:val="001B435F"/>
    <w:rsid w:val="001B4C61"/>
    <w:rsid w:val="001B6E6D"/>
    <w:rsid w:val="001C3F36"/>
    <w:rsid w:val="001C43C3"/>
    <w:rsid w:val="001D076C"/>
    <w:rsid w:val="001D23FF"/>
    <w:rsid w:val="001D2FBE"/>
    <w:rsid w:val="001D4C2B"/>
    <w:rsid w:val="001E06A3"/>
    <w:rsid w:val="001E313A"/>
    <w:rsid w:val="001E6A22"/>
    <w:rsid w:val="001F4DFA"/>
    <w:rsid w:val="00200E98"/>
    <w:rsid w:val="00200F90"/>
    <w:rsid w:val="00205B18"/>
    <w:rsid w:val="00205B1E"/>
    <w:rsid w:val="00205D92"/>
    <w:rsid w:val="002146E7"/>
    <w:rsid w:val="00221B1F"/>
    <w:rsid w:val="002247CB"/>
    <w:rsid w:val="002266FB"/>
    <w:rsid w:val="002279A3"/>
    <w:rsid w:val="00241FE8"/>
    <w:rsid w:val="0024354D"/>
    <w:rsid w:val="00256DB4"/>
    <w:rsid w:val="0025763D"/>
    <w:rsid w:val="002609A5"/>
    <w:rsid w:val="00263788"/>
    <w:rsid w:val="00271B32"/>
    <w:rsid w:val="00276EA7"/>
    <w:rsid w:val="0028664C"/>
    <w:rsid w:val="00290E87"/>
    <w:rsid w:val="002915EC"/>
    <w:rsid w:val="0029313C"/>
    <w:rsid w:val="0029538B"/>
    <w:rsid w:val="00296587"/>
    <w:rsid w:val="002969EF"/>
    <w:rsid w:val="0029712B"/>
    <w:rsid w:val="00297781"/>
    <w:rsid w:val="002A18AA"/>
    <w:rsid w:val="002B231C"/>
    <w:rsid w:val="002B2348"/>
    <w:rsid w:val="002B431F"/>
    <w:rsid w:val="002B58FC"/>
    <w:rsid w:val="002B7295"/>
    <w:rsid w:val="002C3381"/>
    <w:rsid w:val="002C684D"/>
    <w:rsid w:val="002D7B7E"/>
    <w:rsid w:val="002D7E09"/>
    <w:rsid w:val="002E06C5"/>
    <w:rsid w:val="002E44F7"/>
    <w:rsid w:val="002E57F5"/>
    <w:rsid w:val="002E6468"/>
    <w:rsid w:val="002E7670"/>
    <w:rsid w:val="002F1D19"/>
    <w:rsid w:val="002F274F"/>
    <w:rsid w:val="002F293A"/>
    <w:rsid w:val="002F5C67"/>
    <w:rsid w:val="002F5FA4"/>
    <w:rsid w:val="0030269B"/>
    <w:rsid w:val="003053FA"/>
    <w:rsid w:val="00305E23"/>
    <w:rsid w:val="003065D8"/>
    <w:rsid w:val="00313910"/>
    <w:rsid w:val="00315FB0"/>
    <w:rsid w:val="00320C7A"/>
    <w:rsid w:val="0032172E"/>
    <w:rsid w:val="003237EF"/>
    <w:rsid w:val="00326A2E"/>
    <w:rsid w:val="0033204C"/>
    <w:rsid w:val="00333315"/>
    <w:rsid w:val="00334616"/>
    <w:rsid w:val="00336E7D"/>
    <w:rsid w:val="003373FF"/>
    <w:rsid w:val="00340E45"/>
    <w:rsid w:val="0034725C"/>
    <w:rsid w:val="00347769"/>
    <w:rsid w:val="00352406"/>
    <w:rsid w:val="00353656"/>
    <w:rsid w:val="00354F2F"/>
    <w:rsid w:val="003559A1"/>
    <w:rsid w:val="003569E1"/>
    <w:rsid w:val="00357761"/>
    <w:rsid w:val="003609FA"/>
    <w:rsid w:val="003649FA"/>
    <w:rsid w:val="00365BC2"/>
    <w:rsid w:val="00366FA9"/>
    <w:rsid w:val="003677D3"/>
    <w:rsid w:val="00372C77"/>
    <w:rsid w:val="00372D2B"/>
    <w:rsid w:val="00374D29"/>
    <w:rsid w:val="00376FC0"/>
    <w:rsid w:val="00377076"/>
    <w:rsid w:val="00382C38"/>
    <w:rsid w:val="003831C7"/>
    <w:rsid w:val="0038633E"/>
    <w:rsid w:val="0039228D"/>
    <w:rsid w:val="00392D88"/>
    <w:rsid w:val="003940E4"/>
    <w:rsid w:val="00394E3F"/>
    <w:rsid w:val="003A427A"/>
    <w:rsid w:val="003A51F6"/>
    <w:rsid w:val="003A60D7"/>
    <w:rsid w:val="003B0498"/>
    <w:rsid w:val="003B3146"/>
    <w:rsid w:val="003B3934"/>
    <w:rsid w:val="003B6F9C"/>
    <w:rsid w:val="003C0608"/>
    <w:rsid w:val="003C0F75"/>
    <w:rsid w:val="003C2D67"/>
    <w:rsid w:val="003C2F00"/>
    <w:rsid w:val="003C6695"/>
    <w:rsid w:val="003C7647"/>
    <w:rsid w:val="003D39E1"/>
    <w:rsid w:val="003D5216"/>
    <w:rsid w:val="003D5ED4"/>
    <w:rsid w:val="003D6394"/>
    <w:rsid w:val="003E2388"/>
    <w:rsid w:val="003E3E8C"/>
    <w:rsid w:val="003F45B7"/>
    <w:rsid w:val="003F48F1"/>
    <w:rsid w:val="003F4AEC"/>
    <w:rsid w:val="003F5E4E"/>
    <w:rsid w:val="003F6480"/>
    <w:rsid w:val="003F6CF0"/>
    <w:rsid w:val="0040062E"/>
    <w:rsid w:val="00401B30"/>
    <w:rsid w:val="00412D68"/>
    <w:rsid w:val="00413390"/>
    <w:rsid w:val="004133A7"/>
    <w:rsid w:val="00415621"/>
    <w:rsid w:val="00416CF3"/>
    <w:rsid w:val="00420B8E"/>
    <w:rsid w:val="0042130C"/>
    <w:rsid w:val="0042514A"/>
    <w:rsid w:val="004278F6"/>
    <w:rsid w:val="004309A9"/>
    <w:rsid w:val="004355AA"/>
    <w:rsid w:val="00442BFA"/>
    <w:rsid w:val="00442CD4"/>
    <w:rsid w:val="00451D67"/>
    <w:rsid w:val="004526B2"/>
    <w:rsid w:val="004531DB"/>
    <w:rsid w:val="004532B8"/>
    <w:rsid w:val="00454BCE"/>
    <w:rsid w:val="00456836"/>
    <w:rsid w:val="00456884"/>
    <w:rsid w:val="004572F1"/>
    <w:rsid w:val="00461CD4"/>
    <w:rsid w:val="0046204C"/>
    <w:rsid w:val="0046287F"/>
    <w:rsid w:val="00462BF8"/>
    <w:rsid w:val="0046470F"/>
    <w:rsid w:val="00465A78"/>
    <w:rsid w:val="00467818"/>
    <w:rsid w:val="0047238C"/>
    <w:rsid w:val="00474127"/>
    <w:rsid w:val="0047686B"/>
    <w:rsid w:val="00480014"/>
    <w:rsid w:val="00483439"/>
    <w:rsid w:val="004853C1"/>
    <w:rsid w:val="0049162C"/>
    <w:rsid w:val="00491C18"/>
    <w:rsid w:val="00491CE1"/>
    <w:rsid w:val="00492060"/>
    <w:rsid w:val="004A3BF6"/>
    <w:rsid w:val="004A6153"/>
    <w:rsid w:val="004A6973"/>
    <w:rsid w:val="004A74D0"/>
    <w:rsid w:val="004A775A"/>
    <w:rsid w:val="004A7B97"/>
    <w:rsid w:val="004B0D0B"/>
    <w:rsid w:val="004B0FA1"/>
    <w:rsid w:val="004B44E6"/>
    <w:rsid w:val="004B6504"/>
    <w:rsid w:val="004C247F"/>
    <w:rsid w:val="004D1BD8"/>
    <w:rsid w:val="004D3B31"/>
    <w:rsid w:val="004D4E68"/>
    <w:rsid w:val="004D54B9"/>
    <w:rsid w:val="004E1357"/>
    <w:rsid w:val="004E2C1D"/>
    <w:rsid w:val="004E46C7"/>
    <w:rsid w:val="004E4B51"/>
    <w:rsid w:val="004E55E0"/>
    <w:rsid w:val="004E6CE3"/>
    <w:rsid w:val="004F465B"/>
    <w:rsid w:val="004F4A15"/>
    <w:rsid w:val="004F4CC3"/>
    <w:rsid w:val="004F67F5"/>
    <w:rsid w:val="004F7B32"/>
    <w:rsid w:val="00512FD2"/>
    <w:rsid w:val="00513857"/>
    <w:rsid w:val="00514588"/>
    <w:rsid w:val="00515BBD"/>
    <w:rsid w:val="0051609F"/>
    <w:rsid w:val="005166C4"/>
    <w:rsid w:val="00522510"/>
    <w:rsid w:val="00525F2B"/>
    <w:rsid w:val="00530A3A"/>
    <w:rsid w:val="00532B8B"/>
    <w:rsid w:val="00534785"/>
    <w:rsid w:val="00534FA4"/>
    <w:rsid w:val="00535199"/>
    <w:rsid w:val="00543C72"/>
    <w:rsid w:val="005446F7"/>
    <w:rsid w:val="0054555D"/>
    <w:rsid w:val="0055729D"/>
    <w:rsid w:val="00557694"/>
    <w:rsid w:val="00557827"/>
    <w:rsid w:val="00563F8E"/>
    <w:rsid w:val="00565B61"/>
    <w:rsid w:val="005709B3"/>
    <w:rsid w:val="00571C19"/>
    <w:rsid w:val="00571EA5"/>
    <w:rsid w:val="005723C6"/>
    <w:rsid w:val="00576E82"/>
    <w:rsid w:val="00577B0E"/>
    <w:rsid w:val="00583DE9"/>
    <w:rsid w:val="005865E5"/>
    <w:rsid w:val="0058788A"/>
    <w:rsid w:val="00590131"/>
    <w:rsid w:val="00590B80"/>
    <w:rsid w:val="00592D7B"/>
    <w:rsid w:val="0059426F"/>
    <w:rsid w:val="0059467C"/>
    <w:rsid w:val="005978BA"/>
    <w:rsid w:val="005A0036"/>
    <w:rsid w:val="005A3B87"/>
    <w:rsid w:val="005A7279"/>
    <w:rsid w:val="005B57E6"/>
    <w:rsid w:val="005B5A21"/>
    <w:rsid w:val="005B756D"/>
    <w:rsid w:val="005C1E49"/>
    <w:rsid w:val="005C29FD"/>
    <w:rsid w:val="005C5FA0"/>
    <w:rsid w:val="005D0209"/>
    <w:rsid w:val="005D04B7"/>
    <w:rsid w:val="005D32F0"/>
    <w:rsid w:val="005D6C42"/>
    <w:rsid w:val="005E438A"/>
    <w:rsid w:val="005E59FA"/>
    <w:rsid w:val="005E6B9F"/>
    <w:rsid w:val="005F0C1F"/>
    <w:rsid w:val="005F272E"/>
    <w:rsid w:val="005F4338"/>
    <w:rsid w:val="005F5ECD"/>
    <w:rsid w:val="006029FA"/>
    <w:rsid w:val="006057C3"/>
    <w:rsid w:val="006060B5"/>
    <w:rsid w:val="006065C0"/>
    <w:rsid w:val="00607B13"/>
    <w:rsid w:val="00610962"/>
    <w:rsid w:val="00612DDF"/>
    <w:rsid w:val="0061498F"/>
    <w:rsid w:val="00616CBF"/>
    <w:rsid w:val="00617A8B"/>
    <w:rsid w:val="00617C37"/>
    <w:rsid w:val="006210DD"/>
    <w:rsid w:val="00621752"/>
    <w:rsid w:val="00621E92"/>
    <w:rsid w:val="00622CF7"/>
    <w:rsid w:val="00622E2A"/>
    <w:rsid w:val="006332F7"/>
    <w:rsid w:val="00646A08"/>
    <w:rsid w:val="00651461"/>
    <w:rsid w:val="006536BA"/>
    <w:rsid w:val="0065521C"/>
    <w:rsid w:val="00656CB3"/>
    <w:rsid w:val="006578DE"/>
    <w:rsid w:val="00661B47"/>
    <w:rsid w:val="0066323A"/>
    <w:rsid w:val="006669AA"/>
    <w:rsid w:val="00667640"/>
    <w:rsid w:val="00672E3D"/>
    <w:rsid w:val="006741A4"/>
    <w:rsid w:val="00677E8C"/>
    <w:rsid w:val="0068023A"/>
    <w:rsid w:val="00684A4E"/>
    <w:rsid w:val="00684D4A"/>
    <w:rsid w:val="0068720F"/>
    <w:rsid w:val="00690750"/>
    <w:rsid w:val="006948EC"/>
    <w:rsid w:val="00694FEE"/>
    <w:rsid w:val="00695A6B"/>
    <w:rsid w:val="006969F9"/>
    <w:rsid w:val="00697F74"/>
    <w:rsid w:val="006A0B19"/>
    <w:rsid w:val="006A255B"/>
    <w:rsid w:val="006A2B49"/>
    <w:rsid w:val="006A4B4F"/>
    <w:rsid w:val="006A6377"/>
    <w:rsid w:val="006A69EE"/>
    <w:rsid w:val="006B34B4"/>
    <w:rsid w:val="006B4642"/>
    <w:rsid w:val="006B4B81"/>
    <w:rsid w:val="006C1E3B"/>
    <w:rsid w:val="006C20C2"/>
    <w:rsid w:val="006C24CE"/>
    <w:rsid w:val="006C5ECC"/>
    <w:rsid w:val="006C6725"/>
    <w:rsid w:val="006D330B"/>
    <w:rsid w:val="006D4E61"/>
    <w:rsid w:val="006D6E01"/>
    <w:rsid w:val="006D73E2"/>
    <w:rsid w:val="006E0AE3"/>
    <w:rsid w:val="006E12EC"/>
    <w:rsid w:val="006E35EF"/>
    <w:rsid w:val="006E4C4E"/>
    <w:rsid w:val="006E4F7C"/>
    <w:rsid w:val="006E5A27"/>
    <w:rsid w:val="006F0491"/>
    <w:rsid w:val="006F119C"/>
    <w:rsid w:val="006F1B59"/>
    <w:rsid w:val="006F534E"/>
    <w:rsid w:val="006F5359"/>
    <w:rsid w:val="006F58F0"/>
    <w:rsid w:val="00703292"/>
    <w:rsid w:val="0070367C"/>
    <w:rsid w:val="00704621"/>
    <w:rsid w:val="00706B5F"/>
    <w:rsid w:val="00711829"/>
    <w:rsid w:val="0071231C"/>
    <w:rsid w:val="0071443B"/>
    <w:rsid w:val="00716868"/>
    <w:rsid w:val="0072036D"/>
    <w:rsid w:val="00721F00"/>
    <w:rsid w:val="00724428"/>
    <w:rsid w:val="007271C6"/>
    <w:rsid w:val="007278E9"/>
    <w:rsid w:val="007279F6"/>
    <w:rsid w:val="007365CD"/>
    <w:rsid w:val="0073684F"/>
    <w:rsid w:val="007400B0"/>
    <w:rsid w:val="007408A0"/>
    <w:rsid w:val="007423C6"/>
    <w:rsid w:val="007427AB"/>
    <w:rsid w:val="00743951"/>
    <w:rsid w:val="00743E6E"/>
    <w:rsid w:val="0074478F"/>
    <w:rsid w:val="00745CA0"/>
    <w:rsid w:val="00745F25"/>
    <w:rsid w:val="007515D7"/>
    <w:rsid w:val="00751A5B"/>
    <w:rsid w:val="007522EA"/>
    <w:rsid w:val="00753E98"/>
    <w:rsid w:val="00757232"/>
    <w:rsid w:val="007650F6"/>
    <w:rsid w:val="00767105"/>
    <w:rsid w:val="007736A4"/>
    <w:rsid w:val="00775231"/>
    <w:rsid w:val="007758DA"/>
    <w:rsid w:val="00776270"/>
    <w:rsid w:val="007814D9"/>
    <w:rsid w:val="00782BDA"/>
    <w:rsid w:val="007834E9"/>
    <w:rsid w:val="00783FC3"/>
    <w:rsid w:val="007907AD"/>
    <w:rsid w:val="007917D5"/>
    <w:rsid w:val="00792FCA"/>
    <w:rsid w:val="007960D1"/>
    <w:rsid w:val="007A009A"/>
    <w:rsid w:val="007A2C69"/>
    <w:rsid w:val="007A3322"/>
    <w:rsid w:val="007A4270"/>
    <w:rsid w:val="007A57EC"/>
    <w:rsid w:val="007A7267"/>
    <w:rsid w:val="007B18D9"/>
    <w:rsid w:val="007B1D29"/>
    <w:rsid w:val="007B27AE"/>
    <w:rsid w:val="007B359E"/>
    <w:rsid w:val="007C2656"/>
    <w:rsid w:val="007C308D"/>
    <w:rsid w:val="007C3543"/>
    <w:rsid w:val="007C38BA"/>
    <w:rsid w:val="007C3D8C"/>
    <w:rsid w:val="007D1DF7"/>
    <w:rsid w:val="007D34A3"/>
    <w:rsid w:val="007D65DD"/>
    <w:rsid w:val="007D7080"/>
    <w:rsid w:val="007E283F"/>
    <w:rsid w:val="007E4535"/>
    <w:rsid w:val="007F74FC"/>
    <w:rsid w:val="00803B6D"/>
    <w:rsid w:val="0080700A"/>
    <w:rsid w:val="008078D4"/>
    <w:rsid w:val="00813614"/>
    <w:rsid w:val="00813C0E"/>
    <w:rsid w:val="008149AD"/>
    <w:rsid w:val="008150F7"/>
    <w:rsid w:val="00816432"/>
    <w:rsid w:val="008231E3"/>
    <w:rsid w:val="0082389C"/>
    <w:rsid w:val="00824127"/>
    <w:rsid w:val="00825409"/>
    <w:rsid w:val="008319A9"/>
    <w:rsid w:val="00831C64"/>
    <w:rsid w:val="0083215F"/>
    <w:rsid w:val="00833220"/>
    <w:rsid w:val="0083461E"/>
    <w:rsid w:val="0083528E"/>
    <w:rsid w:val="00836D19"/>
    <w:rsid w:val="00837B56"/>
    <w:rsid w:val="0084126C"/>
    <w:rsid w:val="00841828"/>
    <w:rsid w:val="00841D56"/>
    <w:rsid w:val="008453D3"/>
    <w:rsid w:val="00845864"/>
    <w:rsid w:val="008476B9"/>
    <w:rsid w:val="00860C72"/>
    <w:rsid w:val="008648D3"/>
    <w:rsid w:val="00872E77"/>
    <w:rsid w:val="00873AB2"/>
    <w:rsid w:val="00876128"/>
    <w:rsid w:val="00881931"/>
    <w:rsid w:val="00881C2B"/>
    <w:rsid w:val="00883C3D"/>
    <w:rsid w:val="00884EC8"/>
    <w:rsid w:val="008863D4"/>
    <w:rsid w:val="00887552"/>
    <w:rsid w:val="00890F0E"/>
    <w:rsid w:val="0089286F"/>
    <w:rsid w:val="00893BBF"/>
    <w:rsid w:val="00895A9C"/>
    <w:rsid w:val="00895DF5"/>
    <w:rsid w:val="00896F3E"/>
    <w:rsid w:val="008A0612"/>
    <w:rsid w:val="008A080F"/>
    <w:rsid w:val="008A1311"/>
    <w:rsid w:val="008A1FF6"/>
    <w:rsid w:val="008B2BCB"/>
    <w:rsid w:val="008B37A1"/>
    <w:rsid w:val="008B46C3"/>
    <w:rsid w:val="008C03CB"/>
    <w:rsid w:val="008C2B61"/>
    <w:rsid w:val="008C3875"/>
    <w:rsid w:val="008C6CD8"/>
    <w:rsid w:val="008D3436"/>
    <w:rsid w:val="008D36C6"/>
    <w:rsid w:val="008D5828"/>
    <w:rsid w:val="008E418A"/>
    <w:rsid w:val="008E575B"/>
    <w:rsid w:val="008E683D"/>
    <w:rsid w:val="008E7278"/>
    <w:rsid w:val="00901A93"/>
    <w:rsid w:val="0090328D"/>
    <w:rsid w:val="009050EB"/>
    <w:rsid w:val="00905751"/>
    <w:rsid w:val="009218EC"/>
    <w:rsid w:val="00921CA2"/>
    <w:rsid w:val="0092583E"/>
    <w:rsid w:val="00930D2C"/>
    <w:rsid w:val="00931B8C"/>
    <w:rsid w:val="00935DB6"/>
    <w:rsid w:val="009373B3"/>
    <w:rsid w:val="0093793C"/>
    <w:rsid w:val="00937AC9"/>
    <w:rsid w:val="009420BE"/>
    <w:rsid w:val="0094279B"/>
    <w:rsid w:val="00943160"/>
    <w:rsid w:val="00943AC4"/>
    <w:rsid w:val="00944582"/>
    <w:rsid w:val="00945BC4"/>
    <w:rsid w:val="00950492"/>
    <w:rsid w:val="0095131B"/>
    <w:rsid w:val="009536D2"/>
    <w:rsid w:val="0095377A"/>
    <w:rsid w:val="00957D01"/>
    <w:rsid w:val="00967A31"/>
    <w:rsid w:val="00971655"/>
    <w:rsid w:val="00973792"/>
    <w:rsid w:val="00973A19"/>
    <w:rsid w:val="0097484F"/>
    <w:rsid w:val="0097799A"/>
    <w:rsid w:val="00980E9F"/>
    <w:rsid w:val="00982A23"/>
    <w:rsid w:val="00983A55"/>
    <w:rsid w:val="00985167"/>
    <w:rsid w:val="00985F58"/>
    <w:rsid w:val="0098621A"/>
    <w:rsid w:val="00986401"/>
    <w:rsid w:val="009868FA"/>
    <w:rsid w:val="00992A19"/>
    <w:rsid w:val="009933F5"/>
    <w:rsid w:val="0099530A"/>
    <w:rsid w:val="009973E7"/>
    <w:rsid w:val="009979BE"/>
    <w:rsid w:val="00997F1E"/>
    <w:rsid w:val="009A0B9A"/>
    <w:rsid w:val="009A31AA"/>
    <w:rsid w:val="009A44BA"/>
    <w:rsid w:val="009A60A7"/>
    <w:rsid w:val="009A6CEB"/>
    <w:rsid w:val="009B4317"/>
    <w:rsid w:val="009B5875"/>
    <w:rsid w:val="009B70ED"/>
    <w:rsid w:val="009C1024"/>
    <w:rsid w:val="009C4A56"/>
    <w:rsid w:val="009C6172"/>
    <w:rsid w:val="009D211A"/>
    <w:rsid w:val="009D31D5"/>
    <w:rsid w:val="009D4552"/>
    <w:rsid w:val="009D7193"/>
    <w:rsid w:val="009D7650"/>
    <w:rsid w:val="009E36EF"/>
    <w:rsid w:val="009E3DCD"/>
    <w:rsid w:val="009E785B"/>
    <w:rsid w:val="009E7947"/>
    <w:rsid w:val="009F0454"/>
    <w:rsid w:val="009F5518"/>
    <w:rsid w:val="009F6014"/>
    <w:rsid w:val="009F601D"/>
    <w:rsid w:val="009F7FF0"/>
    <w:rsid w:val="00A032EC"/>
    <w:rsid w:val="00A03831"/>
    <w:rsid w:val="00A07AB1"/>
    <w:rsid w:val="00A105E2"/>
    <w:rsid w:val="00A11224"/>
    <w:rsid w:val="00A16804"/>
    <w:rsid w:val="00A1755A"/>
    <w:rsid w:val="00A20C0F"/>
    <w:rsid w:val="00A224A3"/>
    <w:rsid w:val="00A23820"/>
    <w:rsid w:val="00A25325"/>
    <w:rsid w:val="00A27CB6"/>
    <w:rsid w:val="00A30C4F"/>
    <w:rsid w:val="00A30DF8"/>
    <w:rsid w:val="00A31B7D"/>
    <w:rsid w:val="00A3247B"/>
    <w:rsid w:val="00A34F39"/>
    <w:rsid w:val="00A35D5B"/>
    <w:rsid w:val="00A35E46"/>
    <w:rsid w:val="00A43E95"/>
    <w:rsid w:val="00A44AD4"/>
    <w:rsid w:val="00A469F6"/>
    <w:rsid w:val="00A51860"/>
    <w:rsid w:val="00A5287E"/>
    <w:rsid w:val="00A54EA0"/>
    <w:rsid w:val="00A55452"/>
    <w:rsid w:val="00A57DA2"/>
    <w:rsid w:val="00A625A2"/>
    <w:rsid w:val="00A63186"/>
    <w:rsid w:val="00A66260"/>
    <w:rsid w:val="00A66BC3"/>
    <w:rsid w:val="00A66BF9"/>
    <w:rsid w:val="00A70187"/>
    <w:rsid w:val="00A739C9"/>
    <w:rsid w:val="00A74014"/>
    <w:rsid w:val="00A77395"/>
    <w:rsid w:val="00A80FB1"/>
    <w:rsid w:val="00A81448"/>
    <w:rsid w:val="00A81959"/>
    <w:rsid w:val="00A8197C"/>
    <w:rsid w:val="00A83AB4"/>
    <w:rsid w:val="00A841EE"/>
    <w:rsid w:val="00A86938"/>
    <w:rsid w:val="00A918CB"/>
    <w:rsid w:val="00A93C24"/>
    <w:rsid w:val="00A9634C"/>
    <w:rsid w:val="00A97B14"/>
    <w:rsid w:val="00A97B15"/>
    <w:rsid w:val="00AA0606"/>
    <w:rsid w:val="00AA223D"/>
    <w:rsid w:val="00AA2D25"/>
    <w:rsid w:val="00AA41D8"/>
    <w:rsid w:val="00AA5D67"/>
    <w:rsid w:val="00AB1CC3"/>
    <w:rsid w:val="00AC3461"/>
    <w:rsid w:val="00AC7F5E"/>
    <w:rsid w:val="00AD21E6"/>
    <w:rsid w:val="00AD2D5B"/>
    <w:rsid w:val="00AD2FF2"/>
    <w:rsid w:val="00AD41F9"/>
    <w:rsid w:val="00AE7673"/>
    <w:rsid w:val="00AF4129"/>
    <w:rsid w:val="00AF7016"/>
    <w:rsid w:val="00B00C44"/>
    <w:rsid w:val="00B04866"/>
    <w:rsid w:val="00B05837"/>
    <w:rsid w:val="00B05FDB"/>
    <w:rsid w:val="00B07B5B"/>
    <w:rsid w:val="00B11005"/>
    <w:rsid w:val="00B120BE"/>
    <w:rsid w:val="00B12FD2"/>
    <w:rsid w:val="00B137E5"/>
    <w:rsid w:val="00B14ED7"/>
    <w:rsid w:val="00B175EF"/>
    <w:rsid w:val="00B17A6F"/>
    <w:rsid w:val="00B17C5C"/>
    <w:rsid w:val="00B205E1"/>
    <w:rsid w:val="00B2113B"/>
    <w:rsid w:val="00B22646"/>
    <w:rsid w:val="00B24FD1"/>
    <w:rsid w:val="00B307E9"/>
    <w:rsid w:val="00B37047"/>
    <w:rsid w:val="00B4177C"/>
    <w:rsid w:val="00B44C28"/>
    <w:rsid w:val="00B4630D"/>
    <w:rsid w:val="00B4702F"/>
    <w:rsid w:val="00B50091"/>
    <w:rsid w:val="00B53758"/>
    <w:rsid w:val="00B54C82"/>
    <w:rsid w:val="00B56CB6"/>
    <w:rsid w:val="00B62137"/>
    <w:rsid w:val="00B6745E"/>
    <w:rsid w:val="00B70C0B"/>
    <w:rsid w:val="00B76C6E"/>
    <w:rsid w:val="00B80B35"/>
    <w:rsid w:val="00B82F7A"/>
    <w:rsid w:val="00B83A98"/>
    <w:rsid w:val="00B84065"/>
    <w:rsid w:val="00B84FAC"/>
    <w:rsid w:val="00B903F2"/>
    <w:rsid w:val="00B949DE"/>
    <w:rsid w:val="00B95A9A"/>
    <w:rsid w:val="00B95BD7"/>
    <w:rsid w:val="00BA08A1"/>
    <w:rsid w:val="00BA379D"/>
    <w:rsid w:val="00BA3855"/>
    <w:rsid w:val="00BA6938"/>
    <w:rsid w:val="00BA6952"/>
    <w:rsid w:val="00BB3119"/>
    <w:rsid w:val="00BB43AE"/>
    <w:rsid w:val="00BB4CEF"/>
    <w:rsid w:val="00BC0D72"/>
    <w:rsid w:val="00BC360A"/>
    <w:rsid w:val="00BC3F5A"/>
    <w:rsid w:val="00BC53D9"/>
    <w:rsid w:val="00BC59D4"/>
    <w:rsid w:val="00BC62A7"/>
    <w:rsid w:val="00BC67C4"/>
    <w:rsid w:val="00BC6F93"/>
    <w:rsid w:val="00BC79BA"/>
    <w:rsid w:val="00BD03B6"/>
    <w:rsid w:val="00BE02BF"/>
    <w:rsid w:val="00BE3596"/>
    <w:rsid w:val="00BF0379"/>
    <w:rsid w:val="00BF6569"/>
    <w:rsid w:val="00C01B68"/>
    <w:rsid w:val="00C04E63"/>
    <w:rsid w:val="00C05D6E"/>
    <w:rsid w:val="00C118E9"/>
    <w:rsid w:val="00C11DCD"/>
    <w:rsid w:val="00C17D21"/>
    <w:rsid w:val="00C2241E"/>
    <w:rsid w:val="00C23163"/>
    <w:rsid w:val="00C235AB"/>
    <w:rsid w:val="00C258B3"/>
    <w:rsid w:val="00C3529A"/>
    <w:rsid w:val="00C372ED"/>
    <w:rsid w:val="00C37736"/>
    <w:rsid w:val="00C37ED8"/>
    <w:rsid w:val="00C37FC5"/>
    <w:rsid w:val="00C4117A"/>
    <w:rsid w:val="00C42414"/>
    <w:rsid w:val="00C440A9"/>
    <w:rsid w:val="00C45FDB"/>
    <w:rsid w:val="00C47810"/>
    <w:rsid w:val="00C479D3"/>
    <w:rsid w:val="00C51612"/>
    <w:rsid w:val="00C5240E"/>
    <w:rsid w:val="00C54332"/>
    <w:rsid w:val="00C5502F"/>
    <w:rsid w:val="00C5573B"/>
    <w:rsid w:val="00C55FCF"/>
    <w:rsid w:val="00C564FE"/>
    <w:rsid w:val="00C56C73"/>
    <w:rsid w:val="00C570F8"/>
    <w:rsid w:val="00C625F4"/>
    <w:rsid w:val="00C62905"/>
    <w:rsid w:val="00C72BC5"/>
    <w:rsid w:val="00C83DF6"/>
    <w:rsid w:val="00C843A6"/>
    <w:rsid w:val="00C85D15"/>
    <w:rsid w:val="00C9354B"/>
    <w:rsid w:val="00CA7F23"/>
    <w:rsid w:val="00CB070B"/>
    <w:rsid w:val="00CB1991"/>
    <w:rsid w:val="00CB5078"/>
    <w:rsid w:val="00CB677B"/>
    <w:rsid w:val="00CB74B4"/>
    <w:rsid w:val="00CC1EB5"/>
    <w:rsid w:val="00CC226C"/>
    <w:rsid w:val="00CC3340"/>
    <w:rsid w:val="00CC3BD7"/>
    <w:rsid w:val="00CC464B"/>
    <w:rsid w:val="00CD35E8"/>
    <w:rsid w:val="00CD704F"/>
    <w:rsid w:val="00CD793F"/>
    <w:rsid w:val="00CE0589"/>
    <w:rsid w:val="00CE16A1"/>
    <w:rsid w:val="00CE361B"/>
    <w:rsid w:val="00CE42B9"/>
    <w:rsid w:val="00CE69B2"/>
    <w:rsid w:val="00CE730D"/>
    <w:rsid w:val="00CF23EC"/>
    <w:rsid w:val="00CF2554"/>
    <w:rsid w:val="00CF51C2"/>
    <w:rsid w:val="00CF5340"/>
    <w:rsid w:val="00D00198"/>
    <w:rsid w:val="00D012B9"/>
    <w:rsid w:val="00D0465D"/>
    <w:rsid w:val="00D05CC7"/>
    <w:rsid w:val="00D06002"/>
    <w:rsid w:val="00D06E31"/>
    <w:rsid w:val="00D0717D"/>
    <w:rsid w:val="00D10843"/>
    <w:rsid w:val="00D10FB6"/>
    <w:rsid w:val="00D11194"/>
    <w:rsid w:val="00D115AD"/>
    <w:rsid w:val="00D1402B"/>
    <w:rsid w:val="00D1457F"/>
    <w:rsid w:val="00D15CA8"/>
    <w:rsid w:val="00D209FA"/>
    <w:rsid w:val="00D229B4"/>
    <w:rsid w:val="00D229EF"/>
    <w:rsid w:val="00D24310"/>
    <w:rsid w:val="00D25B82"/>
    <w:rsid w:val="00D2646C"/>
    <w:rsid w:val="00D2700C"/>
    <w:rsid w:val="00D332EB"/>
    <w:rsid w:val="00D33359"/>
    <w:rsid w:val="00D337FB"/>
    <w:rsid w:val="00D33842"/>
    <w:rsid w:val="00D371C4"/>
    <w:rsid w:val="00D373F8"/>
    <w:rsid w:val="00D378EF"/>
    <w:rsid w:val="00D51561"/>
    <w:rsid w:val="00D51C9F"/>
    <w:rsid w:val="00D52A70"/>
    <w:rsid w:val="00D535A9"/>
    <w:rsid w:val="00D603D8"/>
    <w:rsid w:val="00D61AF6"/>
    <w:rsid w:val="00D643FB"/>
    <w:rsid w:val="00D6515E"/>
    <w:rsid w:val="00D673D6"/>
    <w:rsid w:val="00D74935"/>
    <w:rsid w:val="00D7509D"/>
    <w:rsid w:val="00D81C7C"/>
    <w:rsid w:val="00D85D59"/>
    <w:rsid w:val="00D92EDF"/>
    <w:rsid w:val="00D94DAE"/>
    <w:rsid w:val="00D96315"/>
    <w:rsid w:val="00D97730"/>
    <w:rsid w:val="00DA165E"/>
    <w:rsid w:val="00DA237F"/>
    <w:rsid w:val="00DA2B47"/>
    <w:rsid w:val="00DA7EEF"/>
    <w:rsid w:val="00DB007C"/>
    <w:rsid w:val="00DB01BF"/>
    <w:rsid w:val="00DB1B9E"/>
    <w:rsid w:val="00DB1D9F"/>
    <w:rsid w:val="00DB2878"/>
    <w:rsid w:val="00DB33D5"/>
    <w:rsid w:val="00DB6B62"/>
    <w:rsid w:val="00DC2BDC"/>
    <w:rsid w:val="00DC4046"/>
    <w:rsid w:val="00DC51C3"/>
    <w:rsid w:val="00DC5D78"/>
    <w:rsid w:val="00DC65EF"/>
    <w:rsid w:val="00DD0066"/>
    <w:rsid w:val="00DD1D16"/>
    <w:rsid w:val="00DD3BDB"/>
    <w:rsid w:val="00DE31FB"/>
    <w:rsid w:val="00DE6F21"/>
    <w:rsid w:val="00DE7267"/>
    <w:rsid w:val="00DF32A1"/>
    <w:rsid w:val="00DF499A"/>
    <w:rsid w:val="00DF76BF"/>
    <w:rsid w:val="00E02716"/>
    <w:rsid w:val="00E02D10"/>
    <w:rsid w:val="00E03FA0"/>
    <w:rsid w:val="00E10958"/>
    <w:rsid w:val="00E10F0D"/>
    <w:rsid w:val="00E11211"/>
    <w:rsid w:val="00E11ABA"/>
    <w:rsid w:val="00E15B3B"/>
    <w:rsid w:val="00E170CC"/>
    <w:rsid w:val="00E225CF"/>
    <w:rsid w:val="00E24304"/>
    <w:rsid w:val="00E24F25"/>
    <w:rsid w:val="00E24FEF"/>
    <w:rsid w:val="00E25E60"/>
    <w:rsid w:val="00E27C09"/>
    <w:rsid w:val="00E35E47"/>
    <w:rsid w:val="00E363FE"/>
    <w:rsid w:val="00E37E66"/>
    <w:rsid w:val="00E4097A"/>
    <w:rsid w:val="00E41DAC"/>
    <w:rsid w:val="00E42B97"/>
    <w:rsid w:val="00E446F6"/>
    <w:rsid w:val="00E452B2"/>
    <w:rsid w:val="00E45DE4"/>
    <w:rsid w:val="00E46E30"/>
    <w:rsid w:val="00E5010B"/>
    <w:rsid w:val="00E51607"/>
    <w:rsid w:val="00E55989"/>
    <w:rsid w:val="00E56D6A"/>
    <w:rsid w:val="00E6052E"/>
    <w:rsid w:val="00E62050"/>
    <w:rsid w:val="00E670A5"/>
    <w:rsid w:val="00E71295"/>
    <w:rsid w:val="00E72DF5"/>
    <w:rsid w:val="00E743F3"/>
    <w:rsid w:val="00E765A3"/>
    <w:rsid w:val="00E84089"/>
    <w:rsid w:val="00E871C2"/>
    <w:rsid w:val="00E9124D"/>
    <w:rsid w:val="00E920A1"/>
    <w:rsid w:val="00E928FB"/>
    <w:rsid w:val="00E92D2A"/>
    <w:rsid w:val="00E93299"/>
    <w:rsid w:val="00E96D19"/>
    <w:rsid w:val="00EA4BE6"/>
    <w:rsid w:val="00EA63AE"/>
    <w:rsid w:val="00EA7815"/>
    <w:rsid w:val="00EB066D"/>
    <w:rsid w:val="00EB1FA3"/>
    <w:rsid w:val="00EB6276"/>
    <w:rsid w:val="00EB6493"/>
    <w:rsid w:val="00EC1D37"/>
    <w:rsid w:val="00EC2EEF"/>
    <w:rsid w:val="00EC47DB"/>
    <w:rsid w:val="00EC51D7"/>
    <w:rsid w:val="00ED2706"/>
    <w:rsid w:val="00ED42C1"/>
    <w:rsid w:val="00ED594B"/>
    <w:rsid w:val="00EE1084"/>
    <w:rsid w:val="00EE18FF"/>
    <w:rsid w:val="00EE1959"/>
    <w:rsid w:val="00EE1E1A"/>
    <w:rsid w:val="00EE2B96"/>
    <w:rsid w:val="00EE30E5"/>
    <w:rsid w:val="00EE373F"/>
    <w:rsid w:val="00EE3912"/>
    <w:rsid w:val="00EE3D42"/>
    <w:rsid w:val="00EF0845"/>
    <w:rsid w:val="00EF10CA"/>
    <w:rsid w:val="00F0007D"/>
    <w:rsid w:val="00F009C9"/>
    <w:rsid w:val="00F01150"/>
    <w:rsid w:val="00F04879"/>
    <w:rsid w:val="00F04E7E"/>
    <w:rsid w:val="00F0574C"/>
    <w:rsid w:val="00F071C7"/>
    <w:rsid w:val="00F072B2"/>
    <w:rsid w:val="00F11E8C"/>
    <w:rsid w:val="00F14B86"/>
    <w:rsid w:val="00F151AE"/>
    <w:rsid w:val="00F156DD"/>
    <w:rsid w:val="00F1708C"/>
    <w:rsid w:val="00F2501B"/>
    <w:rsid w:val="00F300D0"/>
    <w:rsid w:val="00F3274D"/>
    <w:rsid w:val="00F33417"/>
    <w:rsid w:val="00F52586"/>
    <w:rsid w:val="00F5303F"/>
    <w:rsid w:val="00F5647D"/>
    <w:rsid w:val="00F57341"/>
    <w:rsid w:val="00F60E43"/>
    <w:rsid w:val="00F6104F"/>
    <w:rsid w:val="00F6136E"/>
    <w:rsid w:val="00F62160"/>
    <w:rsid w:val="00F62FD7"/>
    <w:rsid w:val="00F641F7"/>
    <w:rsid w:val="00F70D08"/>
    <w:rsid w:val="00F71940"/>
    <w:rsid w:val="00F7241F"/>
    <w:rsid w:val="00F73520"/>
    <w:rsid w:val="00F77A22"/>
    <w:rsid w:val="00F814CD"/>
    <w:rsid w:val="00F833E7"/>
    <w:rsid w:val="00F840B5"/>
    <w:rsid w:val="00F92450"/>
    <w:rsid w:val="00FA2676"/>
    <w:rsid w:val="00FA350C"/>
    <w:rsid w:val="00FA368F"/>
    <w:rsid w:val="00FA4174"/>
    <w:rsid w:val="00FA43E7"/>
    <w:rsid w:val="00FA49EB"/>
    <w:rsid w:val="00FA5FC7"/>
    <w:rsid w:val="00FA623E"/>
    <w:rsid w:val="00FB4A3C"/>
    <w:rsid w:val="00FB505B"/>
    <w:rsid w:val="00FB6686"/>
    <w:rsid w:val="00FB77EF"/>
    <w:rsid w:val="00FB7B18"/>
    <w:rsid w:val="00FC0750"/>
    <w:rsid w:val="00FC0C8F"/>
    <w:rsid w:val="00FC1C49"/>
    <w:rsid w:val="00FC3B16"/>
    <w:rsid w:val="00FC5A43"/>
    <w:rsid w:val="00FD34DD"/>
    <w:rsid w:val="00FD3B1C"/>
    <w:rsid w:val="00FD42AC"/>
    <w:rsid w:val="00FD7E7D"/>
    <w:rsid w:val="00FE1EF0"/>
    <w:rsid w:val="00FE5717"/>
    <w:rsid w:val="00FE60F6"/>
    <w:rsid w:val="00FE6893"/>
    <w:rsid w:val="00FF0C2B"/>
    <w:rsid w:val="00FF7CBF"/>
    <w:rsid w:val="00FF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A1ABE"/>
  <w15:docId w15:val="{B3530900-4B1D-4323-99AE-E9F8625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670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E7670"/>
    <w:pPr>
      <w:keepNext/>
      <w:tabs>
        <w:tab w:val="left" w:pos="296"/>
      </w:tabs>
      <w:ind w:left="-722"/>
      <w:jc w:val="lowKashida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link w:val="Heading2Char"/>
    <w:qFormat/>
    <w:rsid w:val="002E7670"/>
    <w:pPr>
      <w:keepNext/>
      <w:ind w:left="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E7670"/>
    <w:pPr>
      <w:keepNext/>
      <w:autoSpaceDE w:val="0"/>
      <w:autoSpaceDN w:val="0"/>
      <w:adjustRightInd w:val="0"/>
      <w:jc w:val="lowKashida"/>
      <w:outlineLvl w:val="2"/>
    </w:pPr>
    <w:rPr>
      <w:rFonts w:ascii="Simplified Arabic"/>
      <w:b/>
      <w:bCs/>
    </w:rPr>
  </w:style>
  <w:style w:type="paragraph" w:styleId="Heading4">
    <w:name w:val="heading 4"/>
    <w:basedOn w:val="Normal"/>
    <w:next w:val="Normal"/>
    <w:qFormat/>
    <w:rsid w:val="002E7670"/>
    <w:pPr>
      <w:keepNext/>
      <w:jc w:val="center"/>
      <w:outlineLvl w:val="3"/>
    </w:pPr>
    <w:rPr>
      <w:rFonts w:cs="Simplified Arabic"/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rsid w:val="002E7670"/>
    <w:pPr>
      <w:keepNext/>
      <w:jc w:val="lowKashida"/>
      <w:outlineLvl w:val="4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7670"/>
    <w:pPr>
      <w:jc w:val="lowKashida"/>
    </w:pPr>
    <w:rPr>
      <w:rFonts w:cs="Simplified Arabic"/>
      <w:sz w:val="20"/>
      <w:szCs w:val="20"/>
      <w:lang w:eastAsia="en-US"/>
    </w:rPr>
  </w:style>
  <w:style w:type="character" w:styleId="Hyperlink">
    <w:name w:val="Hyperlink"/>
    <w:rsid w:val="002E7670"/>
    <w:rPr>
      <w:strike w:val="0"/>
      <w:dstrike w:val="0"/>
      <w:color w:val="000080"/>
      <w:sz w:val="21"/>
      <w:szCs w:val="21"/>
      <w:u w:val="none"/>
      <w:effect w:val="none"/>
    </w:rPr>
  </w:style>
  <w:style w:type="paragraph" w:styleId="Title">
    <w:name w:val="Title"/>
    <w:basedOn w:val="Normal"/>
    <w:link w:val="TitleChar"/>
    <w:qFormat/>
    <w:rsid w:val="002E767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2E76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2E7670"/>
    <w:pPr>
      <w:jc w:val="lowKashida"/>
    </w:pPr>
    <w:rPr>
      <w:szCs w:val="26"/>
    </w:rPr>
  </w:style>
  <w:style w:type="character" w:styleId="FollowedHyperlink">
    <w:name w:val="FollowedHyperlink"/>
    <w:rsid w:val="002E7670"/>
    <w:rPr>
      <w:color w:val="800080"/>
      <w:u w:val="single"/>
    </w:rPr>
  </w:style>
  <w:style w:type="paragraph" w:styleId="BalloonText">
    <w:name w:val="Balloon Text"/>
    <w:basedOn w:val="Normal"/>
    <w:semiHidden/>
    <w:rsid w:val="002E767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E7670"/>
    <w:pPr>
      <w:autoSpaceDE w:val="0"/>
      <w:autoSpaceDN w:val="0"/>
      <w:adjustRightInd w:val="0"/>
      <w:jc w:val="center"/>
    </w:pPr>
    <w:rPr>
      <w:rFonts w:ascii="Simplified Arabic"/>
      <w:b/>
      <w:bCs/>
    </w:rPr>
  </w:style>
  <w:style w:type="paragraph" w:styleId="NormalWeb">
    <w:name w:val="Normal (Web)"/>
    <w:basedOn w:val="Normal"/>
    <w:uiPriority w:val="99"/>
    <w:unhideWhenUsed/>
    <w:rsid w:val="002E7670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TitleChar">
    <w:name w:val="Title Char"/>
    <w:link w:val="Title"/>
    <w:rsid w:val="00FC1C49"/>
    <w:rPr>
      <w:rFonts w:cs="Simplified Arabic"/>
      <w:b/>
      <w:bCs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7515D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15D7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7515D7"/>
    <w:rPr>
      <w:rFonts w:cs="Traditional Arabic"/>
    </w:rPr>
  </w:style>
  <w:style w:type="character" w:styleId="Strong">
    <w:name w:val="Strong"/>
    <w:uiPriority w:val="22"/>
    <w:qFormat/>
    <w:rsid w:val="000B7685"/>
    <w:rPr>
      <w:b/>
      <w:bCs/>
    </w:rPr>
  </w:style>
  <w:style w:type="paragraph" w:styleId="ListParagraph">
    <w:name w:val="List Paragraph"/>
    <w:basedOn w:val="Normal"/>
    <w:uiPriority w:val="34"/>
    <w:qFormat/>
    <w:rsid w:val="000A00F2"/>
    <w:pPr>
      <w:ind w:left="720"/>
      <w:contextualSpacing/>
    </w:pPr>
  </w:style>
  <w:style w:type="character" w:styleId="Emphasis">
    <w:name w:val="Emphasis"/>
    <w:uiPriority w:val="20"/>
    <w:qFormat/>
    <w:rsid w:val="00D10843"/>
    <w:rPr>
      <w:i/>
      <w:iCs/>
    </w:rPr>
  </w:style>
  <w:style w:type="character" w:customStyle="1" w:styleId="apple-converted-space">
    <w:name w:val="apple-converted-space"/>
    <w:rsid w:val="00D10843"/>
  </w:style>
  <w:style w:type="character" w:customStyle="1" w:styleId="Heading2Char">
    <w:name w:val="Heading 2 Char"/>
    <w:link w:val="Heading2"/>
    <w:rsid w:val="00512FD2"/>
    <w:rPr>
      <w:rFonts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link w:val="Heading3"/>
    <w:rsid w:val="00512FD2"/>
    <w:rPr>
      <w:rFonts w:ascii="Simplified Arabic" w:cs="Simplified Arabic"/>
      <w:b/>
      <w:bCs/>
      <w:sz w:val="24"/>
      <w:szCs w:val="24"/>
    </w:rPr>
  </w:style>
  <w:style w:type="character" w:customStyle="1" w:styleId="BodyText2Char">
    <w:name w:val="Body Text 2 Char"/>
    <w:link w:val="BodyText2"/>
    <w:rsid w:val="00512FD2"/>
    <w:rPr>
      <w:rFonts w:ascii="Simplified Arabic" w:cs="Simplified Arabic"/>
      <w:b/>
      <w:bCs/>
      <w:sz w:val="24"/>
      <w:szCs w:val="24"/>
    </w:rPr>
  </w:style>
  <w:style w:type="character" w:customStyle="1" w:styleId="BodyText3Char">
    <w:name w:val="Body Text 3 Char"/>
    <w:link w:val="BodyText3"/>
    <w:rsid w:val="00512FD2"/>
    <w:rPr>
      <w:rFonts w:cs="Simplified Arabic"/>
      <w:sz w:val="24"/>
      <w:szCs w:val="26"/>
    </w:rPr>
  </w:style>
  <w:style w:type="table" w:styleId="TableGrid">
    <w:name w:val="Table Grid"/>
    <w:basedOn w:val="TableNormal"/>
    <w:uiPriority w:val="59"/>
    <w:rsid w:val="00D0465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055A3B"/>
  </w:style>
  <w:style w:type="character" w:styleId="CommentReference">
    <w:name w:val="annotation reference"/>
    <w:basedOn w:val="DefaultParagraphFont"/>
    <w:semiHidden/>
    <w:unhideWhenUsed/>
    <w:rsid w:val="009C61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C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617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6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6172"/>
    <w:rPr>
      <w:b/>
      <w:bCs/>
      <w:lang w:eastAsia="ar-SA"/>
    </w:rPr>
  </w:style>
  <w:style w:type="paragraph" w:styleId="Revision">
    <w:name w:val="Revision"/>
    <w:hidden/>
    <w:uiPriority w:val="99"/>
    <w:semiHidden/>
    <w:rsid w:val="00F6104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719014289880441"/>
          <c:y val="4.731676823541367E-2"/>
          <c:w val="0.83403288130650333"/>
          <c:h val="0.741790176110661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140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1327502963644473E-17"/>
                  <c:y val="7.8216660148611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E4-4654-8621-51F7EF9B2E15}"/>
                </c:ext>
              </c:extLst>
            </c:dLbl>
            <c:dLbl>
              <c:idx val="4"/>
              <c:layout>
                <c:manualLayout>
                  <c:x val="2.6047045407603955E-3"/>
                  <c:y val="1.4617165690112975E-2"/>
                </c:manualLayout>
              </c:layout>
              <c:numFmt formatCode="0.0" sourceLinked="0"/>
              <c:spPr>
                <a:noFill/>
                <a:ln w="22805">
                  <a:noFill/>
                </a:ln>
              </c:spPr>
              <c:txPr>
                <a:bodyPr/>
                <a:lstStyle/>
                <a:p>
                  <a:pPr>
                    <a:defRPr lang="en-US" sz="62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E5-4EA9-9C00-E6F6D34A1D9F}"/>
                </c:ext>
              </c:extLst>
            </c:dLbl>
            <c:dLbl>
              <c:idx val="5"/>
              <c:numFmt formatCode="0.0" sourceLinked="0"/>
              <c:spPr>
                <a:noFill/>
                <a:ln w="22805">
                  <a:noFill/>
                </a:ln>
              </c:spPr>
              <c:txPr>
                <a:bodyPr/>
                <a:lstStyle/>
                <a:p>
                  <a:pPr>
                    <a:defRPr lang="en-US" sz="62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E5-4EA9-9C00-E6F6D34A1D9F}"/>
                </c:ext>
              </c:extLst>
            </c:dLbl>
            <c:numFmt formatCode="0.0" sourceLinked="0"/>
            <c:spPr>
              <a:noFill/>
              <a:ln w="228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en-US" sz="628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أريحا </c:v>
                </c:pt>
                <c:pt idx="1">
                  <c:v>جنين </c:v>
                </c:pt>
                <c:pt idx="2">
                  <c:v>الخليل </c:v>
                </c:pt>
                <c:pt idx="3">
                  <c:v>نابلس</c:v>
                </c:pt>
                <c:pt idx="4">
                  <c:v>رام الله والبيرة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3.6</c:v>
                </c:pt>
                <c:pt idx="1">
                  <c:v>2</c:v>
                </c:pt>
                <c:pt idx="2">
                  <c:v>1.7</c:v>
                </c:pt>
                <c:pt idx="3">
                  <c:v>1.7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E5-4EA9-9C00-E6F6D34A1D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012224"/>
        <c:axId val="83043840"/>
      </c:barChart>
      <c:catAx>
        <c:axId val="83012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 sz="74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JO"/>
                  <a:t>المحطة</a:t>
                </a:r>
              </a:p>
            </c:rich>
          </c:tx>
          <c:layout>
            <c:manualLayout>
              <c:xMode val="edge"/>
              <c:yMode val="edge"/>
              <c:x val="0.50257595498404428"/>
              <c:y val="0.89656314699792861"/>
            </c:manualLayout>
          </c:layout>
          <c:overlay val="0"/>
          <c:spPr>
            <a:noFill/>
            <a:ln w="2280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85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628" b="0" i="0" u="none" strike="noStrike" baseline="0">
                <a:solidFill>
                  <a:sysClr val="windowText" lastClr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30438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3043840"/>
        <c:scaling>
          <c:orientation val="minMax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en-US" sz="74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JO"/>
                  <a:t>الفرق عن المعدل العام</a:t>
                </a:r>
              </a:p>
            </c:rich>
          </c:tx>
          <c:layout>
            <c:manualLayout>
              <c:xMode val="edge"/>
              <c:yMode val="edge"/>
              <c:x val="3.5969964186131414E-3"/>
              <c:y val="0.24175804111442614"/>
            </c:manualLayout>
          </c:layout>
          <c:overlay val="0"/>
          <c:spPr>
            <a:noFill/>
            <a:ln w="2280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85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74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3012224"/>
        <c:crosses val="autoZero"/>
        <c:crossBetween val="between"/>
        <c:majorUnit val="1"/>
      </c:valAx>
      <c:spPr>
        <a:noFill/>
        <a:ln w="22806">
          <a:noFill/>
        </a:ln>
      </c:spPr>
    </c:plotArea>
    <c:plotVisOnly val="1"/>
    <c:dispBlanksAs val="gap"/>
    <c:showDLblsOverMax val="0"/>
  </c:chart>
  <c:spPr>
    <a:noFill/>
    <a:ln>
      <a:solidFill>
        <a:srgbClr val="000000"/>
      </a:solidFill>
    </a:ln>
  </c:spPr>
  <c:txPr>
    <a:bodyPr/>
    <a:lstStyle/>
    <a:p>
      <a:pPr>
        <a:defRPr sz="71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73170731707321"/>
          <c:y val="7.1009140313448099E-2"/>
          <c:w val="0.82926829268292679"/>
          <c:h val="0.634508044007452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3"/>
              <c:layout>
                <c:manualLayout>
                  <c:x val="0"/>
                  <c:y val="-5.1443569553806306E-3"/>
                </c:manualLayout>
              </c:layout>
              <c:spPr>
                <a:noFill/>
                <a:ln w="25352">
                  <a:noFill/>
                </a:ln>
              </c:spPr>
              <c:txPr>
                <a:bodyPr/>
                <a:lstStyle/>
                <a:p>
                  <a:pPr>
                    <a:defRPr lang="en-US"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E3-4D58-B663-58BFE4F12149}"/>
                </c:ext>
              </c:extLst>
            </c:dLbl>
            <c:dLbl>
              <c:idx val="4"/>
              <c:layout>
                <c:manualLayout>
                  <c:x val="0"/>
                  <c:y val="-2.8349631314149807E-2"/>
                </c:manualLayout>
              </c:layout>
              <c:spPr>
                <a:noFill/>
                <a:ln w="25352">
                  <a:noFill/>
                </a:ln>
              </c:spPr>
              <c:txPr>
                <a:bodyPr/>
                <a:lstStyle/>
                <a:p>
                  <a:pPr>
                    <a:defRPr lang="en-US"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E3-4D58-B663-58BFE4F12149}"/>
                </c:ext>
              </c:extLst>
            </c:dLbl>
            <c:spPr>
              <a:noFill/>
              <a:ln w="2535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en-US" sz="7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اريحا</c:v>
                </c:pt>
                <c:pt idx="1">
                  <c:v>الخليل</c:v>
                </c:pt>
                <c:pt idx="2">
                  <c:v>نابلس</c:v>
                </c:pt>
                <c:pt idx="3">
                  <c:v>رام الله والبيرة</c:v>
                </c:pt>
                <c:pt idx="4">
                  <c:v>جنين 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2.9</c:v>
                </c:pt>
                <c:pt idx="1">
                  <c:v>2.1</c:v>
                </c:pt>
                <c:pt idx="2" formatCode="0.0">
                  <c:v>2</c:v>
                </c:pt>
                <c:pt idx="3">
                  <c:v>0.9</c:v>
                </c:pt>
                <c:pt idx="4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E3-4D58-B663-58BFE4F121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101056"/>
        <c:axId val="80208640"/>
      </c:barChart>
      <c:catAx>
        <c:axId val="1771010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 sz="7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JO"/>
                  <a:t>المحطة </a:t>
                </a:r>
              </a:p>
            </c:rich>
          </c:tx>
          <c:layout>
            <c:manualLayout>
              <c:xMode val="edge"/>
              <c:yMode val="edge"/>
              <c:x val="0.45982479462794473"/>
              <c:y val="0.91164891953272742"/>
            </c:manualLayout>
          </c:layout>
          <c:overlay val="0"/>
          <c:spPr>
            <a:noFill/>
            <a:ln w="25352">
              <a:noFill/>
            </a:ln>
          </c:spPr>
        </c:title>
        <c:numFmt formatCode="#,##0.00" sourceLinked="0"/>
        <c:majorTickMark val="none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7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0208640"/>
        <c:crosses val="autoZero"/>
        <c:auto val="0"/>
        <c:lblAlgn val="ctr"/>
        <c:lblOffset val="100"/>
        <c:tickMarkSkip val="2"/>
        <c:noMultiLvlLbl val="0"/>
      </c:catAx>
      <c:valAx>
        <c:axId val="80208640"/>
        <c:scaling>
          <c:orientation val="minMax"/>
          <c:max val="3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en-US" sz="7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JO"/>
                  <a:t>الفرق عن المعدل العام </a:t>
                </a:r>
              </a:p>
            </c:rich>
          </c:tx>
          <c:layout>
            <c:manualLayout>
              <c:xMode val="edge"/>
              <c:yMode val="edge"/>
              <c:x val="3.3998363840883526E-2"/>
              <c:y val="0.17925204436150685"/>
            </c:manualLayout>
          </c:layout>
          <c:overlay val="0"/>
          <c:spPr>
            <a:noFill/>
            <a:ln w="2535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77101056"/>
        <c:crosses val="autoZero"/>
        <c:crossBetween val="between"/>
        <c:majorUnit val="1"/>
      </c:valAx>
      <c:spPr>
        <a:noFill/>
        <a:ln w="25353">
          <a:noFill/>
        </a:ln>
      </c:spPr>
    </c:plotArea>
    <c:plotVisOnly val="1"/>
    <c:dispBlanksAs val="gap"/>
    <c:showDLblsOverMax val="0"/>
  </c:chart>
  <c:spPr>
    <a:noFill/>
    <a:ln w="6338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73170731707321"/>
          <c:y val="8.0459770114942528E-2"/>
          <c:w val="0.82926829268292679"/>
          <c:h val="0.58620689655172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lang="en-GB" sz="798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5.6</a:t>
                    </a:r>
                  </a:p>
                </c:rich>
              </c:tx>
              <c:spPr>
                <a:noFill/>
                <a:ln w="25349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42-4CD3-B8B0-F9AFD1F3B5EB}"/>
                </c:ext>
              </c:extLst>
            </c:dLbl>
            <c:spPr>
              <a:noFill/>
              <a:ln w="2534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en-US" sz="798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اريحا</c:v>
                </c:pt>
                <c:pt idx="1">
                  <c:v>جنين </c:v>
                </c:pt>
                <c:pt idx="2">
                  <c:v>الخليل</c:v>
                </c:pt>
                <c:pt idx="3">
                  <c:v>نابلس</c:v>
                </c:pt>
                <c:pt idx="4">
                  <c:v>رام الله والبيرة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5.6</c:v>
                </c:pt>
                <c:pt idx="1">
                  <c:v>4.5</c:v>
                </c:pt>
                <c:pt idx="2">
                  <c:v>2.8</c:v>
                </c:pt>
                <c:pt idx="3">
                  <c:v>2.6</c:v>
                </c:pt>
                <c:pt idx="4" formatCode="0.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42-4CD3-B8B0-F9AFD1F3B5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200960"/>
        <c:axId val="180202880"/>
      </c:barChart>
      <c:catAx>
        <c:axId val="1802009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 sz="7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JO"/>
                  <a:t>المحطة </a:t>
                </a:r>
              </a:p>
            </c:rich>
          </c:tx>
          <c:layout>
            <c:manualLayout>
              <c:xMode val="edge"/>
              <c:yMode val="edge"/>
              <c:x val="0.44250888253116266"/>
              <c:y val="0.8218392266184128"/>
            </c:manualLayout>
          </c:layout>
          <c:overlay val="0"/>
          <c:spPr>
            <a:noFill/>
            <a:ln w="2534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7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802028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0202880"/>
        <c:scaling>
          <c:orientation val="minMax"/>
          <c:max val="6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en-US" sz="7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JO"/>
                  <a:t>الفرق عن المعدل العام </a:t>
                </a:r>
              </a:p>
            </c:rich>
          </c:tx>
          <c:layout>
            <c:manualLayout>
              <c:xMode val="edge"/>
              <c:yMode val="edge"/>
              <c:x val="3.8327299119764381E-2"/>
              <c:y val="0.12643680409514041"/>
            </c:manualLayout>
          </c:layout>
          <c:overlay val="0"/>
          <c:spPr>
            <a:noFill/>
            <a:ln w="2534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80200960"/>
        <c:crosses val="autoZero"/>
        <c:crossBetween val="between"/>
        <c:majorUnit val="1"/>
      </c:valAx>
      <c:spPr>
        <a:noFill/>
        <a:ln w="25350">
          <a:noFill/>
        </a:ln>
      </c:spPr>
    </c:plotArea>
    <c:plotVisOnly val="1"/>
    <c:dispBlanksAs val="gap"/>
    <c:showDLblsOverMax val="0"/>
  </c:chart>
  <c:spPr>
    <a:noFill/>
    <a:ln w="6338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61E06-690C-4C0F-88E1-06DFB02B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vt:lpstr>
    </vt:vector>
  </TitlesOfParts>
  <Company>Hewlett-Packard Company</Company>
  <LinksUpToDate>false</LinksUpToDate>
  <CharactersWithSpaces>5402</CharactersWithSpaces>
  <SharedDoc>false</SharedDoc>
  <HLinks>
    <vt:vector size="12" baseType="variant">
      <vt:variant>
        <vt:i4>2424865</vt:i4>
      </vt:variant>
      <vt:variant>
        <vt:i4>9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3539028</vt:i4>
      </vt:variant>
      <vt:variant>
        <vt:i4>6</vt:i4>
      </vt:variant>
      <vt:variant>
        <vt:i4>0</vt:i4>
      </vt:variant>
      <vt:variant>
        <vt:i4>5</vt:i4>
      </vt:variant>
      <vt:variant>
        <vt:lpwstr>mailto:%20%20diwan@pcbs.gov.ps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dc:title>
  <dc:creator>zahran</dc:creator>
  <cp:lastModifiedBy>LOAY SHEHADEH</cp:lastModifiedBy>
  <cp:revision>17</cp:revision>
  <cp:lastPrinted>2025-01-30T07:17:00Z</cp:lastPrinted>
  <dcterms:created xsi:type="dcterms:W3CDTF">2025-03-06T11:49:00Z</dcterms:created>
  <dcterms:modified xsi:type="dcterms:W3CDTF">2025-03-17T10:50:00Z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70bd9a525bc602a74782bb528dbdd0e596bb190193b5bd07699a64637ce472a8</vt:lpwstr>
  </property>
</Properties>
</file>