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4224E" w14:textId="1A8409C7" w:rsidR="0025223C" w:rsidRDefault="0025223C" w:rsidP="0025223C">
      <w:pPr>
        <w:pStyle w:val="NormalWeb"/>
        <w:bidi/>
        <w:jc w:val="center"/>
        <w:rPr>
          <w:color w:val="000000"/>
          <w:sz w:val="20"/>
          <w:szCs w:val="20"/>
        </w:rPr>
      </w:pPr>
      <w:bookmarkStart w:id="0" w:name="OLE_LINK5"/>
      <w:bookmarkStart w:id="1" w:name="OLE_LINK6"/>
      <w:bookmarkStart w:id="2" w:name="_GoBack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الاحصاء الفلسطيني: ارتفاع 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JO"/>
        </w:rPr>
        <w:t>حاد لمؤشر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أسعار الجملة خلال العام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2024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والربع الرابع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2024</w:t>
      </w:r>
    </w:p>
    <w:bookmarkEnd w:id="2"/>
    <w:p w14:paraId="6959F2ED" w14:textId="77777777" w:rsidR="0025223C" w:rsidRPr="0025223C" w:rsidRDefault="0025223C" w:rsidP="00FE699B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16"/>
          <w:szCs w:val="16"/>
          <w:rtl/>
        </w:rPr>
      </w:pPr>
    </w:p>
    <w:p w14:paraId="511BA559" w14:textId="755C19E2" w:rsidR="00E1015F" w:rsidRPr="00D1308C" w:rsidRDefault="00E1015F" w:rsidP="00FE699B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28"/>
          <w:szCs w:val="28"/>
        </w:rPr>
      </w:pPr>
      <w:r w:rsidRPr="00D1308C">
        <w:rPr>
          <w:rFonts w:cs="Simplified Arabic" w:hint="cs"/>
          <w:b/>
          <w:bCs/>
          <w:sz w:val="28"/>
          <w:szCs w:val="28"/>
          <w:rtl/>
        </w:rPr>
        <w:t>ارتفاع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D1308C">
        <w:rPr>
          <w:rFonts w:cs="Simplified Arabic" w:hint="cs"/>
          <w:b/>
          <w:bCs/>
          <w:sz w:val="28"/>
          <w:szCs w:val="28"/>
          <w:rtl/>
          <w:lang w:bidi="ar-JO"/>
        </w:rPr>
        <w:t>حاد</w:t>
      </w:r>
      <w:r w:rsidR="00603AE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D1308C">
        <w:rPr>
          <w:rFonts w:cs="Simplified Arabic" w:hint="cs"/>
          <w:b/>
          <w:bCs/>
          <w:sz w:val="28"/>
          <w:szCs w:val="28"/>
          <w:rtl/>
          <w:lang w:bidi="ar-JO"/>
        </w:rPr>
        <w:t>ل</w:t>
      </w:r>
      <w:r w:rsidRPr="00D1308C">
        <w:rPr>
          <w:rFonts w:cs="Simplified Arabic" w:hint="cs"/>
          <w:b/>
          <w:bCs/>
          <w:sz w:val="28"/>
          <w:szCs w:val="28"/>
          <w:rtl/>
        </w:rPr>
        <w:t>مؤشر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D1308C">
        <w:rPr>
          <w:rFonts w:cs="Simplified Arabic" w:hint="cs"/>
          <w:b/>
          <w:bCs/>
          <w:sz w:val="28"/>
          <w:szCs w:val="28"/>
          <w:rtl/>
        </w:rPr>
        <w:t>أسعار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D1308C">
        <w:rPr>
          <w:rFonts w:cs="Simplified Arabic" w:hint="cs"/>
          <w:b/>
          <w:bCs/>
          <w:sz w:val="28"/>
          <w:szCs w:val="28"/>
          <w:rtl/>
        </w:rPr>
        <w:t>الجملة</w:t>
      </w:r>
      <w:r w:rsidRPr="00D1308C">
        <w:rPr>
          <w:rStyle w:val="FootnoteReference"/>
          <w:rFonts w:cs="Simplified Arabic"/>
          <w:b/>
          <w:bCs/>
          <w:sz w:val="28"/>
          <w:szCs w:val="28"/>
          <w:rtl/>
        </w:rPr>
        <w:footnoteReference w:customMarkFollows="1" w:id="1"/>
        <w:t>1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D1308C">
        <w:rPr>
          <w:rFonts w:cs="Simplified Arabic" w:hint="cs"/>
          <w:b/>
          <w:bCs/>
          <w:sz w:val="28"/>
          <w:szCs w:val="28"/>
          <w:rtl/>
        </w:rPr>
        <w:t>نسب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ته </w:t>
      </w:r>
      <w:r w:rsidR="00E6719D" w:rsidRPr="00D1308C">
        <w:rPr>
          <w:rFonts w:cs="Simplified Arabic"/>
          <w:b/>
          <w:bCs/>
          <w:sz w:val="28"/>
          <w:szCs w:val="28"/>
        </w:rPr>
        <w:t>15.93</w:t>
      </w:r>
      <w:r w:rsidR="00E6719D" w:rsidRPr="00D1308C">
        <w:rPr>
          <w:rFonts w:cs="Simplified Arabic" w:hint="cs"/>
          <w:b/>
          <w:bCs/>
          <w:sz w:val="28"/>
          <w:szCs w:val="28"/>
          <w:rtl/>
          <w:lang w:bidi="ar-JO"/>
        </w:rPr>
        <w:t>%</w:t>
      </w:r>
      <w:r w:rsidR="00603AE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E699B">
        <w:rPr>
          <w:rFonts w:cs="Simplified Arabic" w:hint="cs"/>
          <w:b/>
          <w:bCs/>
          <w:sz w:val="28"/>
          <w:szCs w:val="28"/>
          <w:rtl/>
          <w:lang w:bidi="ar-JO"/>
        </w:rPr>
        <w:t>خلال</w:t>
      </w:r>
      <w:r w:rsidR="00603AE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D1308C">
        <w:rPr>
          <w:rFonts w:cs="Simplified Arabic" w:hint="cs"/>
          <w:b/>
          <w:bCs/>
          <w:sz w:val="28"/>
          <w:szCs w:val="28"/>
          <w:rtl/>
        </w:rPr>
        <w:t>العام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6719D" w:rsidRPr="00D1308C">
        <w:rPr>
          <w:rFonts w:cs="Simplified Arabic"/>
          <w:b/>
          <w:bCs/>
          <w:sz w:val="28"/>
          <w:szCs w:val="28"/>
        </w:rPr>
        <w:t>2024</w:t>
      </w:r>
    </w:p>
    <w:p w14:paraId="2CA32C30" w14:textId="54454A77" w:rsidR="00E1015F" w:rsidRPr="0025223C" w:rsidRDefault="00E1015F" w:rsidP="0080799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5223C">
        <w:rPr>
          <w:rFonts w:ascii="Simplified Arabic" w:hAnsi="Simplified Arabic" w:cs="Simplified Arabic"/>
          <w:sz w:val="26"/>
          <w:szCs w:val="26"/>
          <w:rtl/>
        </w:rPr>
        <w:t>سجل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الجملة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فلسطين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حاداً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719D" w:rsidRPr="0025223C">
        <w:rPr>
          <w:rFonts w:ascii="Simplified Arabic" w:hAnsi="Simplified Arabic" w:cs="Simplified Arabic"/>
          <w:b/>
          <w:bCs/>
          <w:sz w:val="26"/>
          <w:szCs w:val="26"/>
        </w:rPr>
        <w:t>15.93</w:t>
      </w:r>
      <w:r w:rsidRPr="0025223C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603AE6" w:rsidRPr="0025223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6719D" w:rsidRPr="0025223C">
        <w:rPr>
          <w:rFonts w:ascii="Simplified Arabic" w:hAnsi="Simplified Arabic" w:cs="Simplified Arabic"/>
          <w:sz w:val="26"/>
          <w:szCs w:val="26"/>
        </w:rPr>
        <w:t>2024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6719D" w:rsidRPr="0025223C">
        <w:rPr>
          <w:rFonts w:ascii="Simplified Arabic" w:hAnsi="Simplified Arabic" w:cs="Simplified Arabic" w:hint="cs"/>
          <w:sz w:val="26"/>
          <w:szCs w:val="26"/>
          <w:rtl/>
        </w:rPr>
        <w:t>بالعام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719D" w:rsidRPr="0025223C">
        <w:rPr>
          <w:rFonts w:ascii="Simplified Arabic" w:hAnsi="Simplified Arabic" w:cs="Simplified Arabic"/>
          <w:sz w:val="26"/>
          <w:szCs w:val="26"/>
        </w:rPr>
        <w:t>2023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وبما نسبته </w:t>
      </w:r>
      <w:r w:rsidR="00807999" w:rsidRPr="0025223C">
        <w:rPr>
          <w:rFonts w:ascii="Simplified Arabic" w:hAnsi="Simplified Arabic" w:cs="Simplified Arabic"/>
          <w:b/>
          <w:bCs/>
          <w:sz w:val="26"/>
          <w:szCs w:val="26"/>
        </w:rPr>
        <w:t>32.83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للسلع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المنتجة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والمستهلكة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محلياً،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807999" w:rsidRPr="0025223C">
        <w:rPr>
          <w:rFonts w:ascii="Simplified Arabic" w:hAnsi="Simplified Arabic" w:cs="Simplified Arabic"/>
          <w:b/>
          <w:bCs/>
          <w:sz w:val="26"/>
          <w:szCs w:val="26"/>
        </w:rPr>
        <w:t>9.61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للسلع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المستوردة.</w:t>
      </w:r>
    </w:p>
    <w:p w14:paraId="0AE2F3A6" w14:textId="77777777" w:rsidR="00E1015F" w:rsidRPr="00D1308C" w:rsidRDefault="00E1015F" w:rsidP="00E1015F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16"/>
          <w:szCs w:val="16"/>
          <w:rtl/>
        </w:rPr>
      </w:pPr>
    </w:p>
    <w:p w14:paraId="3FA9E259" w14:textId="0AC53663" w:rsidR="00E1015F" w:rsidRPr="0025223C" w:rsidRDefault="00E1015F" w:rsidP="00807999">
      <w:pPr>
        <w:pStyle w:val="Header"/>
        <w:tabs>
          <w:tab w:val="left" w:pos="5925"/>
        </w:tabs>
        <w:jc w:val="both"/>
        <w:rPr>
          <w:rFonts w:cs="Simplified Arabic"/>
          <w:sz w:val="26"/>
          <w:szCs w:val="26"/>
          <w:rtl/>
        </w:rPr>
      </w:pPr>
      <w:r w:rsidRPr="0025223C">
        <w:rPr>
          <w:rFonts w:ascii="Simplified Arabic" w:hAnsi="Simplified Arabic" w:cs="Simplified Arabic"/>
          <w:sz w:val="26"/>
          <w:szCs w:val="26"/>
          <w:rtl/>
        </w:rPr>
        <w:t>و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يرجع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السبب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الرئيسي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لهذا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الارتفاع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إلى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قسم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عدا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المركبات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المحركات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والدراجات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النارية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بنسبة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807999" w:rsidRPr="0025223C">
        <w:rPr>
          <w:rFonts w:ascii="Simplified Arabic" w:hAnsi="Simplified Arabic" w:cs="Simplified Arabic"/>
          <w:b/>
          <w:bCs/>
          <w:sz w:val="26"/>
          <w:szCs w:val="26"/>
        </w:rPr>
        <w:t>%17.65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الذي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يشكل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ما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</w:rPr>
        <w:t>89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تجارة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الجملة،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سجل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قسم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والمفرد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"التجزئة"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وإصلاح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المركبات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المحركات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والدراجات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النارية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ارتفاعاً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نسبته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807999" w:rsidRPr="0025223C">
        <w:rPr>
          <w:rFonts w:ascii="Simplified Arabic" w:hAnsi="Simplified Arabic" w:cs="Simplified Arabic"/>
          <w:b/>
          <w:bCs/>
          <w:sz w:val="26"/>
          <w:szCs w:val="26"/>
        </w:rPr>
        <w:t>1.49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%،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الذي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يشكل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ما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</w:rPr>
        <w:t>11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تجارة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الجملة.</w:t>
      </w:r>
    </w:p>
    <w:p w14:paraId="735D4F43" w14:textId="77777777" w:rsidR="00E1015F" w:rsidRPr="00D1308C" w:rsidRDefault="00E1015F" w:rsidP="0025223C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16"/>
          <w:szCs w:val="16"/>
          <w:rtl/>
        </w:rPr>
      </w:pPr>
    </w:p>
    <w:p w14:paraId="5DB6C2DC" w14:textId="3337333D" w:rsidR="00E1015F" w:rsidRPr="0025223C" w:rsidRDefault="00E1015F" w:rsidP="00807999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>نسب</w:t>
      </w:r>
      <w:r w:rsidR="00603AE6"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>الت</w:t>
      </w:r>
      <w:r w:rsidRPr="002522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>غير</w:t>
      </w:r>
      <w:r w:rsidR="00603AE6"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>السنوية</w:t>
      </w:r>
      <w:r w:rsidR="00603AE6"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>لأسعار</w:t>
      </w:r>
      <w:r w:rsidR="00603AE6"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>الجملة</w:t>
      </w:r>
      <w:r w:rsidR="00603AE6"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603AE6"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>فلسطين</w:t>
      </w:r>
      <w:r w:rsidR="00603AE6"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>للسنوات:</w:t>
      </w:r>
      <w:r w:rsidR="00603AE6"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2013</w:t>
      </w:r>
      <w:r w:rsidRPr="0025223C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807999" w:rsidRPr="0025223C">
        <w:rPr>
          <w:rFonts w:ascii="Simplified Arabic" w:hAnsi="Simplified Arabic" w:cs="Simplified Arabic"/>
          <w:b/>
          <w:bCs/>
          <w:sz w:val="28"/>
          <w:szCs w:val="28"/>
        </w:rPr>
        <w:t>2024</w:t>
      </w:r>
    </w:p>
    <w:p w14:paraId="475E6623" w14:textId="77777777" w:rsidR="00E1015F" w:rsidRPr="00D1308C" w:rsidRDefault="00E1015F" w:rsidP="0025223C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28"/>
          <w:szCs w:val="28"/>
          <w:rtl/>
        </w:rPr>
      </w:pPr>
      <w:r w:rsidRPr="00D1308C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en-US"/>
        </w:rPr>
        <w:drawing>
          <wp:inline distT="0" distB="0" distL="0" distR="0" wp14:anchorId="34F85221" wp14:editId="5885B2B9">
            <wp:extent cx="3343275" cy="2047875"/>
            <wp:effectExtent l="0" t="0" r="9525" b="9525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B811BFE" w14:textId="77777777" w:rsidR="00E1015F" w:rsidRPr="0025223C" w:rsidRDefault="00E1015F" w:rsidP="00E1015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</w:rPr>
      </w:pPr>
    </w:p>
    <w:p w14:paraId="3E6E14A8" w14:textId="4AC43262" w:rsidR="00BA16DE" w:rsidRPr="00D1308C" w:rsidRDefault="00883747" w:rsidP="00140DC8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28"/>
          <w:szCs w:val="28"/>
          <w:rtl/>
        </w:rPr>
      </w:pPr>
      <w:r w:rsidRPr="00D1308C">
        <w:rPr>
          <w:rFonts w:cs="Simplified Arabic" w:hint="cs"/>
          <w:b/>
          <w:bCs/>
          <w:sz w:val="28"/>
          <w:szCs w:val="28"/>
          <w:rtl/>
        </w:rPr>
        <w:t>ارتفاع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D1308C">
        <w:rPr>
          <w:rFonts w:cs="Simplified Arabic" w:hint="cs"/>
          <w:b/>
          <w:bCs/>
          <w:sz w:val="28"/>
          <w:szCs w:val="28"/>
          <w:rtl/>
          <w:lang w:bidi="ar-JO"/>
        </w:rPr>
        <w:t>حاد</w:t>
      </w:r>
      <w:r w:rsidR="00603AE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D1308C">
        <w:rPr>
          <w:rFonts w:cs="Simplified Arabic" w:hint="cs"/>
          <w:b/>
          <w:bCs/>
          <w:sz w:val="28"/>
          <w:szCs w:val="28"/>
          <w:rtl/>
          <w:lang w:bidi="ar-JO"/>
        </w:rPr>
        <w:t>ل</w:t>
      </w:r>
      <w:r w:rsidR="00735F5A" w:rsidRPr="00D1308C">
        <w:rPr>
          <w:rFonts w:cs="Simplified Arabic" w:hint="cs"/>
          <w:b/>
          <w:bCs/>
          <w:sz w:val="28"/>
          <w:szCs w:val="28"/>
          <w:rtl/>
        </w:rPr>
        <w:t>مؤشر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35F5A" w:rsidRPr="00D1308C">
        <w:rPr>
          <w:rFonts w:cs="Simplified Arabic" w:hint="cs"/>
          <w:b/>
          <w:bCs/>
          <w:sz w:val="28"/>
          <w:szCs w:val="28"/>
          <w:rtl/>
        </w:rPr>
        <w:t>أسعار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35F5A" w:rsidRPr="00D1308C">
        <w:rPr>
          <w:rFonts w:cs="Simplified Arabic" w:hint="cs"/>
          <w:b/>
          <w:bCs/>
          <w:sz w:val="28"/>
          <w:szCs w:val="28"/>
          <w:rtl/>
        </w:rPr>
        <w:t>الجملة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11931" w:rsidRPr="00D1308C">
        <w:rPr>
          <w:rFonts w:cs="Simplified Arabic" w:hint="cs"/>
          <w:b/>
          <w:bCs/>
          <w:sz w:val="28"/>
          <w:szCs w:val="28"/>
          <w:rtl/>
        </w:rPr>
        <w:t>في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11931" w:rsidRPr="00D1308C">
        <w:rPr>
          <w:rFonts w:cs="Simplified Arabic" w:hint="cs"/>
          <w:b/>
          <w:bCs/>
          <w:sz w:val="28"/>
          <w:szCs w:val="28"/>
          <w:rtl/>
        </w:rPr>
        <w:t>فلسطين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40DC8">
        <w:rPr>
          <w:rFonts w:cs="Simplified Arabic" w:hint="cs"/>
          <w:b/>
          <w:bCs/>
          <w:sz w:val="28"/>
          <w:szCs w:val="28"/>
          <w:rtl/>
        </w:rPr>
        <w:t>بنسبة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40DC8">
        <w:rPr>
          <w:rFonts w:cs="Simplified Arabic" w:hint="cs"/>
          <w:b/>
          <w:bCs/>
          <w:sz w:val="28"/>
          <w:szCs w:val="28"/>
          <w:rtl/>
        </w:rPr>
        <w:t>22%</w:t>
      </w:r>
      <w:r w:rsidR="00603AE6">
        <w:rPr>
          <w:rFonts w:cs="Simplified Arabic"/>
          <w:b/>
          <w:bCs/>
          <w:sz w:val="28"/>
          <w:szCs w:val="28"/>
          <w:rtl/>
        </w:rPr>
        <w:t xml:space="preserve"> </w:t>
      </w:r>
      <w:r w:rsidR="00811931" w:rsidRPr="00D1308C">
        <w:rPr>
          <w:rFonts w:cs="Simplified Arabic" w:hint="cs"/>
          <w:b/>
          <w:bCs/>
          <w:sz w:val="28"/>
          <w:szCs w:val="28"/>
          <w:rtl/>
        </w:rPr>
        <w:t>منذ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11931" w:rsidRPr="00D1308C">
        <w:rPr>
          <w:rFonts w:cs="Simplified Arabic" w:hint="cs"/>
          <w:b/>
          <w:bCs/>
          <w:sz w:val="28"/>
          <w:szCs w:val="28"/>
          <w:rtl/>
        </w:rPr>
        <w:t>بداية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11931" w:rsidRPr="00D1308C">
        <w:rPr>
          <w:rFonts w:cs="Simplified Arabic" w:hint="cs"/>
          <w:b/>
          <w:bCs/>
          <w:sz w:val="28"/>
          <w:szCs w:val="28"/>
          <w:rtl/>
        </w:rPr>
        <w:t>عدوان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11931" w:rsidRPr="00D1308C">
        <w:rPr>
          <w:rFonts w:cs="Simplified Arabic" w:hint="cs"/>
          <w:b/>
          <w:bCs/>
          <w:sz w:val="28"/>
          <w:szCs w:val="28"/>
          <w:rtl/>
        </w:rPr>
        <w:t>الاحتلال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603AE6" w:rsidRPr="00D1308C">
        <w:rPr>
          <w:rFonts w:cs="Simplified Arabic" w:hint="cs"/>
          <w:b/>
          <w:bCs/>
          <w:sz w:val="28"/>
          <w:szCs w:val="28"/>
          <w:rtl/>
        </w:rPr>
        <w:t>الإسرائيلي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11931" w:rsidRPr="00D1308C">
        <w:rPr>
          <w:rFonts w:cs="Simplified Arabic" w:hint="cs"/>
          <w:b/>
          <w:bCs/>
          <w:sz w:val="28"/>
          <w:szCs w:val="28"/>
          <w:rtl/>
        </w:rPr>
        <w:t>على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11931" w:rsidRPr="00D1308C">
        <w:rPr>
          <w:rFonts w:cs="Simplified Arabic" w:hint="cs"/>
          <w:b/>
          <w:bCs/>
          <w:sz w:val="28"/>
          <w:szCs w:val="28"/>
          <w:rtl/>
        </w:rPr>
        <w:t>قطاع</w:t>
      </w:r>
      <w:r w:rsidR="00603AE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11931" w:rsidRPr="00D1308C">
        <w:rPr>
          <w:rFonts w:cs="Simplified Arabic" w:hint="cs"/>
          <w:b/>
          <w:bCs/>
          <w:sz w:val="28"/>
          <w:szCs w:val="28"/>
          <w:rtl/>
        </w:rPr>
        <w:t>غزة</w:t>
      </w:r>
    </w:p>
    <w:p w14:paraId="201B5656" w14:textId="77777777" w:rsidR="00811931" w:rsidRPr="0025223C" w:rsidRDefault="00811931" w:rsidP="00811931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8"/>
          <w:szCs w:val="8"/>
          <w:rtl/>
        </w:rPr>
      </w:pPr>
    </w:p>
    <w:p w14:paraId="53CBEAE5" w14:textId="23D69800" w:rsidR="00BA16DE" w:rsidRPr="0025223C" w:rsidRDefault="00BA16DE" w:rsidP="008C6B7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5223C">
        <w:rPr>
          <w:rFonts w:ascii="Simplified Arabic" w:hAnsi="Simplified Arabic" w:cs="Simplified Arabic"/>
          <w:sz w:val="26"/>
          <w:szCs w:val="26"/>
          <w:rtl/>
        </w:rPr>
        <w:t>سجل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الجملة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فلسطين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547AC" w:rsidRPr="0025223C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6B77" w:rsidRPr="0025223C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6B77" w:rsidRPr="0025223C">
        <w:rPr>
          <w:rFonts w:ascii="Simplified Arabic" w:hAnsi="Simplified Arabic" w:cs="Simplified Arabic" w:hint="cs"/>
          <w:sz w:val="26"/>
          <w:szCs w:val="26"/>
          <w:rtl/>
        </w:rPr>
        <w:t>5.04%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56C4" w:rsidRPr="0025223C">
        <w:rPr>
          <w:rFonts w:ascii="Simplified Arabic" w:hAnsi="Simplified Arabic" w:cs="Simplified Arabic" w:hint="cs"/>
          <w:sz w:val="26"/>
          <w:szCs w:val="26"/>
          <w:rtl/>
        </w:rPr>
        <w:t>خلال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56C4" w:rsidRPr="0025223C">
        <w:rPr>
          <w:rFonts w:ascii="Simplified Arabic" w:hAnsi="Simplified Arabic" w:cs="Simplified Arabic" w:hint="cs"/>
          <w:sz w:val="26"/>
          <w:szCs w:val="26"/>
          <w:rtl/>
        </w:rPr>
        <w:t>الربع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F5E75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الرابع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 ا</w:t>
      </w:r>
      <w:r w:rsidR="000F5E75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لعام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1BA1" w:rsidRPr="0025223C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603AE6"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بالربع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56C4" w:rsidRPr="0025223C">
        <w:rPr>
          <w:rFonts w:ascii="Simplified Arabic" w:hAnsi="Simplified Arabic" w:cs="Simplified Arabic" w:hint="cs"/>
          <w:sz w:val="26"/>
          <w:szCs w:val="26"/>
          <w:rtl/>
        </w:rPr>
        <w:t>الثالث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26E9E" w:rsidRPr="0025223C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26E9E" w:rsidRPr="0025223C">
        <w:rPr>
          <w:rFonts w:ascii="Simplified Arabic" w:hAnsi="Simplified Arabic" w:cs="Simplified Arabic" w:hint="cs"/>
          <w:sz w:val="26"/>
          <w:szCs w:val="26"/>
          <w:rtl/>
        </w:rPr>
        <w:t>العام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26E9E" w:rsidRPr="0025223C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بما نسبته </w:t>
      </w:r>
      <w:r w:rsidR="000456C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10.46%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للسلع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المنتجة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والمستهلكة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محلياً،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614F2" w:rsidRPr="0025223C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0456C4" w:rsidRPr="0025223C">
        <w:rPr>
          <w:rFonts w:ascii="Simplified Arabic" w:hAnsi="Simplified Arabic" w:cs="Simplified Arabic"/>
          <w:b/>
          <w:bCs/>
          <w:sz w:val="26"/>
          <w:szCs w:val="26"/>
        </w:rPr>
        <w:t>2.61</w:t>
      </w:r>
      <w:r w:rsidR="00B614F2" w:rsidRPr="0025223C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للسلع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المستوردة.</w:t>
      </w:r>
    </w:p>
    <w:p w14:paraId="50FF423C" w14:textId="77777777" w:rsidR="00DB1BA1" w:rsidRPr="0025223C" w:rsidRDefault="00DB1BA1" w:rsidP="00E00C6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94C0623" w14:textId="61626307" w:rsidR="00491FFB" w:rsidRDefault="00603AE6" w:rsidP="0025223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25223C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4547AC" w:rsidRPr="0025223C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F371F" w:rsidRPr="0025223C">
        <w:rPr>
          <w:rFonts w:ascii="Simplified Arabic" w:hAnsi="Simplified Arabic" w:cs="Simplified Arabic"/>
          <w:sz w:val="26"/>
          <w:szCs w:val="26"/>
          <w:rtl/>
        </w:rPr>
        <w:t>أسعار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5F5E" w:rsidRPr="0025223C">
        <w:rPr>
          <w:rFonts w:ascii="Simplified Arabic" w:hAnsi="Simplified Arabic" w:cs="Simplified Arabic" w:hint="cs"/>
          <w:sz w:val="26"/>
          <w:szCs w:val="26"/>
          <w:rtl/>
        </w:rPr>
        <w:t>الجملة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05F5E" w:rsidRPr="0025223C">
        <w:rPr>
          <w:rFonts w:ascii="Simplified Arabic" w:hAnsi="Simplified Arabic" w:cs="Simplified Arabic" w:hint="cs"/>
          <w:sz w:val="26"/>
          <w:szCs w:val="26"/>
          <w:rtl/>
        </w:rPr>
        <w:t>لل</w:t>
      </w:r>
      <w:r w:rsidR="003F371F" w:rsidRPr="0025223C">
        <w:rPr>
          <w:rFonts w:ascii="Simplified Arabic" w:hAnsi="Simplified Arabic" w:cs="Simplified Arabic"/>
          <w:sz w:val="26"/>
          <w:szCs w:val="26"/>
          <w:rtl/>
        </w:rPr>
        <w:t>سلع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قسم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عدا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المركبات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ذات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المحركات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والدراجات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النارية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4547AC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بنسبة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4547AC" w:rsidRPr="0025223C">
        <w:rPr>
          <w:rFonts w:ascii="Simplified Arabic" w:hAnsi="Simplified Arabic" w:cs="Simplified Arabic"/>
          <w:b/>
          <w:bCs/>
          <w:sz w:val="26"/>
          <w:szCs w:val="26"/>
        </w:rPr>
        <w:t>%</w:t>
      </w:r>
      <w:r w:rsidR="00F54E6B" w:rsidRPr="0025223C">
        <w:rPr>
          <w:rFonts w:ascii="Simplified Arabic" w:hAnsi="Simplified Arabic" w:cs="Simplified Arabic"/>
          <w:b/>
          <w:bCs/>
          <w:sz w:val="26"/>
          <w:szCs w:val="26"/>
        </w:rPr>
        <w:t>5.37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="004547AC" w:rsidRPr="0025223C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ذي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يشكل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نسبته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/>
          <w:b/>
          <w:bCs/>
          <w:sz w:val="26"/>
          <w:szCs w:val="26"/>
        </w:rPr>
        <w:t>89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الجملة،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4D58" w:rsidRPr="0025223C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sz w:val="26"/>
          <w:szCs w:val="26"/>
          <w:rtl/>
        </w:rPr>
        <w:t>البيع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949D4" w:rsidRPr="0025223C">
        <w:rPr>
          <w:rFonts w:ascii="Simplified Arabic" w:hAnsi="Simplified Arabic" w:cs="Simplified Arabic" w:hint="cs"/>
          <w:sz w:val="26"/>
          <w:szCs w:val="26"/>
          <w:rtl/>
        </w:rPr>
        <w:t>بالجملة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لمجموعة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F949D4" w:rsidRPr="0025223C">
        <w:rPr>
          <w:rFonts w:ascii="Simplified Arabic" w:hAnsi="Simplified Arabic" w:cs="Simplified Arabic" w:hint="cs"/>
          <w:sz w:val="26"/>
          <w:szCs w:val="26"/>
          <w:rtl/>
        </w:rPr>
        <w:t>لفئات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النحو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الآتي</w:t>
      </w:r>
      <w:r w:rsidR="00F949D4" w:rsidRPr="0025223C">
        <w:rPr>
          <w:rFonts w:ascii="Simplified Arabic" w:hAnsi="Simplified Arabic" w:cs="Simplified Arabic" w:hint="cs"/>
          <w:sz w:val="26"/>
          <w:szCs w:val="26"/>
          <w:rtl/>
        </w:rPr>
        <w:t>: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B48C3" w:rsidRPr="0025223C">
        <w:rPr>
          <w:rFonts w:ascii="Simplified Arabic" w:hAnsi="Simplified Arabic" w:cs="Simplified Arabic"/>
          <w:sz w:val="26"/>
          <w:szCs w:val="26"/>
          <w:rtl/>
        </w:rPr>
        <w:t>بيع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34549" w:rsidRPr="0025223C">
        <w:rPr>
          <w:rFonts w:ascii="Simplified Arabic" w:hAnsi="Simplified Arabic" w:cs="Simplified Arabic" w:hint="cs"/>
          <w:sz w:val="26"/>
          <w:szCs w:val="26"/>
          <w:rtl/>
        </w:rPr>
        <w:t>الأ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قمشة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48.87%،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الحبوب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والبذور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3EEC" w:rsidRPr="0025223C">
        <w:rPr>
          <w:rFonts w:ascii="Simplified Arabic" w:hAnsi="Simplified Arabic" w:cs="Simplified Arabic"/>
          <w:sz w:val="26"/>
          <w:szCs w:val="26"/>
        </w:rPr>
        <w:t>%24.17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48C3" w:rsidRPr="0025223C">
        <w:rPr>
          <w:rFonts w:ascii="Simplified Arabic" w:hAnsi="Simplified Arabic" w:cs="Simplified Arabic"/>
          <w:sz w:val="26"/>
          <w:szCs w:val="26"/>
          <w:rtl/>
        </w:rPr>
        <w:t>الوقود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48C3" w:rsidRPr="0025223C">
        <w:rPr>
          <w:rFonts w:ascii="Simplified Arabic" w:hAnsi="Simplified Arabic" w:cs="Simplified Arabic"/>
          <w:sz w:val="26"/>
          <w:szCs w:val="26"/>
          <w:rtl/>
        </w:rPr>
        <w:t>الصلب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48C3" w:rsidRPr="0025223C">
        <w:rPr>
          <w:rFonts w:ascii="Simplified Arabic" w:hAnsi="Simplified Arabic" w:cs="Simplified Arabic"/>
          <w:sz w:val="26"/>
          <w:szCs w:val="26"/>
          <w:rtl/>
        </w:rPr>
        <w:t>والسائل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48C3" w:rsidRPr="0025223C">
        <w:rPr>
          <w:rFonts w:ascii="Simplified Arabic" w:hAnsi="Simplified Arabic" w:cs="Simplified Arabic"/>
          <w:sz w:val="26"/>
          <w:szCs w:val="26"/>
          <w:rtl/>
        </w:rPr>
        <w:t>والغازي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48C3" w:rsidRPr="0025223C">
        <w:rPr>
          <w:rFonts w:ascii="Simplified Arabic" w:hAnsi="Simplified Arabic" w:cs="Simplified Arabic"/>
          <w:sz w:val="26"/>
          <w:szCs w:val="26"/>
          <w:rtl/>
        </w:rPr>
        <w:t>والمنتجات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48C3" w:rsidRPr="0025223C">
        <w:rPr>
          <w:rFonts w:ascii="Simplified Arabic" w:hAnsi="Simplified Arabic" w:cs="Simplified Arabic"/>
          <w:sz w:val="26"/>
          <w:szCs w:val="26"/>
          <w:rtl/>
        </w:rPr>
        <w:t>ذات</w:t>
      </w:r>
      <w:r w:rsidRPr="002522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48C3" w:rsidRPr="0025223C">
        <w:rPr>
          <w:rFonts w:ascii="Simplified Arabic" w:hAnsi="Simplified Arabic" w:cs="Simplified Arabic"/>
          <w:sz w:val="26"/>
          <w:szCs w:val="26"/>
          <w:rtl/>
        </w:rPr>
        <w:t>الصلة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517B4" w:rsidRPr="0025223C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1517B4" w:rsidRPr="0025223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1517B4" w:rsidRPr="0025223C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147EA" w:rsidRPr="0025223C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الحيوانات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الحية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46F66" w:rsidRPr="0025223C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3EEC" w:rsidRPr="0025223C">
        <w:rPr>
          <w:rFonts w:ascii="Simplified Arabic" w:hAnsi="Simplified Arabic" w:cs="Simplified Arabic"/>
          <w:sz w:val="26"/>
          <w:szCs w:val="26"/>
        </w:rPr>
        <w:t>%15.49</w:t>
      </w:r>
      <w:r w:rsidR="00246F66" w:rsidRPr="0025223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</w:rPr>
        <w:t>المشروبات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</w:rPr>
        <w:t>13.42%،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46F66" w:rsidRPr="0025223C">
        <w:rPr>
          <w:rFonts w:ascii="Simplified Arabic" w:hAnsi="Simplified Arabic" w:cs="Simplified Arabic" w:hint="cs"/>
          <w:sz w:val="26"/>
          <w:szCs w:val="26"/>
          <w:rtl/>
        </w:rPr>
        <w:t>الفواكه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46F66" w:rsidRPr="0025223C">
        <w:rPr>
          <w:rFonts w:ascii="Simplified Arabic" w:hAnsi="Simplified Arabic" w:cs="Simplified Arabic" w:hint="cs"/>
          <w:sz w:val="26"/>
          <w:szCs w:val="26"/>
          <w:rtl/>
        </w:rPr>
        <w:t>والخضار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46F66" w:rsidRPr="0025223C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46F66" w:rsidRPr="0025223C">
        <w:rPr>
          <w:rFonts w:ascii="Simplified Arabic" w:hAnsi="Simplified Arabic" w:cs="Simplified Arabic"/>
          <w:sz w:val="26"/>
          <w:szCs w:val="26"/>
        </w:rPr>
        <w:t>%8.43</w:t>
      </w:r>
      <w:r w:rsidR="00246F66" w:rsidRPr="0025223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</w:rPr>
        <w:t>الزيوت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</w:rPr>
        <w:t>والدهون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</w:rPr>
        <w:t>الحيوانية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</w:rPr>
        <w:t>والنباتية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</w:rPr>
        <w:t>4.14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%.  </w:t>
      </w:r>
      <w:r w:rsidR="00246F66" w:rsidRPr="0025223C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46F66" w:rsidRPr="0025223C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4D3EEC" w:rsidRPr="0025223C">
        <w:rPr>
          <w:rFonts w:ascii="Simplified Arabic" w:hAnsi="Simplified Arabic" w:cs="Simplified Arabic" w:hint="cs"/>
          <w:sz w:val="26"/>
          <w:szCs w:val="26"/>
          <w:rtl/>
        </w:rPr>
        <w:t>لمقابل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246F66" w:rsidRPr="0025223C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724F" w:rsidRPr="0025223C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724F" w:rsidRPr="0025223C">
        <w:rPr>
          <w:rFonts w:ascii="Simplified Arabic" w:hAnsi="Simplified Arabic" w:cs="Simplified Arabic" w:hint="cs"/>
          <w:sz w:val="26"/>
          <w:szCs w:val="26"/>
          <w:rtl/>
        </w:rPr>
        <w:t>البيع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724F" w:rsidRPr="0025223C">
        <w:rPr>
          <w:rFonts w:ascii="Simplified Arabic" w:hAnsi="Simplified Arabic" w:cs="Simplified Arabic" w:hint="cs"/>
          <w:sz w:val="26"/>
          <w:szCs w:val="26"/>
          <w:rtl/>
        </w:rPr>
        <w:t>بالجملة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لمجموعة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E0724F" w:rsidRPr="0025223C">
        <w:rPr>
          <w:rFonts w:ascii="Simplified Arabic" w:hAnsi="Simplified Arabic" w:cs="Simplified Arabic" w:hint="cs"/>
          <w:sz w:val="26"/>
          <w:szCs w:val="26"/>
          <w:rtl/>
        </w:rPr>
        <w:t>لفئات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النحو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FFB" w:rsidRPr="0025223C">
        <w:rPr>
          <w:rFonts w:ascii="Simplified Arabic" w:hAnsi="Simplified Arabic" w:cs="Simplified Arabic" w:hint="cs"/>
          <w:sz w:val="26"/>
          <w:szCs w:val="26"/>
          <w:rtl/>
        </w:rPr>
        <w:t>الآتي</w:t>
      </w:r>
      <w:r w:rsidR="00F1724A" w:rsidRPr="0025223C">
        <w:rPr>
          <w:rFonts w:ascii="Simplified Arabic" w:hAnsi="Simplified Arabic" w:cs="Simplified Arabic" w:hint="cs"/>
          <w:sz w:val="26"/>
          <w:szCs w:val="26"/>
          <w:rtl/>
        </w:rPr>
        <w:t>: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74784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منتجات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74784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</w:t>
      </w:r>
      <w:r w:rsidR="00B2636A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لأ</w:t>
      </w:r>
      <w:r w:rsidR="00D74784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لبان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74784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والبيض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بنسبة </w:t>
      </w:r>
      <w:r w:rsidR="00D1308C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7</w:t>
      </w:r>
      <w:r w:rsidR="00D74784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  <w:r w:rsidR="00D1308C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55</w:t>
      </w:r>
      <w:r w:rsidR="00D74784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%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بيع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مواد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البناء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والأجهزة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ومعدات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السباكة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والتدفئة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ولوازمها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بالجملة</w:t>
      </w:r>
      <w:r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بنسبة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1.19%.</w:t>
      </w:r>
    </w:p>
    <w:p w14:paraId="167DF9B5" w14:textId="2CE5DC36" w:rsidR="0025223C" w:rsidRDefault="0025223C" w:rsidP="0025223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14:paraId="093DD9CA" w14:textId="1FEEAF25" w:rsidR="0025223C" w:rsidRDefault="0025223C" w:rsidP="0025223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14:paraId="22C1E63A" w14:textId="7AFFB322" w:rsidR="0025223C" w:rsidRDefault="0025223C" w:rsidP="0025223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14:paraId="3E8825D9" w14:textId="4D3FA2FC" w:rsidR="0025223C" w:rsidRDefault="0025223C" w:rsidP="0025223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14:paraId="1D5C6E3F" w14:textId="77777777" w:rsidR="0025223C" w:rsidRPr="0025223C" w:rsidRDefault="0025223C" w:rsidP="0025223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14:paraId="24945FBB" w14:textId="56910DCD" w:rsidR="0078667D" w:rsidRPr="0025223C" w:rsidRDefault="00D96FB7" w:rsidP="00114D5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25223C">
        <w:rPr>
          <w:rFonts w:ascii="Simplified Arabic" w:hAnsi="Simplified Arabic" w:cs="Simplified Arabic" w:hint="cs"/>
          <w:sz w:val="26"/>
          <w:szCs w:val="26"/>
          <w:rtl/>
        </w:rPr>
        <w:t>سجل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قسم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والمفرد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"التجزئة"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05F5E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وإصلاح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المركبات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ذات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المحركات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والدراجات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النارية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1A7194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</w:t>
      </w:r>
      <w:r w:rsidR="00114D58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اً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نسبته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54BE8" w:rsidRPr="0025223C">
        <w:rPr>
          <w:rFonts w:ascii="Simplified Arabic" w:hAnsi="Simplified Arabic" w:cs="Simplified Arabic"/>
          <w:b/>
          <w:bCs/>
          <w:sz w:val="26"/>
          <w:szCs w:val="26"/>
        </w:rPr>
        <w:t>%</w:t>
      </w:r>
      <w:r w:rsidR="001A7194" w:rsidRPr="0025223C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1.77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،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الذي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يشكل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نسبته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/>
          <w:b/>
          <w:bCs/>
          <w:sz w:val="26"/>
          <w:szCs w:val="26"/>
        </w:rPr>
        <w:t>11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تجارة</w:t>
      </w:r>
      <w:r w:rsidR="00603AE6"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الجملة،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5223C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bookmarkEnd w:id="0"/>
      <w:bookmarkEnd w:id="1"/>
      <w:r w:rsidR="00114D5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ارتفعت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54BE8" w:rsidRPr="0025223C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AC5AC0" w:rsidRPr="0025223C">
        <w:rPr>
          <w:rFonts w:ascii="Simplified Arabic" w:hAnsi="Simplified Arabic" w:cs="Simplified Arabic" w:hint="cs"/>
          <w:sz w:val="26"/>
          <w:szCs w:val="26"/>
          <w:rtl/>
        </w:rPr>
        <w:t>سعار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5AC0" w:rsidRPr="0025223C">
        <w:rPr>
          <w:rFonts w:ascii="Simplified Arabic" w:hAnsi="Simplified Arabic" w:cs="Simplified Arabic" w:hint="cs"/>
          <w:sz w:val="26"/>
          <w:szCs w:val="26"/>
          <w:rtl/>
        </w:rPr>
        <w:t>الجملة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5AC0" w:rsidRPr="0025223C">
        <w:rPr>
          <w:rFonts w:ascii="Simplified Arabic" w:hAnsi="Simplified Arabic" w:cs="Simplified Arabic" w:hint="cs"/>
          <w:sz w:val="26"/>
          <w:szCs w:val="26"/>
          <w:rtl/>
        </w:rPr>
        <w:t>والتجزئة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5AC0" w:rsidRPr="0025223C">
        <w:rPr>
          <w:rFonts w:ascii="Simplified Arabic" w:hAnsi="Simplified Arabic" w:cs="Simplified Arabic" w:hint="cs"/>
          <w:sz w:val="26"/>
          <w:szCs w:val="26"/>
          <w:rtl/>
        </w:rPr>
        <w:t>للمركبات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5AC0" w:rsidRPr="0025223C">
        <w:rPr>
          <w:rFonts w:ascii="Simplified Arabic" w:hAnsi="Simplified Arabic" w:cs="Simplified Arabic" w:hint="cs"/>
          <w:sz w:val="26"/>
          <w:szCs w:val="26"/>
          <w:rtl/>
        </w:rPr>
        <w:t>الجديدة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4D58" w:rsidRPr="0025223C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4D58" w:rsidRPr="0025223C">
        <w:rPr>
          <w:rFonts w:ascii="Simplified Arabic" w:hAnsi="Simplified Arabic" w:cs="Simplified Arabic"/>
          <w:sz w:val="26"/>
          <w:szCs w:val="26"/>
        </w:rPr>
        <w:t>%4.24</w:t>
      </w:r>
      <w:r w:rsidR="00114D58" w:rsidRPr="0025223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4D58" w:rsidRPr="0025223C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F1724A" w:rsidRPr="0025223C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1724A" w:rsidRPr="0025223C">
        <w:rPr>
          <w:rFonts w:ascii="Simplified Arabic" w:hAnsi="Simplified Arabic" w:cs="Simplified Arabic" w:hint="cs"/>
          <w:sz w:val="26"/>
          <w:szCs w:val="26"/>
          <w:rtl/>
        </w:rPr>
        <w:t>الجملة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1724A" w:rsidRPr="0025223C">
        <w:rPr>
          <w:rFonts w:ascii="Simplified Arabic" w:hAnsi="Simplified Arabic" w:cs="Simplified Arabic" w:hint="cs"/>
          <w:sz w:val="26"/>
          <w:szCs w:val="26"/>
          <w:rtl/>
        </w:rPr>
        <w:t>لصيانة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وإصلاح </w:t>
      </w:r>
      <w:r w:rsidR="00114D58" w:rsidRPr="0025223C">
        <w:rPr>
          <w:rFonts w:ascii="Simplified Arabic" w:hAnsi="Simplified Arabic" w:cs="Simplified Arabic" w:hint="cs"/>
          <w:sz w:val="26"/>
          <w:szCs w:val="26"/>
          <w:rtl/>
        </w:rPr>
        <w:t>المركبات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4D58" w:rsidRPr="0025223C">
        <w:rPr>
          <w:rFonts w:ascii="Simplified Arabic" w:hAnsi="Simplified Arabic" w:cs="Simplified Arabic" w:hint="cs"/>
          <w:sz w:val="26"/>
          <w:szCs w:val="26"/>
          <w:rtl/>
        </w:rPr>
        <w:t>ذات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4D58" w:rsidRPr="0025223C">
        <w:rPr>
          <w:rFonts w:ascii="Simplified Arabic" w:hAnsi="Simplified Arabic" w:cs="Simplified Arabic" w:hint="cs"/>
          <w:sz w:val="26"/>
          <w:szCs w:val="26"/>
          <w:rtl/>
        </w:rPr>
        <w:t>المحركات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4D58" w:rsidRPr="0025223C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603AE6" w:rsidRPr="0025223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4D58" w:rsidRPr="0025223C">
        <w:rPr>
          <w:rFonts w:ascii="Simplified Arabic" w:hAnsi="Simplified Arabic" w:cs="Simplified Arabic"/>
          <w:sz w:val="26"/>
          <w:szCs w:val="26"/>
        </w:rPr>
        <w:t>%0.88</w:t>
      </w:r>
      <w:r w:rsidR="00114D58" w:rsidRPr="0025223C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14:paraId="2CB3C3A1" w14:textId="6F1A1FEB" w:rsidR="00E54BE8" w:rsidRPr="0025223C" w:rsidRDefault="00E54BE8" w:rsidP="00647C4E">
      <w:pPr>
        <w:pStyle w:val="BodyText2"/>
        <w:spacing w:after="0" w:line="240" w:lineRule="auto"/>
        <w:rPr>
          <w:rFonts w:cs="Simplified Arabic"/>
          <w:b/>
          <w:bCs/>
          <w:rtl/>
          <w:lang w:bidi="ar-JO"/>
        </w:rPr>
      </w:pPr>
    </w:p>
    <w:p w14:paraId="0764D095" w14:textId="44FC9655" w:rsidR="00647C4E" w:rsidRPr="0025223C" w:rsidRDefault="00647C4E" w:rsidP="00647C4E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</w:rPr>
      </w:pPr>
      <w:r w:rsidRPr="0025223C">
        <w:rPr>
          <w:rFonts w:cs="Simplified Arabic" w:hint="cs"/>
          <w:b/>
          <w:bCs/>
          <w:sz w:val="26"/>
          <w:szCs w:val="26"/>
          <w:rtl/>
        </w:rPr>
        <w:t>تنويه</w:t>
      </w:r>
      <w:r w:rsidR="00603AE6" w:rsidRPr="0025223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cs="Simplified Arabic" w:hint="cs"/>
          <w:b/>
          <w:bCs/>
          <w:sz w:val="26"/>
          <w:szCs w:val="26"/>
          <w:rtl/>
        </w:rPr>
        <w:t>لمستخدمي</w:t>
      </w:r>
      <w:r w:rsidR="00603AE6" w:rsidRPr="0025223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25223C">
        <w:rPr>
          <w:rFonts w:cs="Simplified Arabic" w:hint="cs"/>
          <w:b/>
          <w:bCs/>
          <w:sz w:val="26"/>
          <w:szCs w:val="26"/>
          <w:rtl/>
        </w:rPr>
        <w:t>البيانات:</w:t>
      </w:r>
    </w:p>
    <w:p w14:paraId="41A2967B" w14:textId="3FD12D18" w:rsidR="0071285A" w:rsidRPr="0025223C" w:rsidRDefault="0071285A" w:rsidP="0071285A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</w:rPr>
      </w:pPr>
      <w:r w:rsidRPr="0025223C">
        <w:rPr>
          <w:rFonts w:cs="Simplified Arabic" w:hint="cs"/>
          <w:rtl/>
        </w:rPr>
        <w:t>تم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تحديث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سنة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الأساس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للرقم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القياسي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لأسعار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الجملة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لتصبح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2021.</w:t>
      </w:r>
    </w:p>
    <w:p w14:paraId="1573C8EC" w14:textId="6B5D9471" w:rsidR="00F93ED5" w:rsidRPr="0025223C" w:rsidRDefault="00F93ED5" w:rsidP="0071285A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rtl/>
        </w:rPr>
      </w:pPr>
      <w:r w:rsidRPr="0025223C">
        <w:rPr>
          <w:rFonts w:cs="Simplified Arabic" w:hint="cs"/>
          <w:rtl/>
        </w:rPr>
        <w:t>تم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تحديث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منهجية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الرقم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القياسي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لأسعار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الجملة؛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هيكل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الأوزان،</w:t>
      </w:r>
      <w:r w:rsidR="00603AE6" w:rsidRPr="0025223C">
        <w:rPr>
          <w:rFonts w:cs="Simplified Arabic" w:hint="cs"/>
          <w:rtl/>
        </w:rPr>
        <w:t xml:space="preserve"> </w:t>
      </w:r>
      <w:r w:rsidR="00FE2BA7" w:rsidRPr="0025223C">
        <w:rPr>
          <w:rFonts w:cs="Simplified Arabic" w:hint="cs"/>
          <w:rtl/>
        </w:rPr>
        <w:t>و</w:t>
      </w:r>
      <w:r w:rsidRPr="0025223C">
        <w:rPr>
          <w:rFonts w:cs="Simplified Arabic" w:hint="cs"/>
          <w:rtl/>
        </w:rPr>
        <w:t>إطار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العينة</w:t>
      </w:r>
      <w:r w:rsidR="00FE2BA7" w:rsidRPr="0025223C">
        <w:rPr>
          <w:rFonts w:cs="Simplified Arabic" w:hint="cs"/>
          <w:rtl/>
        </w:rPr>
        <w:t>،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ومنافذ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البيع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بالجملة،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ومعادلة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لاسبير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المعدلة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في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احتساب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المؤشر.</w:t>
      </w:r>
    </w:p>
    <w:p w14:paraId="15EFD037" w14:textId="34991C47" w:rsidR="0071285A" w:rsidRPr="0025223C" w:rsidRDefault="0071285A" w:rsidP="00B87D03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</w:rPr>
      </w:pPr>
      <w:r w:rsidRPr="0025223C">
        <w:rPr>
          <w:rFonts w:cs="Simplified Arabic" w:hint="cs"/>
          <w:rtl/>
        </w:rPr>
        <w:t>تم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الاعتماد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على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التصنيف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الصناعي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الدولي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الموحد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لجميع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الأنشطة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الاقتصادية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"التنقيح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الرابع"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الصادر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عن</w:t>
      </w:r>
      <w:r w:rsidR="00603AE6" w:rsidRPr="0025223C">
        <w:rPr>
          <w:rFonts w:cs="Simplified Arabic" w:hint="cs"/>
          <w:rtl/>
        </w:rPr>
        <w:t xml:space="preserve"> </w:t>
      </w:r>
      <w:r w:rsidR="00FA67C0" w:rsidRPr="0025223C">
        <w:rPr>
          <w:rFonts w:cs="Simplified Arabic" w:hint="cs"/>
          <w:rtl/>
        </w:rPr>
        <w:t>شعبة</w:t>
      </w:r>
      <w:r w:rsidR="00603AE6" w:rsidRPr="0025223C">
        <w:rPr>
          <w:rFonts w:cs="Simplified Arabic" w:hint="cs"/>
          <w:rtl/>
        </w:rPr>
        <w:t xml:space="preserve"> </w:t>
      </w:r>
      <w:r w:rsidR="00705F5E" w:rsidRPr="0025223C">
        <w:rPr>
          <w:rFonts w:cs="Simplified Arabic" w:hint="cs"/>
          <w:rtl/>
        </w:rPr>
        <w:t>الإحصاء</w:t>
      </w:r>
      <w:r w:rsidR="00603AE6" w:rsidRPr="0025223C">
        <w:rPr>
          <w:rFonts w:cs="Simplified Arabic" w:hint="cs"/>
          <w:rtl/>
        </w:rPr>
        <w:t xml:space="preserve"> </w:t>
      </w:r>
      <w:r w:rsidR="00FA67C0" w:rsidRPr="0025223C">
        <w:rPr>
          <w:rFonts w:cs="Simplified Arabic" w:hint="cs"/>
          <w:rtl/>
        </w:rPr>
        <w:t>في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الأمم</w:t>
      </w:r>
      <w:r w:rsidR="00603AE6" w:rsidRPr="0025223C">
        <w:rPr>
          <w:rFonts w:cs="Simplified Arabic" w:hint="cs"/>
          <w:rtl/>
        </w:rPr>
        <w:t xml:space="preserve"> </w:t>
      </w:r>
      <w:r w:rsidRPr="0025223C">
        <w:rPr>
          <w:rFonts w:cs="Simplified Arabic" w:hint="cs"/>
          <w:rtl/>
        </w:rPr>
        <w:t>المتحدة،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لتصنيف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أقسام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تجارة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الجملة</w:t>
      </w:r>
      <w:r w:rsidR="00FE2BA7" w:rsidRPr="0025223C">
        <w:rPr>
          <w:rFonts w:cs="Simplified Arabic" w:hint="cs"/>
          <w:rtl/>
        </w:rPr>
        <w:t>،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وفئات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البيع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بالجملة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ضمن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الباب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زاي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"45-47"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تجارة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الجملة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والمفرد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"التجزئة"</w:t>
      </w:r>
      <w:r w:rsidR="00603AE6" w:rsidRPr="0025223C">
        <w:rPr>
          <w:rFonts w:cs="Simplified Arabic" w:hint="cs"/>
          <w:rtl/>
        </w:rPr>
        <w:t xml:space="preserve"> </w:t>
      </w:r>
      <w:r w:rsidR="00705F5E" w:rsidRPr="0025223C">
        <w:rPr>
          <w:rFonts w:cs="Simplified Arabic" w:hint="cs"/>
          <w:rtl/>
        </w:rPr>
        <w:t>وإصلاح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المركبات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ذات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المحركات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والدراجات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النارية</w:t>
      </w:r>
      <w:r w:rsidR="00FE2BA7" w:rsidRPr="0025223C">
        <w:rPr>
          <w:rFonts w:cs="Simplified Arabic" w:hint="cs"/>
          <w:rtl/>
        </w:rPr>
        <w:t xml:space="preserve">.  </w:t>
      </w:r>
      <w:r w:rsidR="00F93ED5" w:rsidRPr="0025223C">
        <w:rPr>
          <w:rFonts w:cs="Simplified Arabic" w:hint="cs"/>
          <w:rtl/>
        </w:rPr>
        <w:t>تم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استثناء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القسم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47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والخاص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بتجارة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المفرد</w:t>
      </w:r>
      <w:r w:rsidR="00603AE6" w:rsidRPr="0025223C">
        <w:rPr>
          <w:rFonts w:cs="Simplified Arabic" w:hint="cs"/>
          <w:rtl/>
        </w:rPr>
        <w:t xml:space="preserve"> </w:t>
      </w:r>
      <w:r w:rsidR="00F93ED5" w:rsidRPr="0025223C">
        <w:rPr>
          <w:rFonts w:cs="Simplified Arabic" w:hint="cs"/>
          <w:rtl/>
        </w:rPr>
        <w:t>"التجزئة"</w:t>
      </w:r>
      <w:r w:rsidRPr="0025223C">
        <w:rPr>
          <w:rFonts w:cs="Simplified Arabic" w:hint="cs"/>
          <w:rtl/>
        </w:rPr>
        <w:t>.</w:t>
      </w:r>
    </w:p>
    <w:p w14:paraId="2C139696" w14:textId="3FA38CBB" w:rsidR="004B61BF" w:rsidRPr="0025223C" w:rsidRDefault="004B61BF" w:rsidP="00F54E6B">
      <w:pPr>
        <w:pStyle w:val="ListParagraph"/>
        <w:numPr>
          <w:ilvl w:val="0"/>
          <w:numId w:val="3"/>
        </w:numPr>
        <w:tabs>
          <w:tab w:val="left" w:pos="282"/>
        </w:tabs>
        <w:ind w:left="357"/>
        <w:jc w:val="both"/>
        <w:rPr>
          <w:rFonts w:ascii="Times New Roman" w:eastAsia="Times New Roman" w:hAnsi="Times New Roman" w:cs="Simplified Arabic"/>
          <w:sz w:val="24"/>
          <w:szCs w:val="24"/>
          <w:lang w:eastAsia="ar-SA"/>
        </w:rPr>
      </w:pP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بسبب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العدوان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="00705F5E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الإسرائيلي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على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قطاع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غزة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في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السابع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من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تشرين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الأول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من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العام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202</w:t>
      </w:r>
      <w:r w:rsidRPr="0025223C">
        <w:rPr>
          <w:rFonts w:ascii="Times New Roman" w:eastAsia="Times New Roman" w:hAnsi="Times New Roman" w:cs="Simplified Arabic"/>
          <w:sz w:val="24"/>
          <w:szCs w:val="24"/>
          <w:rtl/>
          <w:lang w:eastAsia="ar-SA"/>
        </w:rPr>
        <w:t>3</w:t>
      </w:r>
      <w:r w:rsidR="00FE2BA7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،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تم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تقدير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="00705F5E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أسعار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الجملة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في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قطاع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غزة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للربع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="00F54E6B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الرابع</w:t>
      </w:r>
      <w:r w:rsidR="00FE2BA7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من العام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</w:t>
      </w:r>
      <w:r w:rsidR="005E6000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2024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اعتماد</w:t>
      </w:r>
      <w:r w:rsidR="00B614F2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اً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على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التوصيات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الدولية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في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هذا</w:t>
      </w:r>
      <w:r w:rsidR="00603AE6"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 xml:space="preserve"> </w:t>
      </w:r>
      <w:r w:rsidRPr="0025223C">
        <w:rPr>
          <w:rFonts w:ascii="Times New Roman" w:eastAsia="Times New Roman" w:hAnsi="Times New Roman" w:cs="Simplified Arabic" w:hint="cs"/>
          <w:sz w:val="24"/>
          <w:szCs w:val="24"/>
          <w:rtl/>
          <w:lang w:eastAsia="ar-SA"/>
        </w:rPr>
        <w:t>المجال.</w:t>
      </w:r>
    </w:p>
    <w:p w14:paraId="0CDDD31A" w14:textId="1F65F13A" w:rsidR="0078667D" w:rsidRPr="0025223C" w:rsidRDefault="0078667D" w:rsidP="00823DED">
      <w:pPr>
        <w:tabs>
          <w:tab w:val="left" w:pos="282"/>
        </w:tabs>
        <w:rPr>
          <w:rFonts w:cs="Simplified Arabic"/>
          <w:sz w:val="22"/>
          <w:szCs w:val="22"/>
        </w:rPr>
      </w:pPr>
    </w:p>
    <w:sectPr w:rsidR="0078667D" w:rsidRPr="0025223C" w:rsidSect="0025223C">
      <w:footerReference w:type="even" r:id="rId9"/>
      <w:footerReference w:type="default" r:id="rId10"/>
      <w:pgSz w:w="11907" w:h="16840" w:code="9"/>
      <w:pgMar w:top="851" w:right="851" w:bottom="851" w:left="851" w:header="568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70657" w14:textId="77777777" w:rsidR="00B627E4" w:rsidRDefault="00B627E4">
      <w:r>
        <w:separator/>
      </w:r>
    </w:p>
  </w:endnote>
  <w:endnote w:type="continuationSeparator" w:id="0">
    <w:p w14:paraId="38C747EE" w14:textId="77777777" w:rsidR="00B627E4" w:rsidRDefault="00B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A273B" w14:textId="77777777" w:rsidR="0041218D" w:rsidRDefault="00DF331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1218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E7FE869" w14:textId="77777777" w:rsidR="0041218D" w:rsidRDefault="0041218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1301E" w14:textId="1E2CF0D4" w:rsidR="0041218D" w:rsidRDefault="00DF3312">
    <w:pPr>
      <w:pStyle w:val="Footer"/>
      <w:jc w:val="center"/>
    </w:pPr>
    <w:r>
      <w:fldChar w:fldCharType="begin"/>
    </w:r>
    <w:r w:rsidR="002C75BF">
      <w:instrText xml:space="preserve"> PAGE   \* MERGEFORMAT </w:instrText>
    </w:r>
    <w:r>
      <w:fldChar w:fldCharType="separate"/>
    </w:r>
    <w:r w:rsidR="0025223C">
      <w:rPr>
        <w:noProof/>
        <w:rtl/>
      </w:rPr>
      <w:t>2</w:t>
    </w:r>
    <w:r>
      <w:rPr>
        <w:noProof/>
      </w:rPr>
      <w:fldChar w:fldCharType="end"/>
    </w:r>
  </w:p>
  <w:p w14:paraId="4EBFF9D1" w14:textId="77777777" w:rsidR="0041218D" w:rsidRDefault="0041218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95923" w14:textId="77777777" w:rsidR="00B627E4" w:rsidRDefault="00B627E4">
      <w:r>
        <w:separator/>
      </w:r>
    </w:p>
  </w:footnote>
  <w:footnote w:type="continuationSeparator" w:id="0">
    <w:p w14:paraId="624FB53F" w14:textId="77777777" w:rsidR="00B627E4" w:rsidRDefault="00B627E4">
      <w:r>
        <w:continuationSeparator/>
      </w:r>
    </w:p>
  </w:footnote>
  <w:footnote w:id="1">
    <w:p w14:paraId="54B0766F" w14:textId="2476751C" w:rsidR="00E1015F" w:rsidRPr="0025223C" w:rsidRDefault="00E1015F" w:rsidP="00E1015F">
      <w:pPr>
        <w:pStyle w:val="FootnoteText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25223C">
        <w:rPr>
          <w:rStyle w:val="FootnoteReference"/>
          <w:rFonts w:ascii="Simplified Arabic" w:hAnsi="Simplified Arabic" w:cs="Simplified Arabic"/>
          <w:sz w:val="22"/>
          <w:szCs w:val="22"/>
        </w:rPr>
        <w:t>1</w:t>
      </w:r>
      <w:r w:rsidR="00603AE6" w:rsidRPr="0025223C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25223C">
        <w:rPr>
          <w:rFonts w:ascii="Simplified Arabic" w:hAnsi="Simplified Arabic" w:cs="Simplified Arabic"/>
          <w:color w:val="000000"/>
          <w:sz w:val="22"/>
          <w:szCs w:val="22"/>
          <w:rtl/>
        </w:rPr>
        <w:t>سعر إعادة البيع للسلع الجديدة أو المستعملة إلى تجار التجزئة</w:t>
      </w:r>
      <w:r w:rsidR="00603AE6" w:rsidRPr="0025223C">
        <w:rPr>
          <w:rFonts w:ascii="Simplified Arabic" w:hAnsi="Simplified Arabic" w:cs="Simplified Arabic"/>
          <w:color w:val="000000"/>
          <w:sz w:val="22"/>
          <w:szCs w:val="22"/>
          <w:rtl/>
        </w:rPr>
        <w:t>؛</w:t>
      </w:r>
      <w:r w:rsidRPr="0025223C">
        <w:rPr>
          <w:rFonts w:ascii="Simplified Arabic" w:hAnsi="Simplified Arabic" w:cs="Simplified Arabic"/>
          <w:color w:val="000000"/>
          <w:sz w:val="22"/>
          <w:szCs w:val="22"/>
          <w:rtl/>
        </w:rPr>
        <w:t xml:space="preserve"> سواء بغرض الاستهلاك أو إعادة الاستخدام في المجالات الصناعية أو التجارية أو المؤسسية أو المهنية، حيث يشمل سعر الجملة ضريبة القيمة المضافة وأجور النقل.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3EC"/>
    <w:rsid w:val="000040EF"/>
    <w:rsid w:val="00017FAB"/>
    <w:rsid w:val="00020270"/>
    <w:rsid w:val="00021409"/>
    <w:rsid w:val="00021919"/>
    <w:rsid w:val="0002407B"/>
    <w:rsid w:val="00024554"/>
    <w:rsid w:val="000249D9"/>
    <w:rsid w:val="00027A6E"/>
    <w:rsid w:val="00030528"/>
    <w:rsid w:val="000404FF"/>
    <w:rsid w:val="000456C4"/>
    <w:rsid w:val="00045D8D"/>
    <w:rsid w:val="00046D2C"/>
    <w:rsid w:val="0005122E"/>
    <w:rsid w:val="0005412B"/>
    <w:rsid w:val="00055D53"/>
    <w:rsid w:val="00062C05"/>
    <w:rsid w:val="00065884"/>
    <w:rsid w:val="00065C8F"/>
    <w:rsid w:val="00071184"/>
    <w:rsid w:val="000724A1"/>
    <w:rsid w:val="000727C2"/>
    <w:rsid w:val="00075AE6"/>
    <w:rsid w:val="000773D2"/>
    <w:rsid w:val="00080277"/>
    <w:rsid w:val="00081E68"/>
    <w:rsid w:val="000820DC"/>
    <w:rsid w:val="0008245D"/>
    <w:rsid w:val="00083045"/>
    <w:rsid w:val="00083D26"/>
    <w:rsid w:val="00086206"/>
    <w:rsid w:val="0009062A"/>
    <w:rsid w:val="0009178D"/>
    <w:rsid w:val="00091F06"/>
    <w:rsid w:val="00096B23"/>
    <w:rsid w:val="000A0A2B"/>
    <w:rsid w:val="000A0D11"/>
    <w:rsid w:val="000A466A"/>
    <w:rsid w:val="000A6E8F"/>
    <w:rsid w:val="000B36A5"/>
    <w:rsid w:val="000B3A77"/>
    <w:rsid w:val="000C0D08"/>
    <w:rsid w:val="000C3DED"/>
    <w:rsid w:val="000C3E34"/>
    <w:rsid w:val="000D2102"/>
    <w:rsid w:val="000E40F2"/>
    <w:rsid w:val="000E7D2B"/>
    <w:rsid w:val="000F2FB5"/>
    <w:rsid w:val="000F584E"/>
    <w:rsid w:val="000F5E75"/>
    <w:rsid w:val="000F6B34"/>
    <w:rsid w:val="00110A08"/>
    <w:rsid w:val="00114D58"/>
    <w:rsid w:val="00117019"/>
    <w:rsid w:val="00124F83"/>
    <w:rsid w:val="001251AF"/>
    <w:rsid w:val="00131EEE"/>
    <w:rsid w:val="001327FE"/>
    <w:rsid w:val="00132C19"/>
    <w:rsid w:val="001334DE"/>
    <w:rsid w:val="0013502C"/>
    <w:rsid w:val="001359A0"/>
    <w:rsid w:val="00136AE4"/>
    <w:rsid w:val="00140307"/>
    <w:rsid w:val="00140DC8"/>
    <w:rsid w:val="00141C84"/>
    <w:rsid w:val="0014253F"/>
    <w:rsid w:val="00143AFB"/>
    <w:rsid w:val="00145148"/>
    <w:rsid w:val="001517B4"/>
    <w:rsid w:val="00152EFA"/>
    <w:rsid w:val="001530F6"/>
    <w:rsid w:val="00154EA5"/>
    <w:rsid w:val="0016431E"/>
    <w:rsid w:val="00172A1D"/>
    <w:rsid w:val="00173C68"/>
    <w:rsid w:val="001746D5"/>
    <w:rsid w:val="00177753"/>
    <w:rsid w:val="00180704"/>
    <w:rsid w:val="00182907"/>
    <w:rsid w:val="001831CC"/>
    <w:rsid w:val="0019681D"/>
    <w:rsid w:val="001A0C6D"/>
    <w:rsid w:val="001A0C78"/>
    <w:rsid w:val="001A2605"/>
    <w:rsid w:val="001A318F"/>
    <w:rsid w:val="001A48D6"/>
    <w:rsid w:val="001A5B28"/>
    <w:rsid w:val="001A69A7"/>
    <w:rsid w:val="001A7194"/>
    <w:rsid w:val="001A7350"/>
    <w:rsid w:val="001A7376"/>
    <w:rsid w:val="001B0E21"/>
    <w:rsid w:val="001B36F2"/>
    <w:rsid w:val="001B52AD"/>
    <w:rsid w:val="001B62AE"/>
    <w:rsid w:val="001B7C33"/>
    <w:rsid w:val="001C7795"/>
    <w:rsid w:val="001D000B"/>
    <w:rsid w:val="001D45D4"/>
    <w:rsid w:val="001D6417"/>
    <w:rsid w:val="001D78B2"/>
    <w:rsid w:val="001D7909"/>
    <w:rsid w:val="001E0FE8"/>
    <w:rsid w:val="001E1281"/>
    <w:rsid w:val="001E340B"/>
    <w:rsid w:val="001E5302"/>
    <w:rsid w:val="001F16EC"/>
    <w:rsid w:val="001F1A06"/>
    <w:rsid w:val="001F1B3A"/>
    <w:rsid w:val="00201435"/>
    <w:rsid w:val="00203B3E"/>
    <w:rsid w:val="0020537C"/>
    <w:rsid w:val="002165DF"/>
    <w:rsid w:val="00232D73"/>
    <w:rsid w:val="00240E4C"/>
    <w:rsid w:val="00243704"/>
    <w:rsid w:val="00244C06"/>
    <w:rsid w:val="00245123"/>
    <w:rsid w:val="00246F66"/>
    <w:rsid w:val="00247441"/>
    <w:rsid w:val="002502E0"/>
    <w:rsid w:val="0025223C"/>
    <w:rsid w:val="002552C3"/>
    <w:rsid w:val="0025685E"/>
    <w:rsid w:val="0025749B"/>
    <w:rsid w:val="00257CB8"/>
    <w:rsid w:val="0026086E"/>
    <w:rsid w:val="00263C9A"/>
    <w:rsid w:val="00271EA7"/>
    <w:rsid w:val="00272C61"/>
    <w:rsid w:val="00273198"/>
    <w:rsid w:val="002825AA"/>
    <w:rsid w:val="0028424E"/>
    <w:rsid w:val="0028434D"/>
    <w:rsid w:val="00286D0A"/>
    <w:rsid w:val="00287685"/>
    <w:rsid w:val="002A4788"/>
    <w:rsid w:val="002B4245"/>
    <w:rsid w:val="002C69E3"/>
    <w:rsid w:val="002C75BF"/>
    <w:rsid w:val="002D0754"/>
    <w:rsid w:val="002D2CB1"/>
    <w:rsid w:val="002D390D"/>
    <w:rsid w:val="002D39D1"/>
    <w:rsid w:val="002D426D"/>
    <w:rsid w:val="002D4916"/>
    <w:rsid w:val="002D4D45"/>
    <w:rsid w:val="002D763E"/>
    <w:rsid w:val="002E1E6C"/>
    <w:rsid w:val="002E28F0"/>
    <w:rsid w:val="002E7B9F"/>
    <w:rsid w:val="002F0405"/>
    <w:rsid w:val="002F132B"/>
    <w:rsid w:val="002F6CC7"/>
    <w:rsid w:val="003012DA"/>
    <w:rsid w:val="00303BCC"/>
    <w:rsid w:val="0031069F"/>
    <w:rsid w:val="00310839"/>
    <w:rsid w:val="00310F91"/>
    <w:rsid w:val="0031498B"/>
    <w:rsid w:val="00315B24"/>
    <w:rsid w:val="0031714A"/>
    <w:rsid w:val="00317E5C"/>
    <w:rsid w:val="00320A5A"/>
    <w:rsid w:val="003216C7"/>
    <w:rsid w:val="00327D78"/>
    <w:rsid w:val="0033254C"/>
    <w:rsid w:val="003351D9"/>
    <w:rsid w:val="00347E8D"/>
    <w:rsid w:val="00347E9D"/>
    <w:rsid w:val="003511F7"/>
    <w:rsid w:val="00356F47"/>
    <w:rsid w:val="00356FF5"/>
    <w:rsid w:val="0036157D"/>
    <w:rsid w:val="003631AD"/>
    <w:rsid w:val="00372321"/>
    <w:rsid w:val="003725A6"/>
    <w:rsid w:val="00373048"/>
    <w:rsid w:val="003758BF"/>
    <w:rsid w:val="00386BBF"/>
    <w:rsid w:val="00386EE2"/>
    <w:rsid w:val="003904F6"/>
    <w:rsid w:val="003918AB"/>
    <w:rsid w:val="00394441"/>
    <w:rsid w:val="003971DE"/>
    <w:rsid w:val="003A054C"/>
    <w:rsid w:val="003A3DB1"/>
    <w:rsid w:val="003A553E"/>
    <w:rsid w:val="003A7270"/>
    <w:rsid w:val="003B064B"/>
    <w:rsid w:val="003B27EC"/>
    <w:rsid w:val="003B315D"/>
    <w:rsid w:val="003B6BC5"/>
    <w:rsid w:val="003D1AC6"/>
    <w:rsid w:val="003D5D0A"/>
    <w:rsid w:val="003D680B"/>
    <w:rsid w:val="003E36B4"/>
    <w:rsid w:val="003E4AB4"/>
    <w:rsid w:val="003F153F"/>
    <w:rsid w:val="003F371F"/>
    <w:rsid w:val="003F4B73"/>
    <w:rsid w:val="003F5A50"/>
    <w:rsid w:val="0040126A"/>
    <w:rsid w:val="0041218D"/>
    <w:rsid w:val="0041418A"/>
    <w:rsid w:val="00417F22"/>
    <w:rsid w:val="0042748A"/>
    <w:rsid w:val="00427E93"/>
    <w:rsid w:val="00431254"/>
    <w:rsid w:val="00431743"/>
    <w:rsid w:val="004335A9"/>
    <w:rsid w:val="00433D5E"/>
    <w:rsid w:val="00434549"/>
    <w:rsid w:val="00440247"/>
    <w:rsid w:val="00441941"/>
    <w:rsid w:val="0044509E"/>
    <w:rsid w:val="00445EBF"/>
    <w:rsid w:val="00447C02"/>
    <w:rsid w:val="00453476"/>
    <w:rsid w:val="004539BF"/>
    <w:rsid w:val="004547AC"/>
    <w:rsid w:val="00455B60"/>
    <w:rsid w:val="0047363C"/>
    <w:rsid w:val="004752A9"/>
    <w:rsid w:val="00480B8F"/>
    <w:rsid w:val="00480F5D"/>
    <w:rsid w:val="0048345C"/>
    <w:rsid w:val="004844C3"/>
    <w:rsid w:val="004844EB"/>
    <w:rsid w:val="00484B72"/>
    <w:rsid w:val="00491FFB"/>
    <w:rsid w:val="00494666"/>
    <w:rsid w:val="00494AF8"/>
    <w:rsid w:val="00495F40"/>
    <w:rsid w:val="00497479"/>
    <w:rsid w:val="004A0A23"/>
    <w:rsid w:val="004A327F"/>
    <w:rsid w:val="004B5997"/>
    <w:rsid w:val="004B61BF"/>
    <w:rsid w:val="004B67DE"/>
    <w:rsid w:val="004C017C"/>
    <w:rsid w:val="004C03E7"/>
    <w:rsid w:val="004C1ACB"/>
    <w:rsid w:val="004C23F3"/>
    <w:rsid w:val="004D2B6E"/>
    <w:rsid w:val="004D3125"/>
    <w:rsid w:val="004D3EEC"/>
    <w:rsid w:val="004E5CDC"/>
    <w:rsid w:val="004F3527"/>
    <w:rsid w:val="004F3543"/>
    <w:rsid w:val="004F46A8"/>
    <w:rsid w:val="004F59BC"/>
    <w:rsid w:val="004F6D6E"/>
    <w:rsid w:val="00503415"/>
    <w:rsid w:val="00512218"/>
    <w:rsid w:val="005137D7"/>
    <w:rsid w:val="005162FD"/>
    <w:rsid w:val="005166D8"/>
    <w:rsid w:val="00520712"/>
    <w:rsid w:val="00521688"/>
    <w:rsid w:val="00521E76"/>
    <w:rsid w:val="0052276D"/>
    <w:rsid w:val="00523297"/>
    <w:rsid w:val="0052462B"/>
    <w:rsid w:val="005271BC"/>
    <w:rsid w:val="00541D81"/>
    <w:rsid w:val="005430A8"/>
    <w:rsid w:val="00552B99"/>
    <w:rsid w:val="00553775"/>
    <w:rsid w:val="00560CF7"/>
    <w:rsid w:val="0056166F"/>
    <w:rsid w:val="00564C40"/>
    <w:rsid w:val="00565957"/>
    <w:rsid w:val="00571A9F"/>
    <w:rsid w:val="00575033"/>
    <w:rsid w:val="005771BC"/>
    <w:rsid w:val="00581D1C"/>
    <w:rsid w:val="005829FA"/>
    <w:rsid w:val="005844AE"/>
    <w:rsid w:val="00595753"/>
    <w:rsid w:val="0059655D"/>
    <w:rsid w:val="005A17A2"/>
    <w:rsid w:val="005A45C5"/>
    <w:rsid w:val="005A4F39"/>
    <w:rsid w:val="005B084F"/>
    <w:rsid w:val="005B0A63"/>
    <w:rsid w:val="005B2BA6"/>
    <w:rsid w:val="005B4540"/>
    <w:rsid w:val="005C2195"/>
    <w:rsid w:val="005C538C"/>
    <w:rsid w:val="005C6A34"/>
    <w:rsid w:val="005D0A33"/>
    <w:rsid w:val="005D1C4E"/>
    <w:rsid w:val="005E0AD5"/>
    <w:rsid w:val="005E27CC"/>
    <w:rsid w:val="005E2D89"/>
    <w:rsid w:val="005E6000"/>
    <w:rsid w:val="005F2E7E"/>
    <w:rsid w:val="005F35F4"/>
    <w:rsid w:val="005F44D5"/>
    <w:rsid w:val="005F6453"/>
    <w:rsid w:val="00600545"/>
    <w:rsid w:val="006014BE"/>
    <w:rsid w:val="006016E8"/>
    <w:rsid w:val="00603AE6"/>
    <w:rsid w:val="00620488"/>
    <w:rsid w:val="00621520"/>
    <w:rsid w:val="0062362E"/>
    <w:rsid w:val="00630725"/>
    <w:rsid w:val="006357D5"/>
    <w:rsid w:val="006416B6"/>
    <w:rsid w:val="006457CD"/>
    <w:rsid w:val="00646980"/>
    <w:rsid w:val="00647049"/>
    <w:rsid w:val="00647C4E"/>
    <w:rsid w:val="0065433D"/>
    <w:rsid w:val="00657586"/>
    <w:rsid w:val="006620BC"/>
    <w:rsid w:val="006625D1"/>
    <w:rsid w:val="00662B56"/>
    <w:rsid w:val="0066334E"/>
    <w:rsid w:val="00664112"/>
    <w:rsid w:val="00666B43"/>
    <w:rsid w:val="006727FB"/>
    <w:rsid w:val="006806BF"/>
    <w:rsid w:val="00680F05"/>
    <w:rsid w:val="00686181"/>
    <w:rsid w:val="006879BB"/>
    <w:rsid w:val="00691778"/>
    <w:rsid w:val="00691CAB"/>
    <w:rsid w:val="00691DD1"/>
    <w:rsid w:val="006925B8"/>
    <w:rsid w:val="00692A65"/>
    <w:rsid w:val="00694978"/>
    <w:rsid w:val="006957EA"/>
    <w:rsid w:val="00695993"/>
    <w:rsid w:val="006A4B65"/>
    <w:rsid w:val="006A575E"/>
    <w:rsid w:val="006B00EE"/>
    <w:rsid w:val="006B1656"/>
    <w:rsid w:val="006B17BA"/>
    <w:rsid w:val="006B1E59"/>
    <w:rsid w:val="006C1B59"/>
    <w:rsid w:val="006C2049"/>
    <w:rsid w:val="006D5DBF"/>
    <w:rsid w:val="006E2A22"/>
    <w:rsid w:val="00701983"/>
    <w:rsid w:val="00703894"/>
    <w:rsid w:val="00705F5E"/>
    <w:rsid w:val="00711027"/>
    <w:rsid w:val="0071285A"/>
    <w:rsid w:val="007160E8"/>
    <w:rsid w:val="00725062"/>
    <w:rsid w:val="0072620C"/>
    <w:rsid w:val="0072666B"/>
    <w:rsid w:val="007273B2"/>
    <w:rsid w:val="00730011"/>
    <w:rsid w:val="00730029"/>
    <w:rsid w:val="00735F5A"/>
    <w:rsid w:val="00742285"/>
    <w:rsid w:val="007451E0"/>
    <w:rsid w:val="007543AC"/>
    <w:rsid w:val="00757A0D"/>
    <w:rsid w:val="00760603"/>
    <w:rsid w:val="007628D4"/>
    <w:rsid w:val="00765853"/>
    <w:rsid w:val="00765CC0"/>
    <w:rsid w:val="00766E87"/>
    <w:rsid w:val="0077051A"/>
    <w:rsid w:val="00785A9F"/>
    <w:rsid w:val="0078667D"/>
    <w:rsid w:val="00790426"/>
    <w:rsid w:val="00792820"/>
    <w:rsid w:val="00792D33"/>
    <w:rsid w:val="00793940"/>
    <w:rsid w:val="00793A14"/>
    <w:rsid w:val="007957DA"/>
    <w:rsid w:val="007959C9"/>
    <w:rsid w:val="0079769B"/>
    <w:rsid w:val="007A105F"/>
    <w:rsid w:val="007A1607"/>
    <w:rsid w:val="007A2C6A"/>
    <w:rsid w:val="007A3D8A"/>
    <w:rsid w:val="007A4752"/>
    <w:rsid w:val="007A573C"/>
    <w:rsid w:val="007A659B"/>
    <w:rsid w:val="007B0631"/>
    <w:rsid w:val="007B1038"/>
    <w:rsid w:val="007B3965"/>
    <w:rsid w:val="007B4CE4"/>
    <w:rsid w:val="007C0D81"/>
    <w:rsid w:val="007C3EE0"/>
    <w:rsid w:val="007C411D"/>
    <w:rsid w:val="007C7A1E"/>
    <w:rsid w:val="007D0A50"/>
    <w:rsid w:val="007D1F54"/>
    <w:rsid w:val="007D66F5"/>
    <w:rsid w:val="007D7EB0"/>
    <w:rsid w:val="007E1928"/>
    <w:rsid w:val="007E1CB6"/>
    <w:rsid w:val="007E4488"/>
    <w:rsid w:val="007E4DB0"/>
    <w:rsid w:val="007E54D8"/>
    <w:rsid w:val="007F16E6"/>
    <w:rsid w:val="007F49AD"/>
    <w:rsid w:val="007F6DED"/>
    <w:rsid w:val="00800E4B"/>
    <w:rsid w:val="00805BD4"/>
    <w:rsid w:val="00807999"/>
    <w:rsid w:val="00811931"/>
    <w:rsid w:val="00813688"/>
    <w:rsid w:val="008147EA"/>
    <w:rsid w:val="00814F10"/>
    <w:rsid w:val="00821C6A"/>
    <w:rsid w:val="00822865"/>
    <w:rsid w:val="00822E4F"/>
    <w:rsid w:val="00823DED"/>
    <w:rsid w:val="008245A8"/>
    <w:rsid w:val="00824781"/>
    <w:rsid w:val="0082773C"/>
    <w:rsid w:val="008325B0"/>
    <w:rsid w:val="008360FF"/>
    <w:rsid w:val="00847B7F"/>
    <w:rsid w:val="00847B99"/>
    <w:rsid w:val="00850A4B"/>
    <w:rsid w:val="00852B2F"/>
    <w:rsid w:val="008548E4"/>
    <w:rsid w:val="008553E1"/>
    <w:rsid w:val="00856BAC"/>
    <w:rsid w:val="00864414"/>
    <w:rsid w:val="00870B83"/>
    <w:rsid w:val="0087142D"/>
    <w:rsid w:val="00873D05"/>
    <w:rsid w:val="0088105A"/>
    <w:rsid w:val="00881CFD"/>
    <w:rsid w:val="0088237A"/>
    <w:rsid w:val="00883747"/>
    <w:rsid w:val="008848FB"/>
    <w:rsid w:val="00884B97"/>
    <w:rsid w:val="008919CB"/>
    <w:rsid w:val="008934D4"/>
    <w:rsid w:val="008935B9"/>
    <w:rsid w:val="00895C9F"/>
    <w:rsid w:val="0089682E"/>
    <w:rsid w:val="008A0051"/>
    <w:rsid w:val="008A0F52"/>
    <w:rsid w:val="008A1FAE"/>
    <w:rsid w:val="008A29B8"/>
    <w:rsid w:val="008B110F"/>
    <w:rsid w:val="008B379B"/>
    <w:rsid w:val="008C01DB"/>
    <w:rsid w:val="008C59D8"/>
    <w:rsid w:val="008C6B77"/>
    <w:rsid w:val="008D1483"/>
    <w:rsid w:val="008E0271"/>
    <w:rsid w:val="008E10E5"/>
    <w:rsid w:val="008E1AFE"/>
    <w:rsid w:val="008E35FC"/>
    <w:rsid w:val="008E409F"/>
    <w:rsid w:val="008E6DCF"/>
    <w:rsid w:val="008E7911"/>
    <w:rsid w:val="008F4F2A"/>
    <w:rsid w:val="008F7A91"/>
    <w:rsid w:val="0090308C"/>
    <w:rsid w:val="00906C2D"/>
    <w:rsid w:val="00907AC5"/>
    <w:rsid w:val="00911104"/>
    <w:rsid w:val="00912549"/>
    <w:rsid w:val="0092361A"/>
    <w:rsid w:val="00923A36"/>
    <w:rsid w:val="0093363C"/>
    <w:rsid w:val="009353C5"/>
    <w:rsid w:val="00935E15"/>
    <w:rsid w:val="009547CF"/>
    <w:rsid w:val="00955BE4"/>
    <w:rsid w:val="00956265"/>
    <w:rsid w:val="009606BE"/>
    <w:rsid w:val="00963577"/>
    <w:rsid w:val="00977D51"/>
    <w:rsid w:val="0098184F"/>
    <w:rsid w:val="00981B98"/>
    <w:rsid w:val="0098531A"/>
    <w:rsid w:val="0099276A"/>
    <w:rsid w:val="00992BFD"/>
    <w:rsid w:val="00992EC3"/>
    <w:rsid w:val="00993C57"/>
    <w:rsid w:val="00994BE8"/>
    <w:rsid w:val="00995421"/>
    <w:rsid w:val="009A1FEE"/>
    <w:rsid w:val="009B06A6"/>
    <w:rsid w:val="009B2A4D"/>
    <w:rsid w:val="009B3A7F"/>
    <w:rsid w:val="009B48C1"/>
    <w:rsid w:val="009C14D0"/>
    <w:rsid w:val="009C7CE9"/>
    <w:rsid w:val="009D09AC"/>
    <w:rsid w:val="009D3B3B"/>
    <w:rsid w:val="009D4112"/>
    <w:rsid w:val="009D5747"/>
    <w:rsid w:val="009D5F46"/>
    <w:rsid w:val="009E0D55"/>
    <w:rsid w:val="009E1B07"/>
    <w:rsid w:val="009F0BED"/>
    <w:rsid w:val="009F2CD9"/>
    <w:rsid w:val="00A01DBD"/>
    <w:rsid w:val="00A14FB6"/>
    <w:rsid w:val="00A20827"/>
    <w:rsid w:val="00A23053"/>
    <w:rsid w:val="00A26577"/>
    <w:rsid w:val="00A35034"/>
    <w:rsid w:val="00A559F6"/>
    <w:rsid w:val="00A57501"/>
    <w:rsid w:val="00A6031E"/>
    <w:rsid w:val="00A61AA4"/>
    <w:rsid w:val="00A61D3B"/>
    <w:rsid w:val="00A63069"/>
    <w:rsid w:val="00A713A9"/>
    <w:rsid w:val="00A7462F"/>
    <w:rsid w:val="00A747D2"/>
    <w:rsid w:val="00A74B41"/>
    <w:rsid w:val="00A8106C"/>
    <w:rsid w:val="00A83B37"/>
    <w:rsid w:val="00A84ED7"/>
    <w:rsid w:val="00A87FD5"/>
    <w:rsid w:val="00A90E8C"/>
    <w:rsid w:val="00A93BA2"/>
    <w:rsid w:val="00A943AC"/>
    <w:rsid w:val="00A97264"/>
    <w:rsid w:val="00AA561C"/>
    <w:rsid w:val="00AA5976"/>
    <w:rsid w:val="00AA6AC0"/>
    <w:rsid w:val="00AB3FB0"/>
    <w:rsid w:val="00AB7F11"/>
    <w:rsid w:val="00AC0160"/>
    <w:rsid w:val="00AC036F"/>
    <w:rsid w:val="00AC39B9"/>
    <w:rsid w:val="00AC3AA9"/>
    <w:rsid w:val="00AC5558"/>
    <w:rsid w:val="00AC5AC0"/>
    <w:rsid w:val="00AC5C85"/>
    <w:rsid w:val="00AD06D0"/>
    <w:rsid w:val="00AD1834"/>
    <w:rsid w:val="00AD1CAC"/>
    <w:rsid w:val="00AE7F70"/>
    <w:rsid w:val="00AF1F13"/>
    <w:rsid w:val="00AF52BF"/>
    <w:rsid w:val="00B01A13"/>
    <w:rsid w:val="00B067D7"/>
    <w:rsid w:val="00B10214"/>
    <w:rsid w:val="00B10AFE"/>
    <w:rsid w:val="00B1352F"/>
    <w:rsid w:val="00B15B9E"/>
    <w:rsid w:val="00B20794"/>
    <w:rsid w:val="00B22A40"/>
    <w:rsid w:val="00B23932"/>
    <w:rsid w:val="00B25F11"/>
    <w:rsid w:val="00B2636A"/>
    <w:rsid w:val="00B31B36"/>
    <w:rsid w:val="00B31D9F"/>
    <w:rsid w:val="00B371D5"/>
    <w:rsid w:val="00B4007B"/>
    <w:rsid w:val="00B42690"/>
    <w:rsid w:val="00B42DE8"/>
    <w:rsid w:val="00B45DA7"/>
    <w:rsid w:val="00B4616D"/>
    <w:rsid w:val="00B46F65"/>
    <w:rsid w:val="00B47DDA"/>
    <w:rsid w:val="00B50D5C"/>
    <w:rsid w:val="00B53EB3"/>
    <w:rsid w:val="00B614F2"/>
    <w:rsid w:val="00B62025"/>
    <w:rsid w:val="00B627E4"/>
    <w:rsid w:val="00B643D7"/>
    <w:rsid w:val="00B65EB9"/>
    <w:rsid w:val="00B66E46"/>
    <w:rsid w:val="00B7086D"/>
    <w:rsid w:val="00B74184"/>
    <w:rsid w:val="00B7542C"/>
    <w:rsid w:val="00B7555B"/>
    <w:rsid w:val="00B83B83"/>
    <w:rsid w:val="00B84630"/>
    <w:rsid w:val="00B866F7"/>
    <w:rsid w:val="00B87D03"/>
    <w:rsid w:val="00B91D57"/>
    <w:rsid w:val="00B92FBD"/>
    <w:rsid w:val="00B931C6"/>
    <w:rsid w:val="00B94AAE"/>
    <w:rsid w:val="00BA06BF"/>
    <w:rsid w:val="00BA16DE"/>
    <w:rsid w:val="00BA3417"/>
    <w:rsid w:val="00BA3485"/>
    <w:rsid w:val="00BA6BFD"/>
    <w:rsid w:val="00BA7657"/>
    <w:rsid w:val="00BB0CBF"/>
    <w:rsid w:val="00BB11D8"/>
    <w:rsid w:val="00BB224E"/>
    <w:rsid w:val="00BB23CC"/>
    <w:rsid w:val="00BB3596"/>
    <w:rsid w:val="00BB6C08"/>
    <w:rsid w:val="00BB6F83"/>
    <w:rsid w:val="00BC1053"/>
    <w:rsid w:val="00BC3C8F"/>
    <w:rsid w:val="00BC77C3"/>
    <w:rsid w:val="00BD33EA"/>
    <w:rsid w:val="00BD5886"/>
    <w:rsid w:val="00BD7122"/>
    <w:rsid w:val="00BE072F"/>
    <w:rsid w:val="00BE105A"/>
    <w:rsid w:val="00BE246C"/>
    <w:rsid w:val="00BE4A59"/>
    <w:rsid w:val="00BE4A8B"/>
    <w:rsid w:val="00BF00FB"/>
    <w:rsid w:val="00BF0699"/>
    <w:rsid w:val="00BF0846"/>
    <w:rsid w:val="00C00279"/>
    <w:rsid w:val="00C042B4"/>
    <w:rsid w:val="00C0626C"/>
    <w:rsid w:val="00C17A99"/>
    <w:rsid w:val="00C2385F"/>
    <w:rsid w:val="00C24CEA"/>
    <w:rsid w:val="00C25839"/>
    <w:rsid w:val="00C362E2"/>
    <w:rsid w:val="00C37E22"/>
    <w:rsid w:val="00C415A4"/>
    <w:rsid w:val="00C42DBC"/>
    <w:rsid w:val="00C51CFB"/>
    <w:rsid w:val="00C527D2"/>
    <w:rsid w:val="00C5283C"/>
    <w:rsid w:val="00C5333A"/>
    <w:rsid w:val="00C53EE3"/>
    <w:rsid w:val="00C54F7B"/>
    <w:rsid w:val="00C5515E"/>
    <w:rsid w:val="00C61682"/>
    <w:rsid w:val="00C618DD"/>
    <w:rsid w:val="00C645D8"/>
    <w:rsid w:val="00C655EE"/>
    <w:rsid w:val="00C7248E"/>
    <w:rsid w:val="00C725FC"/>
    <w:rsid w:val="00C75039"/>
    <w:rsid w:val="00C75286"/>
    <w:rsid w:val="00C86EBD"/>
    <w:rsid w:val="00C87E3B"/>
    <w:rsid w:val="00C9659C"/>
    <w:rsid w:val="00C97C76"/>
    <w:rsid w:val="00CA15B9"/>
    <w:rsid w:val="00CA3F6B"/>
    <w:rsid w:val="00CA4C1F"/>
    <w:rsid w:val="00CA7EB3"/>
    <w:rsid w:val="00CB0584"/>
    <w:rsid w:val="00CB0C4B"/>
    <w:rsid w:val="00CB2B20"/>
    <w:rsid w:val="00CB3D4C"/>
    <w:rsid w:val="00CB53B5"/>
    <w:rsid w:val="00CC01DB"/>
    <w:rsid w:val="00CC135E"/>
    <w:rsid w:val="00CC3D1D"/>
    <w:rsid w:val="00CC63F7"/>
    <w:rsid w:val="00CC7525"/>
    <w:rsid w:val="00CC7714"/>
    <w:rsid w:val="00CD14B0"/>
    <w:rsid w:val="00CD2EE8"/>
    <w:rsid w:val="00CD3981"/>
    <w:rsid w:val="00CD426F"/>
    <w:rsid w:val="00CD606C"/>
    <w:rsid w:val="00CE2AA0"/>
    <w:rsid w:val="00CE5CB6"/>
    <w:rsid w:val="00CE6860"/>
    <w:rsid w:val="00CF0739"/>
    <w:rsid w:val="00CF2A6B"/>
    <w:rsid w:val="00CF755E"/>
    <w:rsid w:val="00D008A6"/>
    <w:rsid w:val="00D035B8"/>
    <w:rsid w:val="00D05202"/>
    <w:rsid w:val="00D06072"/>
    <w:rsid w:val="00D06CD3"/>
    <w:rsid w:val="00D1074C"/>
    <w:rsid w:val="00D12B6D"/>
    <w:rsid w:val="00D1308C"/>
    <w:rsid w:val="00D154BB"/>
    <w:rsid w:val="00D16170"/>
    <w:rsid w:val="00D21979"/>
    <w:rsid w:val="00D25A2F"/>
    <w:rsid w:val="00D25F70"/>
    <w:rsid w:val="00D26679"/>
    <w:rsid w:val="00D35B36"/>
    <w:rsid w:val="00D400CE"/>
    <w:rsid w:val="00D40A8C"/>
    <w:rsid w:val="00D40E1B"/>
    <w:rsid w:val="00D43A11"/>
    <w:rsid w:val="00D52CBA"/>
    <w:rsid w:val="00D558DC"/>
    <w:rsid w:val="00D5609E"/>
    <w:rsid w:val="00D565FB"/>
    <w:rsid w:val="00D64D91"/>
    <w:rsid w:val="00D66244"/>
    <w:rsid w:val="00D675CB"/>
    <w:rsid w:val="00D709A5"/>
    <w:rsid w:val="00D709D4"/>
    <w:rsid w:val="00D70E75"/>
    <w:rsid w:val="00D73629"/>
    <w:rsid w:val="00D746C1"/>
    <w:rsid w:val="00D74784"/>
    <w:rsid w:val="00D757D4"/>
    <w:rsid w:val="00D80CF9"/>
    <w:rsid w:val="00D81E05"/>
    <w:rsid w:val="00D84C6E"/>
    <w:rsid w:val="00D873FD"/>
    <w:rsid w:val="00D916AB"/>
    <w:rsid w:val="00D92A60"/>
    <w:rsid w:val="00D931D0"/>
    <w:rsid w:val="00D96BD8"/>
    <w:rsid w:val="00D96FB7"/>
    <w:rsid w:val="00DA1651"/>
    <w:rsid w:val="00DB04D6"/>
    <w:rsid w:val="00DB1BA1"/>
    <w:rsid w:val="00DB48C3"/>
    <w:rsid w:val="00DB4B2F"/>
    <w:rsid w:val="00DB7087"/>
    <w:rsid w:val="00DB71DC"/>
    <w:rsid w:val="00DB787D"/>
    <w:rsid w:val="00DC4294"/>
    <w:rsid w:val="00DC431C"/>
    <w:rsid w:val="00DC4487"/>
    <w:rsid w:val="00DD25F3"/>
    <w:rsid w:val="00DD4241"/>
    <w:rsid w:val="00DD47A4"/>
    <w:rsid w:val="00DD6188"/>
    <w:rsid w:val="00DD73B0"/>
    <w:rsid w:val="00DE1DA5"/>
    <w:rsid w:val="00DE50C9"/>
    <w:rsid w:val="00DF3312"/>
    <w:rsid w:val="00DF3753"/>
    <w:rsid w:val="00DF4249"/>
    <w:rsid w:val="00DF78E9"/>
    <w:rsid w:val="00E00774"/>
    <w:rsid w:val="00E00C69"/>
    <w:rsid w:val="00E07021"/>
    <w:rsid w:val="00E0724F"/>
    <w:rsid w:val="00E07FBB"/>
    <w:rsid w:val="00E1015F"/>
    <w:rsid w:val="00E13447"/>
    <w:rsid w:val="00E26E9E"/>
    <w:rsid w:val="00E27E8F"/>
    <w:rsid w:val="00E43DA5"/>
    <w:rsid w:val="00E5211E"/>
    <w:rsid w:val="00E54BE8"/>
    <w:rsid w:val="00E560B6"/>
    <w:rsid w:val="00E612CC"/>
    <w:rsid w:val="00E61AFB"/>
    <w:rsid w:val="00E63F34"/>
    <w:rsid w:val="00E6510D"/>
    <w:rsid w:val="00E666D0"/>
    <w:rsid w:val="00E6719D"/>
    <w:rsid w:val="00E674D4"/>
    <w:rsid w:val="00E70C29"/>
    <w:rsid w:val="00E73C8F"/>
    <w:rsid w:val="00E74216"/>
    <w:rsid w:val="00E76F82"/>
    <w:rsid w:val="00E85753"/>
    <w:rsid w:val="00E87081"/>
    <w:rsid w:val="00E90B5A"/>
    <w:rsid w:val="00E90D4B"/>
    <w:rsid w:val="00E94EC3"/>
    <w:rsid w:val="00E970E3"/>
    <w:rsid w:val="00E97926"/>
    <w:rsid w:val="00E97ED8"/>
    <w:rsid w:val="00EA0E0A"/>
    <w:rsid w:val="00EA0EDC"/>
    <w:rsid w:val="00EA4C9C"/>
    <w:rsid w:val="00EB0119"/>
    <w:rsid w:val="00EB0433"/>
    <w:rsid w:val="00EB1130"/>
    <w:rsid w:val="00EB64F5"/>
    <w:rsid w:val="00EC30B4"/>
    <w:rsid w:val="00EC5F05"/>
    <w:rsid w:val="00EC6A09"/>
    <w:rsid w:val="00ED26C6"/>
    <w:rsid w:val="00ED5245"/>
    <w:rsid w:val="00ED6DA5"/>
    <w:rsid w:val="00EE7194"/>
    <w:rsid w:val="00EE7CBF"/>
    <w:rsid w:val="00EF075C"/>
    <w:rsid w:val="00EF43C7"/>
    <w:rsid w:val="00EF4C06"/>
    <w:rsid w:val="00EF4F5B"/>
    <w:rsid w:val="00F022FC"/>
    <w:rsid w:val="00F028BF"/>
    <w:rsid w:val="00F04A53"/>
    <w:rsid w:val="00F05FCA"/>
    <w:rsid w:val="00F12751"/>
    <w:rsid w:val="00F12935"/>
    <w:rsid w:val="00F15A7C"/>
    <w:rsid w:val="00F15F41"/>
    <w:rsid w:val="00F1724A"/>
    <w:rsid w:val="00F17B3C"/>
    <w:rsid w:val="00F27365"/>
    <w:rsid w:val="00F307B2"/>
    <w:rsid w:val="00F31275"/>
    <w:rsid w:val="00F31B5C"/>
    <w:rsid w:val="00F321C5"/>
    <w:rsid w:val="00F356E8"/>
    <w:rsid w:val="00F3605C"/>
    <w:rsid w:val="00F36BE0"/>
    <w:rsid w:val="00F3712F"/>
    <w:rsid w:val="00F427F7"/>
    <w:rsid w:val="00F43482"/>
    <w:rsid w:val="00F437C8"/>
    <w:rsid w:val="00F43987"/>
    <w:rsid w:val="00F44995"/>
    <w:rsid w:val="00F54E6B"/>
    <w:rsid w:val="00F566B1"/>
    <w:rsid w:val="00F57D1C"/>
    <w:rsid w:val="00F60CC9"/>
    <w:rsid w:val="00F710F2"/>
    <w:rsid w:val="00F732B5"/>
    <w:rsid w:val="00F753E1"/>
    <w:rsid w:val="00F77416"/>
    <w:rsid w:val="00F822A0"/>
    <w:rsid w:val="00F8533F"/>
    <w:rsid w:val="00F86F43"/>
    <w:rsid w:val="00F93ED5"/>
    <w:rsid w:val="00F94595"/>
    <w:rsid w:val="00F9459E"/>
    <w:rsid w:val="00F949D4"/>
    <w:rsid w:val="00F95976"/>
    <w:rsid w:val="00F96F3C"/>
    <w:rsid w:val="00FA082F"/>
    <w:rsid w:val="00FA1148"/>
    <w:rsid w:val="00FA5A2D"/>
    <w:rsid w:val="00FA67C0"/>
    <w:rsid w:val="00FA6B33"/>
    <w:rsid w:val="00FA748F"/>
    <w:rsid w:val="00FC1090"/>
    <w:rsid w:val="00FC5BAF"/>
    <w:rsid w:val="00FC64F8"/>
    <w:rsid w:val="00FD043D"/>
    <w:rsid w:val="00FD088A"/>
    <w:rsid w:val="00FD296F"/>
    <w:rsid w:val="00FE14F8"/>
    <w:rsid w:val="00FE2BA7"/>
    <w:rsid w:val="00FE6220"/>
    <w:rsid w:val="00FE6283"/>
    <w:rsid w:val="00FE699B"/>
    <w:rsid w:val="00FF05CF"/>
    <w:rsid w:val="00FF4EDC"/>
    <w:rsid w:val="00FF61F6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A19506F"/>
  <w15:docId w15:val="{E7EE1FB1-414F-4BD2-9DA3-85B6DE29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8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8618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68618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68618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68618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68618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6181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86181"/>
    <w:rPr>
      <w:snapToGrid w:val="0"/>
      <w:sz w:val="20"/>
      <w:szCs w:val="20"/>
    </w:rPr>
  </w:style>
  <w:style w:type="character" w:styleId="FootnoteReference">
    <w:name w:val="footnote reference"/>
    <w:semiHidden/>
    <w:rsid w:val="00686181"/>
    <w:rPr>
      <w:vertAlign w:val="superscript"/>
    </w:rPr>
  </w:style>
  <w:style w:type="paragraph" w:styleId="BodyText">
    <w:name w:val="Body Text"/>
    <w:basedOn w:val="Normal"/>
    <w:semiHidden/>
    <w:rsid w:val="0068618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68618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68618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686181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customStyle="1" w:styleId="FootnoteTextChar">
    <w:name w:val="Footnote Text Char"/>
    <w:link w:val="FootnoteText"/>
    <w:semiHidden/>
    <w:rsid w:val="00F3712F"/>
    <w:rPr>
      <w:rFonts w:cs="Traditional Arabic"/>
      <w:snapToGrid/>
    </w:rPr>
  </w:style>
  <w:style w:type="table" w:styleId="TableGrid">
    <w:name w:val="Table Grid"/>
    <w:basedOn w:val="TableNormal"/>
    <w:uiPriority w:val="39"/>
    <w:rsid w:val="00A230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643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84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C75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1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1D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1DB"/>
    <w:rPr>
      <w:b/>
      <w:bCs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1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1DB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C01DB"/>
    <w:rPr>
      <w:vertAlign w:val="superscript"/>
    </w:rPr>
  </w:style>
  <w:style w:type="paragraph" w:styleId="Revision">
    <w:name w:val="Revision"/>
    <w:hidden/>
    <w:uiPriority w:val="99"/>
    <w:semiHidden/>
    <w:rsid w:val="00603AE6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5223C"/>
    <w:pPr>
      <w:bidi w:val="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738259132702751"/>
          <c:y val="8.2304526748971207E-2"/>
          <c:w val="0.67609171495072551"/>
          <c:h val="0.62476819931187522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التضخم في فلسطين</c:v>
                </c:pt>
              </c:strCache>
            </c:strRef>
          </c:tx>
          <c:spPr>
            <a:ln w="10878">
              <a:solidFill>
                <a:srgbClr val="00008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1"/>
              <c:layout>
                <c:manualLayout>
                  <c:x val="-5.9867436390848856E-2"/>
                  <c:y val="-7.5406460116959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F5-4768-AF3F-DF31212316BE}"/>
                </c:ext>
              </c:extLst>
            </c:dLbl>
            <c:dLbl>
              <c:idx val="4"/>
              <c:layout>
                <c:manualLayout>
                  <c:x val="-7.2696172760316438E-2"/>
                  <c:y val="5.6554845087719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F5-4768-AF3F-DF31212316BE}"/>
                </c:ext>
              </c:extLst>
            </c:dLbl>
            <c:dLbl>
              <c:idx val="5"/>
              <c:layout>
                <c:manualLayout>
                  <c:x val="-6.4143681847338069E-2"/>
                  <c:y val="-7.5406460116959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F5-4768-AF3F-DF31212316BE}"/>
                </c:ext>
              </c:extLst>
            </c:dLbl>
            <c:dLbl>
              <c:idx val="9"/>
              <c:layout>
                <c:manualLayout>
                  <c:x val="-8.1248663673294863E-2"/>
                  <c:y val="-6.2838716764132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F5-4768-AF3F-DF31212316BE}"/>
                </c:ext>
              </c:extLst>
            </c:dLbl>
            <c:dLbl>
              <c:idx val="10"/>
              <c:layout>
                <c:manualLayout>
                  <c:x val="0"/>
                  <c:y val="5.027097341130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F5-4768-AF3F-DF31212316BE}"/>
                </c:ext>
              </c:extLst>
            </c:dLbl>
            <c:dLbl>
              <c:idx val="1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DF-43F9-869A-249185B370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Sheet1!$B$1:$M$1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Sheet1!$B$2:$M$2</c:f>
              <c:numCache>
                <c:formatCode>0.00%</c:formatCode>
                <c:ptCount val="12"/>
                <c:pt idx="0">
                  <c:v>7.7999999999999996E-3</c:v>
                </c:pt>
                <c:pt idx="1">
                  <c:v>1.4800000000000001E-2</c:v>
                </c:pt>
                <c:pt idx="2">
                  <c:v>1.21E-2</c:v>
                </c:pt>
                <c:pt idx="3">
                  <c:v>1.6199999999999999E-2</c:v>
                </c:pt>
                <c:pt idx="4">
                  <c:v>-1.1702741605752132E-2</c:v>
                </c:pt>
                <c:pt idx="5">
                  <c:v>1.0523461850728354E-2</c:v>
                </c:pt>
                <c:pt idx="6">
                  <c:v>1.1123799878835427E-3</c:v>
                </c:pt>
                <c:pt idx="7">
                  <c:v>-1.0193081259541258E-3</c:v>
                </c:pt>
                <c:pt idx="8">
                  <c:v>1.2076920182650497E-2</c:v>
                </c:pt>
                <c:pt idx="9">
                  <c:v>7.41735679354521E-2</c:v>
                </c:pt>
                <c:pt idx="10">
                  <c:v>3.2199999999999999E-2</c:v>
                </c:pt>
                <c:pt idx="11">
                  <c:v>0.1593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6F5-4768-AF3F-DF3121231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388352"/>
        <c:axId val="137919488"/>
      </c:lineChart>
      <c:catAx>
        <c:axId val="134388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 rtl="0">
              <a:defRPr/>
            </a:pPr>
            <a:endParaRPr lang="ar-SA"/>
          </a:p>
        </c:txPr>
        <c:crossAx val="137919488"/>
        <c:crosses val="autoZero"/>
        <c:auto val="1"/>
        <c:lblAlgn val="ctr"/>
        <c:lblOffset val="700"/>
        <c:tickLblSkip val="1"/>
        <c:tickMarkSkip val="1"/>
        <c:noMultiLvlLbl val="0"/>
      </c:catAx>
      <c:valAx>
        <c:axId val="137919488"/>
        <c:scaling>
          <c:orientation val="minMax"/>
          <c:max val="0.17"/>
          <c:min val="-2.0000000000000052E-2"/>
        </c:scaling>
        <c:delete val="0"/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 sz="900"/>
                  <a:t>نسب التغّير السنوية</a:t>
                </a:r>
              </a:p>
            </c:rich>
          </c:tx>
          <c:layout>
            <c:manualLayout>
              <c:xMode val="edge"/>
              <c:yMode val="edge"/>
              <c:x val="2.9835398221149258E-2"/>
              <c:y val="0.20865250894549559"/>
            </c:manualLayout>
          </c:layout>
          <c:overlay val="0"/>
          <c:spPr>
            <a:noFill/>
            <a:ln w="21758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34388352"/>
        <c:crosses val="autoZero"/>
        <c:crossBetween val="midCat"/>
        <c:majorUnit val="2.0000000000000052E-2"/>
      </c:valAx>
      <c:spPr>
        <a:noFill/>
        <a:ln w="21758">
          <a:noFill/>
        </a:ln>
      </c:spPr>
    </c:plotArea>
    <c:plotVisOnly val="1"/>
    <c:dispBlanksAs val="gap"/>
    <c:showDLblsOverMax val="0"/>
  </c:chart>
  <c:spPr>
    <a:noFill/>
    <a:ln w="15875" cap="flat" cmpd="sng" algn="ctr">
      <a:solidFill>
        <a:schemeClr val="tx1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28" b="0" i="0" u="none" strike="noStrike" baseline="0">
          <a:solidFill>
            <a:srgbClr val="000000"/>
          </a:solidFill>
          <a:latin typeface="Arial" pitchFamily="34" charset="0"/>
          <a:ea typeface="Calibri"/>
          <a:cs typeface="Arial" pitchFamily="34" charset="0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20B0-AAEF-4744-BE94-23D3E8F6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الجملة</vt:lpstr>
    </vt:vector>
  </TitlesOfParts>
  <Company/>
  <LinksUpToDate>false</LinksUpToDate>
  <CharactersWithSpaces>2701</CharactersWithSpaces>
  <SharedDoc>false</SharedDoc>
  <HLinks>
    <vt:vector size="12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24610</vt:i4>
      </vt:variant>
      <vt:variant>
        <vt:i4>1027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الجملة</dc:title>
  <dc:creator>kakhalid</dc:creator>
  <cp:lastModifiedBy>Hadeel Badran</cp:lastModifiedBy>
  <cp:revision>3</cp:revision>
  <cp:lastPrinted>2025-01-15T10:38:00Z</cp:lastPrinted>
  <dcterms:created xsi:type="dcterms:W3CDTF">2025-01-19T07:09:00Z</dcterms:created>
  <dcterms:modified xsi:type="dcterms:W3CDTF">2025-01-19T07:17:00Z</dcterms:modified>
</cp:coreProperties>
</file>