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3C" w:rsidRDefault="0032523C" w:rsidP="0032523C">
      <w:pPr>
        <w:jc w:val="both"/>
        <w:rPr>
          <w:rFonts w:cs="Simplified Arabic" w:hint="cs"/>
          <w:b/>
          <w:bCs/>
          <w:color w:val="000000" w:themeColor="text1"/>
          <w:sz w:val="24"/>
          <w:szCs w:val="24"/>
          <w:rtl/>
        </w:rPr>
      </w:pPr>
    </w:p>
    <w:p w:rsidR="0032523C" w:rsidRDefault="0032523C" w:rsidP="0032523C">
      <w:pPr>
        <w:jc w:val="both"/>
        <w:rPr>
          <w:rFonts w:cs="Simplified Arabic"/>
          <w:b/>
          <w:bCs/>
          <w:color w:val="000000" w:themeColor="text1"/>
          <w:sz w:val="24"/>
          <w:szCs w:val="24"/>
          <w:rtl/>
        </w:rPr>
      </w:pPr>
    </w:p>
    <w:p w:rsidR="00C55EA2" w:rsidRDefault="0032523C" w:rsidP="0032523C">
      <w:pPr>
        <w:jc w:val="center"/>
        <w:rPr>
          <w:rFonts w:cs="Simplified Arabic"/>
          <w:b/>
          <w:bCs/>
          <w:color w:val="000000" w:themeColor="text1"/>
          <w:sz w:val="32"/>
          <w:szCs w:val="32"/>
          <w:rtl/>
        </w:rPr>
      </w:pPr>
      <w:r w:rsidRPr="00C55EA2">
        <w:rPr>
          <w:rFonts w:cs="Simplified Arabic" w:hint="cs"/>
          <w:b/>
          <w:bCs/>
          <w:color w:val="000000" w:themeColor="text1"/>
          <w:sz w:val="32"/>
          <w:szCs w:val="32"/>
          <w:rtl/>
        </w:rPr>
        <w:t xml:space="preserve">الاحصاء الفلسطيني وبالتعاون مع وزارة السياحة والاثآر يصدران بياناً صحفياً </w:t>
      </w:r>
    </w:p>
    <w:p w:rsidR="0032523C" w:rsidRPr="00C55EA2" w:rsidRDefault="0032523C" w:rsidP="00832D7C">
      <w:pPr>
        <w:jc w:val="center"/>
        <w:rPr>
          <w:rFonts w:cs="Simplified Arabic"/>
          <w:b/>
          <w:bCs/>
          <w:color w:val="000000" w:themeColor="text1"/>
          <w:sz w:val="32"/>
          <w:szCs w:val="32"/>
          <w:rtl/>
        </w:rPr>
      </w:pPr>
      <w:r w:rsidRPr="00C55EA2">
        <w:rPr>
          <w:rFonts w:cs="Simplified Arabic" w:hint="cs"/>
          <w:b/>
          <w:bCs/>
          <w:color w:val="000000" w:themeColor="text1"/>
          <w:sz w:val="32"/>
          <w:szCs w:val="32"/>
          <w:rtl/>
        </w:rPr>
        <w:t>بمناسبة اليوم العالمي للسياحة</w:t>
      </w:r>
      <w:r w:rsidR="00C55EA2" w:rsidRPr="00C55EA2">
        <w:rPr>
          <w:rFonts w:cs="Simplified Arabic" w:hint="cs"/>
          <w:b/>
          <w:bCs/>
          <w:color w:val="000000" w:themeColor="text1"/>
          <w:sz w:val="32"/>
          <w:szCs w:val="32"/>
          <w:rtl/>
        </w:rPr>
        <w:t>، 27/</w:t>
      </w:r>
      <w:r w:rsidR="00832D7C">
        <w:rPr>
          <w:rFonts w:cs="Simplified Arabic" w:hint="cs"/>
          <w:b/>
          <w:bCs/>
          <w:color w:val="000000" w:themeColor="text1"/>
          <w:sz w:val="32"/>
          <w:szCs w:val="32"/>
          <w:rtl/>
        </w:rPr>
        <w:t>09</w:t>
      </w:r>
      <w:r w:rsidR="00C55EA2" w:rsidRPr="00C55EA2">
        <w:rPr>
          <w:rFonts w:cs="Simplified Arabic" w:hint="cs"/>
          <w:b/>
          <w:bCs/>
          <w:color w:val="000000" w:themeColor="text1"/>
          <w:sz w:val="32"/>
          <w:szCs w:val="32"/>
          <w:rtl/>
        </w:rPr>
        <w:t>/2016</w:t>
      </w:r>
    </w:p>
    <w:p w:rsidR="0032523C" w:rsidRPr="0032523C" w:rsidRDefault="0032523C" w:rsidP="0032523C">
      <w:pPr>
        <w:tabs>
          <w:tab w:val="left" w:pos="255"/>
        </w:tabs>
        <w:jc w:val="both"/>
        <w:rPr>
          <w:rFonts w:cs="Simplified Arabic"/>
          <w:b/>
          <w:bCs/>
          <w:color w:val="000000" w:themeColor="text1"/>
          <w:sz w:val="16"/>
          <w:szCs w:val="16"/>
          <w:rtl/>
        </w:rPr>
      </w:pPr>
      <w:r>
        <w:rPr>
          <w:rFonts w:cs="Simplified Arabic"/>
          <w:b/>
          <w:bCs/>
          <w:color w:val="000000" w:themeColor="text1"/>
          <w:sz w:val="28"/>
          <w:szCs w:val="28"/>
          <w:rtl/>
        </w:rPr>
        <w:tab/>
      </w:r>
    </w:p>
    <w:p w:rsidR="0032523C" w:rsidRDefault="0032523C" w:rsidP="00C55EA2">
      <w:pPr>
        <w:jc w:val="center"/>
        <w:rPr>
          <w:rFonts w:cs="Simplified Arabic"/>
          <w:b/>
          <w:bCs/>
          <w:color w:val="000000" w:themeColor="text1"/>
          <w:sz w:val="28"/>
          <w:szCs w:val="28"/>
          <w:rtl/>
        </w:rPr>
      </w:pPr>
      <w:r w:rsidRPr="00C55EA2">
        <w:rPr>
          <w:rFonts w:cs="Simplified Arabic" w:hint="cs"/>
          <w:b/>
          <w:bCs/>
          <w:color w:val="000000" w:themeColor="text1"/>
          <w:sz w:val="28"/>
          <w:szCs w:val="28"/>
          <w:rtl/>
        </w:rPr>
        <w:t>أكثر من 2 مليون زيارة للمواقع السياحية في الضفة الغربية خلال النصف الأول من العام 2016</w:t>
      </w:r>
    </w:p>
    <w:p w:rsidR="00C55EA2" w:rsidRPr="00C55EA2" w:rsidRDefault="00C55EA2" w:rsidP="00C55EA2">
      <w:pPr>
        <w:jc w:val="center"/>
        <w:rPr>
          <w:rFonts w:cs="Simplified Arabic"/>
          <w:b/>
          <w:bCs/>
          <w:color w:val="000000" w:themeColor="text1"/>
          <w:sz w:val="28"/>
          <w:szCs w:val="28"/>
          <w:rtl/>
        </w:rPr>
      </w:pPr>
    </w:p>
    <w:p w:rsidR="0032523C" w:rsidRPr="004416B4" w:rsidRDefault="0032523C" w:rsidP="0032523C">
      <w:pPr>
        <w:jc w:val="both"/>
        <w:rPr>
          <w:rFonts w:cs="Simplified Arabic"/>
          <w:b/>
          <w:bCs/>
          <w:color w:val="000000" w:themeColor="text1"/>
          <w:sz w:val="24"/>
          <w:szCs w:val="24"/>
          <w:rtl/>
        </w:rPr>
      </w:pPr>
      <w:r w:rsidRPr="004416B4">
        <w:rPr>
          <w:rFonts w:ascii="Arabic11 BT" w:hAnsi="Arabic11 BT" w:cs="Simplified Arabic" w:hint="cs"/>
          <w:color w:val="000000" w:themeColor="text1"/>
          <w:sz w:val="24"/>
          <w:szCs w:val="24"/>
          <w:rtl/>
        </w:rPr>
        <w:t xml:space="preserve">أصدر الجهاز المركزي للإحصاء الفلسطيني وبالتعاون مع وزارة السياحة والآثار الفلسطينية بياناً صحفياً بمناسبة اليوم العالمي للسياحة والذي يصادف يوم 27 أيلول من </w:t>
      </w:r>
      <w:r w:rsidRPr="004416B4">
        <w:rPr>
          <w:rFonts w:ascii="Arabic11 BT" w:hAnsi="Arabic11 BT" w:cs="Simplified Arabic"/>
          <w:color w:val="000000" w:themeColor="text1"/>
          <w:sz w:val="24"/>
          <w:szCs w:val="24"/>
          <w:rtl/>
        </w:rPr>
        <w:t>كل عام.</w:t>
      </w:r>
      <w:r w:rsidRPr="004416B4">
        <w:rPr>
          <w:rFonts w:ascii="Arabic11 BT" w:hAnsi="Arabic11 BT" w:cs="Simplified Arabic" w:hint="cs"/>
          <w:color w:val="000000" w:themeColor="text1"/>
          <w:sz w:val="24"/>
          <w:szCs w:val="24"/>
          <w:rtl/>
        </w:rPr>
        <w:t xml:space="preserve">  وبهذه المناسبة، تم استعراض أبرز المؤشرات السياحية في فلسطين</w:t>
      </w:r>
      <w:r w:rsidRPr="004416B4">
        <w:rPr>
          <w:rFonts w:cs="Simplified Arabic" w:hint="cs"/>
          <w:b/>
          <w:bCs/>
          <w:color w:val="000000" w:themeColor="text1"/>
          <w:sz w:val="24"/>
          <w:szCs w:val="24"/>
          <w:rtl/>
        </w:rPr>
        <w:t>.</w:t>
      </w:r>
    </w:p>
    <w:p w:rsidR="0032523C" w:rsidRPr="0032523C" w:rsidRDefault="0032523C" w:rsidP="0032523C">
      <w:pPr>
        <w:jc w:val="both"/>
        <w:rPr>
          <w:rFonts w:cs="Simplified Arabic"/>
          <w:b/>
          <w:bCs/>
          <w:color w:val="000000" w:themeColor="text1"/>
          <w:sz w:val="16"/>
          <w:szCs w:val="16"/>
          <w:rtl/>
        </w:rPr>
      </w:pPr>
    </w:p>
    <w:p w:rsidR="0032523C" w:rsidRDefault="0032523C" w:rsidP="0032523C">
      <w:pPr>
        <w:jc w:val="both"/>
        <w:rPr>
          <w:rFonts w:cs="Simplified Arabic"/>
          <w:color w:val="000000" w:themeColor="text1"/>
          <w:sz w:val="24"/>
          <w:szCs w:val="24"/>
          <w:rtl/>
        </w:rPr>
      </w:pPr>
      <w:r w:rsidRPr="00087589">
        <w:rPr>
          <w:rFonts w:ascii="Simplified Arabic" w:hAnsi="Simplified Arabic" w:cs="Simplified Arabic" w:hint="cs"/>
          <w:color w:val="000000" w:themeColor="text1"/>
          <w:sz w:val="24"/>
          <w:szCs w:val="24"/>
          <w:rtl/>
        </w:rPr>
        <w:t xml:space="preserve">شهدت المواقع السياحية في الضفة الغربية خلال النصف الأول من العام </w:t>
      </w:r>
      <w:r>
        <w:rPr>
          <w:rFonts w:ascii="Simplified Arabic" w:hAnsi="Simplified Arabic" w:cs="Simplified Arabic" w:hint="cs"/>
          <w:color w:val="000000" w:themeColor="text1"/>
          <w:sz w:val="24"/>
          <w:szCs w:val="24"/>
          <w:rtl/>
        </w:rPr>
        <w:t>2016</w:t>
      </w:r>
      <w:r w:rsidRPr="00087589">
        <w:rPr>
          <w:rFonts w:ascii="Simplified Arabic" w:hAnsi="Simplified Arabic" w:cs="Simplified Arabic" w:hint="cs"/>
          <w:color w:val="000000" w:themeColor="text1"/>
          <w:sz w:val="24"/>
          <w:szCs w:val="24"/>
          <w:rtl/>
        </w:rPr>
        <w:t xml:space="preserve"> </w:t>
      </w:r>
      <w:r w:rsidRPr="00087589">
        <w:rPr>
          <w:rFonts w:ascii="Simplified Arabic" w:hAnsi="Simplified Arabic" w:cs="Simplified Arabic"/>
          <w:color w:val="000000" w:themeColor="text1"/>
          <w:sz w:val="24"/>
          <w:szCs w:val="24"/>
          <w:rtl/>
        </w:rPr>
        <w:t xml:space="preserve">حركة زوار </w:t>
      </w:r>
      <w:r>
        <w:rPr>
          <w:rFonts w:ascii="Simplified Arabic" w:hAnsi="Simplified Arabic" w:cs="Simplified Arabic" w:hint="cs"/>
          <w:color w:val="000000" w:themeColor="text1"/>
          <w:sz w:val="24"/>
          <w:szCs w:val="24"/>
          <w:rtl/>
        </w:rPr>
        <w:t>وافدين ومحليين نتج عنها 2.07</w:t>
      </w:r>
      <w:r w:rsidRPr="00087589">
        <w:rPr>
          <w:rFonts w:ascii="Simplified Arabic" w:hAnsi="Simplified Arabic" w:cs="Simplified Arabic"/>
          <w:color w:val="000000" w:themeColor="text1"/>
          <w:sz w:val="24"/>
          <w:szCs w:val="24"/>
          <w:rtl/>
        </w:rPr>
        <w:t xml:space="preserve"> </w:t>
      </w:r>
      <w:r w:rsidRPr="00087589">
        <w:rPr>
          <w:rFonts w:ascii="Simplified Arabic" w:hAnsi="Simplified Arabic" w:cs="Simplified Arabic" w:hint="cs"/>
          <w:color w:val="000000" w:themeColor="text1"/>
          <w:sz w:val="24"/>
          <w:szCs w:val="24"/>
          <w:rtl/>
        </w:rPr>
        <w:t xml:space="preserve">مليون </w:t>
      </w:r>
      <w:r>
        <w:rPr>
          <w:rFonts w:ascii="Simplified Arabic" w:hAnsi="Simplified Arabic" w:cs="Simplified Arabic" w:hint="cs"/>
          <w:color w:val="000000" w:themeColor="text1"/>
          <w:sz w:val="24"/>
          <w:szCs w:val="24"/>
          <w:rtl/>
        </w:rPr>
        <w:t>زيارة</w:t>
      </w:r>
      <w:r w:rsidRPr="00087589">
        <w:rPr>
          <w:rFonts w:ascii="Simplified Arabic" w:hAnsi="Simplified Arabic" w:cs="Simplified Arabic"/>
          <w:color w:val="000000" w:themeColor="text1"/>
          <w:sz w:val="24"/>
          <w:szCs w:val="24"/>
          <w:rtl/>
        </w:rPr>
        <w:t xml:space="preserve"> الى </w:t>
      </w:r>
      <w:r w:rsidRPr="00087589">
        <w:rPr>
          <w:rFonts w:ascii="Simplified Arabic" w:hAnsi="Simplified Arabic" w:cs="Simplified Arabic" w:hint="cs"/>
          <w:color w:val="000000" w:themeColor="text1"/>
          <w:sz w:val="24"/>
          <w:szCs w:val="24"/>
          <w:rtl/>
        </w:rPr>
        <w:t>المواقع السياحية و</w:t>
      </w:r>
      <w:r w:rsidRPr="00087589">
        <w:rPr>
          <w:rFonts w:ascii="Simplified Arabic" w:hAnsi="Simplified Arabic" w:cs="Simplified Arabic"/>
          <w:color w:val="000000" w:themeColor="text1"/>
          <w:sz w:val="24"/>
          <w:szCs w:val="24"/>
          <w:rtl/>
        </w:rPr>
        <w:t>الحدائق والمتنزهات</w:t>
      </w:r>
      <w:r w:rsidRPr="00087589">
        <w:rPr>
          <w:rFonts w:ascii="Simplified Arabic" w:hAnsi="Simplified Arabic" w:cs="Simplified Arabic" w:hint="cs"/>
          <w:color w:val="000000" w:themeColor="text1"/>
          <w:sz w:val="24"/>
          <w:szCs w:val="24"/>
          <w:rtl/>
        </w:rPr>
        <w:t xml:space="preserve"> المختلفة</w:t>
      </w:r>
      <w:r>
        <w:rPr>
          <w:rFonts w:ascii="Simplified Arabic" w:hAnsi="Simplified Arabic" w:cs="Simplified Arabic" w:hint="cs"/>
          <w:color w:val="000000" w:themeColor="text1"/>
          <w:sz w:val="24"/>
          <w:szCs w:val="24"/>
          <w:rtl/>
        </w:rPr>
        <w:t xml:space="preserve">  منها </w:t>
      </w:r>
      <w:r>
        <w:rPr>
          <w:rFonts w:ascii="Simplified Arabic" w:hAnsi="Simplified Arabic" w:cs="Simplified Arabic"/>
          <w:color w:val="000000" w:themeColor="text1"/>
          <w:sz w:val="24"/>
          <w:szCs w:val="24"/>
        </w:rPr>
        <w:t>952</w:t>
      </w:r>
      <w:r>
        <w:rPr>
          <w:rFonts w:ascii="Simplified Arabic" w:hAnsi="Simplified Arabic" w:cs="Simplified Arabic" w:hint="cs"/>
          <w:color w:val="000000" w:themeColor="text1"/>
          <w:sz w:val="24"/>
          <w:szCs w:val="24"/>
          <w:rtl/>
        </w:rPr>
        <w:t xml:space="preserve"> الف زيارة</w:t>
      </w:r>
      <w:r w:rsidRPr="00087589">
        <w:rPr>
          <w:rFonts w:ascii="Simplified Arabic" w:hAnsi="Simplified Arabic" w:cs="Simplified Arabic"/>
          <w:color w:val="000000" w:themeColor="text1"/>
          <w:sz w:val="24"/>
          <w:szCs w:val="24"/>
          <w:rtl/>
        </w:rPr>
        <w:t xml:space="preserve"> من قبل </w:t>
      </w:r>
      <w:r w:rsidRPr="00087589">
        <w:rPr>
          <w:rFonts w:ascii="Simplified Arabic" w:hAnsi="Simplified Arabic" w:cs="Simplified Arabic" w:hint="cs"/>
          <w:color w:val="000000" w:themeColor="text1"/>
          <w:sz w:val="24"/>
          <w:szCs w:val="24"/>
          <w:rtl/>
        </w:rPr>
        <w:t>ال</w:t>
      </w:r>
      <w:r w:rsidRPr="00087589">
        <w:rPr>
          <w:rFonts w:ascii="Simplified Arabic" w:hAnsi="Simplified Arabic" w:cs="Simplified Arabic"/>
          <w:color w:val="000000" w:themeColor="text1"/>
          <w:sz w:val="24"/>
          <w:szCs w:val="24"/>
          <w:rtl/>
        </w:rPr>
        <w:t>زوار الوافدين</w:t>
      </w:r>
      <w:r>
        <w:rPr>
          <w:rFonts w:ascii="Simplified Arabic" w:hAnsi="Simplified Arabic" w:cs="Simplified Arabic" w:hint="cs"/>
          <w:color w:val="000000" w:themeColor="text1"/>
          <w:sz w:val="24"/>
          <w:szCs w:val="24"/>
          <w:rtl/>
        </w:rPr>
        <w:t>،</w:t>
      </w:r>
      <w:r w:rsidRPr="00087589">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و1.12</w:t>
      </w:r>
      <w:r>
        <w:rPr>
          <w:rFonts w:ascii="Simplified Arabic" w:hAnsi="Simplified Arabic" w:cs="Simplified Arabic"/>
          <w:color w:val="000000" w:themeColor="text1"/>
          <w:sz w:val="24"/>
          <w:szCs w:val="24"/>
        </w:rPr>
        <w:t xml:space="preserve"> </w:t>
      </w:r>
      <w:r w:rsidRPr="00087589">
        <w:rPr>
          <w:rFonts w:ascii="Simplified Arabic" w:hAnsi="Simplified Arabic" w:cs="Simplified Arabic" w:hint="cs"/>
          <w:color w:val="000000" w:themeColor="text1"/>
          <w:sz w:val="24"/>
          <w:szCs w:val="24"/>
          <w:rtl/>
        </w:rPr>
        <w:t xml:space="preserve">مليون </w:t>
      </w:r>
      <w:r>
        <w:rPr>
          <w:rFonts w:ascii="Simplified Arabic" w:hAnsi="Simplified Arabic" w:cs="Simplified Arabic" w:hint="cs"/>
          <w:color w:val="000000" w:themeColor="text1"/>
          <w:sz w:val="24"/>
          <w:szCs w:val="24"/>
          <w:rtl/>
        </w:rPr>
        <w:t>زيارة م</w:t>
      </w:r>
      <w:r w:rsidRPr="00087589">
        <w:rPr>
          <w:rFonts w:ascii="Simplified Arabic" w:hAnsi="Simplified Arabic" w:cs="Simplified Arabic"/>
          <w:color w:val="000000" w:themeColor="text1"/>
          <w:sz w:val="24"/>
          <w:szCs w:val="24"/>
          <w:rtl/>
        </w:rPr>
        <w:t>ن قبل ال</w:t>
      </w:r>
      <w:r>
        <w:rPr>
          <w:rFonts w:ascii="Simplified Arabic" w:hAnsi="Simplified Arabic" w:cs="Simplified Arabic" w:hint="cs"/>
          <w:color w:val="000000" w:themeColor="text1"/>
          <w:sz w:val="24"/>
          <w:szCs w:val="24"/>
          <w:rtl/>
        </w:rPr>
        <w:t>زوار</w:t>
      </w:r>
      <w:r w:rsidRPr="00087589">
        <w:rPr>
          <w:rFonts w:ascii="Simplified Arabic" w:hAnsi="Simplified Arabic" w:cs="Simplified Arabic"/>
          <w:color w:val="000000" w:themeColor="text1"/>
          <w:sz w:val="24"/>
          <w:szCs w:val="24"/>
          <w:rtl/>
        </w:rPr>
        <w:t xml:space="preserve"> </w:t>
      </w:r>
      <w:r w:rsidRPr="00087589">
        <w:rPr>
          <w:rFonts w:ascii="Simplified Arabic" w:hAnsi="Simplified Arabic" w:cs="Simplified Arabic" w:hint="cs"/>
          <w:color w:val="000000" w:themeColor="text1"/>
          <w:sz w:val="24"/>
          <w:szCs w:val="24"/>
          <w:rtl/>
        </w:rPr>
        <w:t>ال</w:t>
      </w:r>
      <w:r w:rsidRPr="00087589">
        <w:rPr>
          <w:rFonts w:ascii="Simplified Arabic" w:hAnsi="Simplified Arabic" w:cs="Simplified Arabic"/>
          <w:color w:val="000000" w:themeColor="text1"/>
          <w:sz w:val="24"/>
          <w:szCs w:val="24"/>
          <w:rtl/>
        </w:rPr>
        <w:t>محليين</w:t>
      </w:r>
      <w:r>
        <w:rPr>
          <w:rFonts w:ascii="Simplified Arabic" w:hAnsi="Simplified Arabic" w:cs="Simplified Arabic" w:hint="cs"/>
          <w:color w:val="000000" w:themeColor="text1"/>
          <w:sz w:val="24"/>
          <w:szCs w:val="24"/>
          <w:rtl/>
        </w:rPr>
        <w:t xml:space="preserve">.  </w:t>
      </w:r>
      <w:r w:rsidRPr="00087589">
        <w:rPr>
          <w:rFonts w:ascii="Simplified Arabic" w:hAnsi="Simplified Arabic" w:cs="Simplified Arabic"/>
          <w:color w:val="000000" w:themeColor="text1"/>
          <w:sz w:val="24"/>
          <w:szCs w:val="24"/>
          <w:rtl/>
        </w:rPr>
        <w:t>وبالمقارنة</w:t>
      </w:r>
      <w:r w:rsidRPr="00087589">
        <w:rPr>
          <w:rFonts w:cs="Simplified Arabic" w:hint="cs"/>
          <w:color w:val="000000" w:themeColor="text1"/>
          <w:sz w:val="24"/>
          <w:szCs w:val="24"/>
          <w:rtl/>
        </w:rPr>
        <w:t xml:space="preserve"> مع ذات الفترة من العام</w:t>
      </w:r>
      <w:r>
        <w:rPr>
          <w:rFonts w:cs="Simplified Arabic" w:hint="cs"/>
          <w:color w:val="000000" w:themeColor="text1"/>
          <w:sz w:val="24"/>
          <w:szCs w:val="24"/>
          <w:rtl/>
        </w:rPr>
        <w:t xml:space="preserve"> 2015 فقد</w:t>
      </w:r>
      <w:r w:rsidRPr="00087589">
        <w:rPr>
          <w:rFonts w:cs="Simplified Arabic" w:hint="cs"/>
          <w:color w:val="000000" w:themeColor="text1"/>
          <w:sz w:val="24"/>
          <w:szCs w:val="24"/>
          <w:rtl/>
        </w:rPr>
        <w:t xml:space="preserve"> </w:t>
      </w:r>
      <w:r>
        <w:rPr>
          <w:rFonts w:cs="Simplified Arabic" w:hint="cs"/>
          <w:color w:val="000000" w:themeColor="text1"/>
          <w:sz w:val="24"/>
          <w:szCs w:val="24"/>
          <w:rtl/>
        </w:rPr>
        <w:t>انخفضت</w:t>
      </w:r>
      <w:r w:rsidRPr="00087589">
        <w:rPr>
          <w:rFonts w:cs="Simplified Arabic" w:hint="cs"/>
          <w:color w:val="000000" w:themeColor="text1"/>
          <w:sz w:val="24"/>
          <w:szCs w:val="24"/>
          <w:rtl/>
        </w:rPr>
        <w:t xml:space="preserve"> زيارات </w:t>
      </w:r>
      <w:r>
        <w:rPr>
          <w:rFonts w:cs="Simplified Arabic" w:hint="cs"/>
          <w:color w:val="000000" w:themeColor="text1"/>
          <w:sz w:val="24"/>
          <w:szCs w:val="24"/>
          <w:rtl/>
        </w:rPr>
        <w:t>ال</w:t>
      </w:r>
      <w:r w:rsidRPr="00087589">
        <w:rPr>
          <w:rFonts w:cs="Simplified Arabic" w:hint="cs"/>
          <w:color w:val="000000" w:themeColor="text1"/>
          <w:sz w:val="24"/>
          <w:szCs w:val="24"/>
          <w:rtl/>
        </w:rPr>
        <w:t xml:space="preserve">وافدين بنسبة </w:t>
      </w:r>
      <w:r>
        <w:rPr>
          <w:rFonts w:cs="Simplified Arabic" w:hint="cs"/>
          <w:color w:val="000000" w:themeColor="text1"/>
          <w:sz w:val="24"/>
          <w:szCs w:val="24"/>
          <w:rtl/>
        </w:rPr>
        <w:t>5</w:t>
      </w:r>
      <w:r w:rsidRPr="00087589">
        <w:rPr>
          <w:rFonts w:cs="Simplified Arabic" w:hint="cs"/>
          <w:color w:val="000000" w:themeColor="text1"/>
          <w:sz w:val="24"/>
          <w:szCs w:val="24"/>
          <w:rtl/>
        </w:rPr>
        <w:t>%</w:t>
      </w:r>
      <w:r>
        <w:rPr>
          <w:rFonts w:cs="Simplified Arabic" w:hint="cs"/>
          <w:color w:val="000000" w:themeColor="text1"/>
          <w:sz w:val="24"/>
          <w:szCs w:val="24"/>
          <w:rtl/>
        </w:rPr>
        <w:t>،</w:t>
      </w:r>
      <w:r w:rsidRPr="0070655E">
        <w:rPr>
          <w:rFonts w:ascii="Simplified Arabic" w:hAnsi="Simplified Arabic" w:cs="Simplified Arabic" w:hint="cs"/>
          <w:color w:val="000000" w:themeColor="text1"/>
          <w:sz w:val="24"/>
          <w:szCs w:val="24"/>
          <w:rtl/>
        </w:rPr>
        <w:t xml:space="preserve"> </w:t>
      </w:r>
      <w:r>
        <w:rPr>
          <w:rFonts w:cs="Simplified Arabic" w:hint="cs"/>
          <w:color w:val="000000" w:themeColor="text1"/>
          <w:sz w:val="24"/>
          <w:szCs w:val="24"/>
          <w:rtl/>
        </w:rPr>
        <w:t>وكذلك</w:t>
      </w:r>
      <w:r w:rsidRPr="00087589">
        <w:rPr>
          <w:rFonts w:cs="Simplified Arabic" w:hint="cs"/>
          <w:color w:val="000000" w:themeColor="text1"/>
          <w:sz w:val="24"/>
          <w:szCs w:val="24"/>
          <w:rtl/>
        </w:rPr>
        <w:t xml:space="preserve"> </w:t>
      </w:r>
      <w:r>
        <w:rPr>
          <w:rFonts w:cs="Simplified Arabic" w:hint="cs"/>
          <w:color w:val="000000" w:themeColor="text1"/>
          <w:sz w:val="24"/>
          <w:szCs w:val="24"/>
          <w:rtl/>
        </w:rPr>
        <w:t>انخفضت</w:t>
      </w:r>
      <w:r w:rsidRPr="00087589">
        <w:rPr>
          <w:rFonts w:cs="Simplified Arabic" w:hint="cs"/>
          <w:color w:val="000000" w:themeColor="text1"/>
          <w:sz w:val="24"/>
          <w:szCs w:val="24"/>
          <w:rtl/>
        </w:rPr>
        <w:t xml:space="preserve"> </w:t>
      </w:r>
      <w:r>
        <w:rPr>
          <w:rFonts w:cs="Simplified Arabic" w:hint="cs"/>
          <w:color w:val="000000" w:themeColor="text1"/>
          <w:sz w:val="24"/>
          <w:szCs w:val="24"/>
          <w:rtl/>
        </w:rPr>
        <w:t>ال</w:t>
      </w:r>
      <w:r w:rsidRPr="00087589">
        <w:rPr>
          <w:rFonts w:cs="Simplified Arabic" w:hint="cs"/>
          <w:color w:val="000000" w:themeColor="text1"/>
          <w:sz w:val="24"/>
          <w:szCs w:val="24"/>
          <w:rtl/>
        </w:rPr>
        <w:t xml:space="preserve">زيارات المحلية بنسبة </w:t>
      </w:r>
      <w:r>
        <w:rPr>
          <w:rFonts w:cs="Simplified Arabic" w:hint="cs"/>
          <w:color w:val="000000" w:themeColor="text1"/>
          <w:sz w:val="24"/>
          <w:szCs w:val="24"/>
          <w:rtl/>
        </w:rPr>
        <w:t>32</w:t>
      </w:r>
      <w:r w:rsidRPr="00087589">
        <w:rPr>
          <w:rFonts w:cs="Simplified Arabic" w:hint="cs"/>
          <w:color w:val="000000" w:themeColor="text1"/>
          <w:sz w:val="24"/>
          <w:szCs w:val="24"/>
          <w:rtl/>
        </w:rPr>
        <w:t>%</w:t>
      </w:r>
      <w:r>
        <w:rPr>
          <w:rFonts w:cs="Simplified Arabic" w:hint="cs"/>
          <w:color w:val="000000" w:themeColor="text1"/>
          <w:sz w:val="24"/>
          <w:szCs w:val="24"/>
          <w:rtl/>
        </w:rPr>
        <w:t xml:space="preserve">. </w:t>
      </w:r>
    </w:p>
    <w:p w:rsidR="0032523C" w:rsidRPr="0032523C" w:rsidRDefault="0032523C" w:rsidP="0032523C">
      <w:pPr>
        <w:jc w:val="both"/>
        <w:rPr>
          <w:rFonts w:cs="Simplified Arabic"/>
          <w:color w:val="000000" w:themeColor="text1"/>
          <w:sz w:val="16"/>
          <w:szCs w:val="16"/>
          <w:rtl/>
        </w:rPr>
      </w:pPr>
    </w:p>
    <w:p w:rsidR="0032523C" w:rsidRDefault="0032523C" w:rsidP="0032523C">
      <w:pPr>
        <w:jc w:val="both"/>
        <w:rPr>
          <w:rFonts w:cs="Simplified Arabic"/>
          <w:color w:val="000000" w:themeColor="text1"/>
          <w:sz w:val="24"/>
          <w:szCs w:val="24"/>
          <w:rtl/>
        </w:rPr>
      </w:pPr>
      <w:r>
        <w:rPr>
          <w:rFonts w:cs="Simplified Arabic" w:hint="cs"/>
          <w:color w:val="000000" w:themeColor="text1"/>
          <w:sz w:val="24"/>
          <w:szCs w:val="24"/>
          <w:rtl/>
        </w:rPr>
        <w:t>تركزت زيارات الوافدين في محافظة</w:t>
      </w:r>
      <w:r w:rsidRPr="00320142">
        <w:rPr>
          <w:rFonts w:cs="Simplified Arabic" w:hint="cs"/>
          <w:color w:val="000000" w:themeColor="text1"/>
          <w:sz w:val="24"/>
          <w:szCs w:val="24"/>
          <w:rtl/>
        </w:rPr>
        <w:t xml:space="preserve"> </w:t>
      </w:r>
      <w:r w:rsidRPr="00087589">
        <w:rPr>
          <w:rFonts w:cs="Simplified Arabic" w:hint="cs"/>
          <w:color w:val="000000" w:themeColor="text1"/>
          <w:sz w:val="24"/>
          <w:szCs w:val="24"/>
          <w:rtl/>
        </w:rPr>
        <w:t>أريحا</w:t>
      </w:r>
      <w:r>
        <w:rPr>
          <w:rFonts w:cs="Simplified Arabic" w:hint="cs"/>
          <w:color w:val="000000" w:themeColor="text1"/>
          <w:sz w:val="24"/>
          <w:szCs w:val="24"/>
          <w:rtl/>
        </w:rPr>
        <w:t xml:space="preserve"> </w:t>
      </w:r>
      <w:r w:rsidRPr="00087589">
        <w:rPr>
          <w:rFonts w:cs="Simplified Arabic" w:hint="cs"/>
          <w:color w:val="000000" w:themeColor="text1"/>
          <w:sz w:val="24"/>
          <w:szCs w:val="24"/>
          <w:rtl/>
        </w:rPr>
        <w:t>والأغوار</w:t>
      </w:r>
      <w:r>
        <w:rPr>
          <w:rFonts w:cs="Simplified Arabic" w:hint="cs"/>
          <w:color w:val="000000" w:themeColor="text1"/>
          <w:sz w:val="24"/>
          <w:szCs w:val="24"/>
          <w:rtl/>
        </w:rPr>
        <w:t xml:space="preserve"> </w:t>
      </w:r>
      <w:r w:rsidRPr="00087589">
        <w:rPr>
          <w:rFonts w:cs="Simplified Arabic" w:hint="cs"/>
          <w:color w:val="000000" w:themeColor="text1"/>
          <w:sz w:val="24"/>
          <w:szCs w:val="24"/>
          <w:rtl/>
        </w:rPr>
        <w:t xml:space="preserve">بنسبة </w:t>
      </w:r>
      <w:r>
        <w:rPr>
          <w:rFonts w:cs="Simplified Arabic" w:hint="cs"/>
          <w:color w:val="000000" w:themeColor="text1"/>
          <w:sz w:val="24"/>
          <w:szCs w:val="24"/>
          <w:rtl/>
        </w:rPr>
        <w:t xml:space="preserve">32% من مجموع الزيارات الوافدة، </w:t>
      </w:r>
      <w:r w:rsidRPr="00087589">
        <w:rPr>
          <w:rFonts w:cs="Simplified Arabic" w:hint="cs"/>
          <w:color w:val="000000" w:themeColor="text1"/>
          <w:sz w:val="24"/>
          <w:szCs w:val="24"/>
          <w:rtl/>
        </w:rPr>
        <w:t xml:space="preserve">يليها محافظة </w:t>
      </w:r>
      <w:r>
        <w:rPr>
          <w:rFonts w:cs="Simplified Arabic" w:hint="cs"/>
          <w:color w:val="000000" w:themeColor="text1"/>
          <w:sz w:val="24"/>
          <w:szCs w:val="24"/>
          <w:rtl/>
        </w:rPr>
        <w:t xml:space="preserve">بيت لحم </w:t>
      </w:r>
      <w:r w:rsidRPr="00087589">
        <w:rPr>
          <w:rFonts w:cs="Simplified Arabic" w:hint="cs"/>
          <w:color w:val="000000" w:themeColor="text1"/>
          <w:sz w:val="24"/>
          <w:szCs w:val="24"/>
          <w:rtl/>
        </w:rPr>
        <w:t>بنسبة</w:t>
      </w:r>
      <w:r>
        <w:rPr>
          <w:rFonts w:cs="Simplified Arabic" w:hint="cs"/>
          <w:color w:val="000000" w:themeColor="text1"/>
          <w:sz w:val="24"/>
          <w:szCs w:val="24"/>
          <w:rtl/>
        </w:rPr>
        <w:t xml:space="preserve"> </w:t>
      </w:r>
      <w:r>
        <w:rPr>
          <w:rFonts w:cs="Simplified Arabic" w:hint="cs"/>
          <w:sz w:val="24"/>
          <w:szCs w:val="24"/>
          <w:rtl/>
        </w:rPr>
        <w:t>29</w:t>
      </w:r>
      <w:r w:rsidRPr="00087589">
        <w:rPr>
          <w:rFonts w:cs="Simplified Arabic" w:hint="cs"/>
          <w:color w:val="000000" w:themeColor="text1"/>
          <w:sz w:val="24"/>
          <w:szCs w:val="24"/>
          <w:rtl/>
        </w:rPr>
        <w:t>%</w:t>
      </w:r>
      <w:r>
        <w:rPr>
          <w:rFonts w:cs="Simplified Arabic" w:hint="cs"/>
          <w:color w:val="000000" w:themeColor="text1"/>
          <w:sz w:val="24"/>
          <w:szCs w:val="24"/>
          <w:rtl/>
        </w:rPr>
        <w:t xml:space="preserve"> ثم محافظتي جنين ونابلس بنسبة 16% و 14% على التوالي.</w:t>
      </w:r>
    </w:p>
    <w:p w:rsidR="0032523C" w:rsidRPr="0032523C" w:rsidRDefault="0032523C" w:rsidP="0032523C">
      <w:pPr>
        <w:jc w:val="both"/>
        <w:rPr>
          <w:rFonts w:cs="Simplified Arabic"/>
          <w:color w:val="000000" w:themeColor="text1"/>
          <w:sz w:val="16"/>
          <w:szCs w:val="16"/>
          <w:rtl/>
        </w:rPr>
      </w:pPr>
    </w:p>
    <w:p w:rsidR="0032523C" w:rsidRPr="0032523C" w:rsidRDefault="0032523C" w:rsidP="0032523C">
      <w:pPr>
        <w:jc w:val="center"/>
        <w:rPr>
          <w:rFonts w:cs="Simplified Arabic"/>
          <w:color w:val="000000" w:themeColor="text1"/>
          <w:sz w:val="25"/>
          <w:szCs w:val="25"/>
          <w:rtl/>
        </w:rPr>
      </w:pPr>
      <w:r w:rsidRPr="0032523C">
        <w:rPr>
          <w:rFonts w:cs="Simplified Arabic"/>
          <w:b/>
          <w:bCs/>
          <w:color w:val="000000" w:themeColor="text1"/>
          <w:sz w:val="25"/>
          <w:szCs w:val="25"/>
          <w:rtl/>
        </w:rPr>
        <w:t>عدد زيارات الوافدين خلال النصف الأول من ال</w:t>
      </w:r>
      <w:r w:rsidRPr="0032523C">
        <w:rPr>
          <w:rFonts w:cs="Simplified Arabic" w:hint="cs"/>
          <w:b/>
          <w:bCs/>
          <w:color w:val="000000" w:themeColor="text1"/>
          <w:sz w:val="25"/>
          <w:szCs w:val="25"/>
          <w:rtl/>
        </w:rPr>
        <w:t>أ</w:t>
      </w:r>
      <w:r w:rsidRPr="0032523C">
        <w:rPr>
          <w:rFonts w:cs="Simplified Arabic"/>
          <w:b/>
          <w:bCs/>
          <w:color w:val="000000" w:themeColor="text1"/>
          <w:sz w:val="25"/>
          <w:szCs w:val="25"/>
          <w:rtl/>
        </w:rPr>
        <w:t>ع</w:t>
      </w:r>
      <w:r w:rsidRPr="0032523C">
        <w:rPr>
          <w:rFonts w:cs="Simplified Arabic" w:hint="cs"/>
          <w:b/>
          <w:bCs/>
          <w:color w:val="000000" w:themeColor="text1"/>
          <w:sz w:val="25"/>
          <w:szCs w:val="25"/>
          <w:rtl/>
        </w:rPr>
        <w:t>و</w:t>
      </w:r>
      <w:r w:rsidRPr="0032523C">
        <w:rPr>
          <w:rFonts w:cs="Simplified Arabic"/>
          <w:b/>
          <w:bCs/>
          <w:color w:val="000000" w:themeColor="text1"/>
          <w:sz w:val="25"/>
          <w:szCs w:val="25"/>
          <w:rtl/>
        </w:rPr>
        <w:t>ام</w:t>
      </w:r>
      <w:r w:rsidRPr="0032523C">
        <w:rPr>
          <w:rFonts w:cs="Simplified Arabic" w:hint="cs"/>
          <w:b/>
          <w:bCs/>
          <w:color w:val="000000" w:themeColor="text1"/>
          <w:sz w:val="25"/>
          <w:szCs w:val="25"/>
          <w:rtl/>
        </w:rPr>
        <w:t xml:space="preserve"> (2008-2016)</w:t>
      </w:r>
    </w:p>
    <w:p w:rsidR="0032523C" w:rsidRDefault="0032523C" w:rsidP="00C66A45">
      <w:pPr>
        <w:jc w:val="center"/>
        <w:rPr>
          <w:rFonts w:cs="Simplified Arabic"/>
          <w:b/>
          <w:bCs/>
          <w:color w:val="000000" w:themeColor="text1"/>
          <w:sz w:val="28"/>
          <w:szCs w:val="28"/>
          <w:rtl/>
        </w:rPr>
      </w:pPr>
      <w:r w:rsidRPr="00087589">
        <w:rPr>
          <w:rFonts w:cs="Simplified Arabic"/>
          <w:b/>
          <w:bCs/>
          <w:color w:val="000000" w:themeColor="text1"/>
          <w:sz w:val="28"/>
          <w:szCs w:val="28"/>
          <w:rtl/>
        </w:rPr>
        <w:drawing>
          <wp:inline distT="0" distB="0" distL="0" distR="0">
            <wp:extent cx="3298484" cy="2260122"/>
            <wp:effectExtent l="19050" t="0" r="16216" b="6828"/>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66A45" w:rsidRPr="00C66A45" w:rsidRDefault="00C66A45" w:rsidP="00C66A45">
      <w:pPr>
        <w:rPr>
          <w:rFonts w:cs="Simplified Arabic"/>
          <w:b/>
          <w:bCs/>
          <w:color w:val="000000" w:themeColor="text1"/>
          <w:sz w:val="16"/>
          <w:szCs w:val="16"/>
          <w:rtl/>
        </w:rPr>
      </w:pPr>
    </w:p>
    <w:p w:rsidR="0032523C" w:rsidRPr="0032523C" w:rsidRDefault="0032523C" w:rsidP="0032523C">
      <w:pPr>
        <w:jc w:val="both"/>
        <w:rPr>
          <w:rFonts w:cs="Simplified Arabic"/>
          <w:b/>
          <w:bCs/>
          <w:color w:val="000000" w:themeColor="text1"/>
          <w:sz w:val="25"/>
          <w:szCs w:val="25"/>
          <w:rtl/>
        </w:rPr>
      </w:pPr>
      <w:r w:rsidRPr="0032523C">
        <w:rPr>
          <w:rFonts w:cs="Simplified Arabic" w:hint="cs"/>
          <w:b/>
          <w:bCs/>
          <w:color w:val="000000" w:themeColor="text1"/>
          <w:sz w:val="25"/>
          <w:szCs w:val="25"/>
          <w:rtl/>
        </w:rPr>
        <w:t>اكثر من نصف الزيارات الوافدة كانت من فلسطينيي الاراضي المحتلة عام 1948</w:t>
      </w:r>
    </w:p>
    <w:p w:rsidR="0032523C" w:rsidRDefault="0032523C" w:rsidP="0032523C">
      <w:pPr>
        <w:jc w:val="both"/>
        <w:rPr>
          <w:rFonts w:cs="Simplified Arabic"/>
          <w:b/>
          <w:bCs/>
          <w:color w:val="000000" w:themeColor="text1"/>
          <w:sz w:val="14"/>
          <w:szCs w:val="14"/>
          <w:rtl/>
        </w:rPr>
      </w:pPr>
      <w:r w:rsidRPr="00055657">
        <w:rPr>
          <w:rFonts w:cs="Simplified Arabic" w:hint="cs"/>
          <w:color w:val="000000" w:themeColor="text1"/>
          <w:sz w:val="24"/>
          <w:szCs w:val="24"/>
          <w:rtl/>
        </w:rPr>
        <w:t>فيما يتعلق ب</w:t>
      </w:r>
      <w:r>
        <w:rPr>
          <w:rFonts w:cs="Simplified Arabic" w:hint="cs"/>
          <w:color w:val="000000" w:themeColor="text1"/>
          <w:sz w:val="24"/>
          <w:szCs w:val="24"/>
          <w:rtl/>
        </w:rPr>
        <w:t>أبرز جنسيات الزوار الوافدين،</w:t>
      </w:r>
      <w:r w:rsidRPr="00055657">
        <w:rPr>
          <w:rFonts w:cs="Simplified Arabic" w:hint="cs"/>
          <w:color w:val="000000" w:themeColor="text1"/>
          <w:sz w:val="24"/>
          <w:szCs w:val="24"/>
          <w:rtl/>
        </w:rPr>
        <w:t xml:space="preserve"> فقد كان للزوار الفلسطينيين المقيمين في الأراضي المحتلة عام 1948 </w:t>
      </w:r>
      <w:r w:rsidRPr="00087589">
        <w:rPr>
          <w:rFonts w:cs="Simplified Arabic" w:hint="cs"/>
          <w:color w:val="000000" w:themeColor="text1"/>
          <w:sz w:val="24"/>
          <w:szCs w:val="24"/>
          <w:rtl/>
        </w:rPr>
        <w:t>النصيب الأكبر من الزيارات</w:t>
      </w:r>
      <w:r>
        <w:rPr>
          <w:rFonts w:cs="Simplified Arabic" w:hint="cs"/>
          <w:color w:val="000000" w:themeColor="text1"/>
          <w:sz w:val="24"/>
          <w:szCs w:val="24"/>
          <w:rtl/>
        </w:rPr>
        <w:t xml:space="preserve"> الوافدة</w:t>
      </w:r>
      <w:r w:rsidRPr="00087589">
        <w:rPr>
          <w:rFonts w:cs="Simplified Arabic" w:hint="cs"/>
          <w:color w:val="000000" w:themeColor="text1"/>
          <w:sz w:val="24"/>
          <w:szCs w:val="24"/>
          <w:rtl/>
        </w:rPr>
        <w:t xml:space="preserve"> بنسبة </w:t>
      </w:r>
      <w:r>
        <w:rPr>
          <w:rFonts w:cs="Simplified Arabic" w:hint="cs"/>
          <w:color w:val="000000" w:themeColor="text1"/>
          <w:sz w:val="24"/>
          <w:szCs w:val="24"/>
          <w:rtl/>
        </w:rPr>
        <w:t>54</w:t>
      </w:r>
      <w:r w:rsidRPr="00087589">
        <w:rPr>
          <w:rFonts w:cs="Simplified Arabic" w:hint="cs"/>
          <w:color w:val="000000" w:themeColor="text1"/>
          <w:sz w:val="24"/>
          <w:szCs w:val="24"/>
          <w:rtl/>
        </w:rPr>
        <w:t>%</w:t>
      </w:r>
      <w:r>
        <w:rPr>
          <w:rFonts w:cs="Simplified Arabic" w:hint="cs"/>
          <w:color w:val="000000" w:themeColor="text1"/>
          <w:sz w:val="24"/>
          <w:szCs w:val="24"/>
          <w:rtl/>
        </w:rPr>
        <w:t xml:space="preserve"> وبعدد 514 الف زيارة</w:t>
      </w:r>
      <w:r w:rsidRPr="00087589">
        <w:rPr>
          <w:rFonts w:cs="Simplified Arabic" w:hint="cs"/>
          <w:color w:val="000000" w:themeColor="text1"/>
          <w:sz w:val="24"/>
          <w:szCs w:val="24"/>
          <w:rtl/>
        </w:rPr>
        <w:t>، يليها القادمون من الولايات</w:t>
      </w:r>
      <w:r w:rsidRPr="00087589">
        <w:rPr>
          <w:rFonts w:cs="Simplified Arabic"/>
          <w:color w:val="000000" w:themeColor="text1"/>
          <w:sz w:val="24"/>
          <w:szCs w:val="24"/>
          <w:rtl/>
        </w:rPr>
        <w:t xml:space="preserve"> </w:t>
      </w:r>
      <w:r w:rsidRPr="00087589">
        <w:rPr>
          <w:rFonts w:cs="Simplified Arabic" w:hint="cs"/>
          <w:color w:val="000000" w:themeColor="text1"/>
          <w:sz w:val="24"/>
          <w:szCs w:val="24"/>
          <w:rtl/>
        </w:rPr>
        <w:t>المتحدة</w:t>
      </w:r>
      <w:r w:rsidRPr="00087589">
        <w:rPr>
          <w:rFonts w:cs="Simplified Arabic"/>
          <w:color w:val="000000" w:themeColor="text1"/>
          <w:sz w:val="24"/>
          <w:szCs w:val="24"/>
          <w:rtl/>
        </w:rPr>
        <w:t xml:space="preserve"> </w:t>
      </w:r>
      <w:r w:rsidRPr="00087589">
        <w:rPr>
          <w:rFonts w:cs="Simplified Arabic" w:hint="cs"/>
          <w:color w:val="000000" w:themeColor="text1"/>
          <w:sz w:val="24"/>
          <w:szCs w:val="24"/>
          <w:rtl/>
        </w:rPr>
        <w:t>الأمريكية</w:t>
      </w:r>
      <w:r w:rsidRPr="00B6622F">
        <w:rPr>
          <w:rFonts w:cs="Simplified Arabic" w:hint="cs"/>
          <w:color w:val="000000" w:themeColor="text1"/>
          <w:sz w:val="24"/>
          <w:szCs w:val="24"/>
          <w:rtl/>
        </w:rPr>
        <w:t xml:space="preserve"> </w:t>
      </w:r>
      <w:r w:rsidRPr="00087589">
        <w:rPr>
          <w:rFonts w:cs="Simplified Arabic" w:hint="cs"/>
          <w:color w:val="000000" w:themeColor="text1"/>
          <w:sz w:val="24"/>
          <w:szCs w:val="24"/>
          <w:rtl/>
        </w:rPr>
        <w:t xml:space="preserve">بنسبة </w:t>
      </w:r>
      <w:r>
        <w:rPr>
          <w:rFonts w:cs="Simplified Arabic" w:hint="cs"/>
          <w:color w:val="000000" w:themeColor="text1"/>
          <w:sz w:val="24"/>
          <w:szCs w:val="24"/>
          <w:rtl/>
        </w:rPr>
        <w:t>7</w:t>
      </w:r>
      <w:r w:rsidRPr="00087589">
        <w:rPr>
          <w:rFonts w:cs="Simplified Arabic" w:hint="cs"/>
          <w:color w:val="000000" w:themeColor="text1"/>
          <w:sz w:val="24"/>
          <w:szCs w:val="24"/>
          <w:rtl/>
        </w:rPr>
        <w:t>%</w:t>
      </w:r>
      <w:r>
        <w:rPr>
          <w:rFonts w:cs="Simplified Arabic" w:hint="cs"/>
          <w:color w:val="000000" w:themeColor="text1"/>
          <w:sz w:val="24"/>
          <w:szCs w:val="24"/>
          <w:rtl/>
        </w:rPr>
        <w:t xml:space="preserve"> وبعدد 66 الف</w:t>
      </w:r>
      <w:r w:rsidRPr="00F36F42">
        <w:rPr>
          <w:rFonts w:cs="Simplified Arabic" w:hint="cs"/>
          <w:color w:val="000000" w:themeColor="text1"/>
          <w:sz w:val="24"/>
          <w:szCs w:val="24"/>
          <w:rtl/>
        </w:rPr>
        <w:t xml:space="preserve"> </w:t>
      </w:r>
      <w:r>
        <w:rPr>
          <w:rFonts w:cs="Simplified Arabic" w:hint="cs"/>
          <w:color w:val="000000" w:themeColor="text1"/>
          <w:sz w:val="24"/>
          <w:szCs w:val="24"/>
          <w:rtl/>
        </w:rPr>
        <w:t>زيارة،</w:t>
      </w:r>
      <w:r w:rsidRPr="00087589">
        <w:rPr>
          <w:rFonts w:cs="Simplified Arabic" w:hint="cs"/>
          <w:color w:val="000000" w:themeColor="text1"/>
          <w:sz w:val="24"/>
          <w:szCs w:val="24"/>
          <w:rtl/>
        </w:rPr>
        <w:t xml:space="preserve"> </w:t>
      </w:r>
      <w:r>
        <w:rPr>
          <w:rFonts w:cs="Simplified Arabic" w:hint="cs"/>
          <w:color w:val="000000" w:themeColor="text1"/>
          <w:sz w:val="24"/>
          <w:szCs w:val="24"/>
          <w:rtl/>
        </w:rPr>
        <w:t>و</w:t>
      </w:r>
      <w:r w:rsidRPr="00087589">
        <w:rPr>
          <w:rFonts w:cs="Simplified Arabic" w:hint="cs"/>
          <w:color w:val="000000" w:themeColor="text1"/>
          <w:sz w:val="24"/>
          <w:szCs w:val="24"/>
          <w:rtl/>
        </w:rPr>
        <w:t xml:space="preserve">روسيا الاتحادية بنسبة </w:t>
      </w:r>
      <w:r>
        <w:rPr>
          <w:rFonts w:cs="Simplified Arabic" w:hint="cs"/>
          <w:color w:val="000000" w:themeColor="text1"/>
          <w:sz w:val="24"/>
          <w:szCs w:val="24"/>
          <w:rtl/>
        </w:rPr>
        <w:t>6</w:t>
      </w:r>
      <w:r w:rsidRPr="00087589">
        <w:rPr>
          <w:rFonts w:cs="Simplified Arabic" w:hint="cs"/>
          <w:color w:val="000000" w:themeColor="text1"/>
          <w:sz w:val="24"/>
          <w:szCs w:val="24"/>
          <w:rtl/>
        </w:rPr>
        <w:t>%</w:t>
      </w:r>
      <w:r>
        <w:rPr>
          <w:rFonts w:cs="Simplified Arabic" w:hint="cs"/>
          <w:color w:val="000000" w:themeColor="text1"/>
          <w:sz w:val="24"/>
          <w:szCs w:val="24"/>
          <w:rtl/>
        </w:rPr>
        <w:t xml:space="preserve"> وبعدد 57 الف</w:t>
      </w:r>
      <w:r w:rsidRPr="00F36F42">
        <w:rPr>
          <w:rFonts w:cs="Simplified Arabic" w:hint="cs"/>
          <w:color w:val="000000" w:themeColor="text1"/>
          <w:sz w:val="24"/>
          <w:szCs w:val="24"/>
          <w:rtl/>
        </w:rPr>
        <w:t xml:space="preserve"> </w:t>
      </w:r>
      <w:r>
        <w:rPr>
          <w:rFonts w:cs="Simplified Arabic" w:hint="cs"/>
          <w:color w:val="000000" w:themeColor="text1"/>
          <w:sz w:val="24"/>
          <w:szCs w:val="24"/>
          <w:rtl/>
        </w:rPr>
        <w:t>زيارة</w:t>
      </w:r>
      <w:r w:rsidRPr="00087589">
        <w:rPr>
          <w:rFonts w:cs="Simplified Arabic" w:hint="cs"/>
          <w:color w:val="000000" w:themeColor="text1"/>
          <w:sz w:val="24"/>
          <w:szCs w:val="24"/>
          <w:rtl/>
        </w:rPr>
        <w:t>، ثم</w:t>
      </w:r>
      <w:r>
        <w:rPr>
          <w:rFonts w:cs="Simplified Arabic" w:hint="cs"/>
          <w:color w:val="000000" w:themeColor="text1"/>
          <w:sz w:val="24"/>
          <w:szCs w:val="24"/>
          <w:rtl/>
        </w:rPr>
        <w:t xml:space="preserve"> الهند بنسبة 3% وبعدد 24 الف زيارة، في حين تساوت جنسيات كل من </w:t>
      </w:r>
      <w:r w:rsidRPr="00087589">
        <w:rPr>
          <w:rFonts w:cs="Simplified Arabic" w:hint="cs"/>
          <w:color w:val="000000" w:themeColor="text1"/>
          <w:sz w:val="24"/>
          <w:szCs w:val="24"/>
          <w:rtl/>
        </w:rPr>
        <w:t>بولندا و</w:t>
      </w:r>
      <w:r>
        <w:rPr>
          <w:rFonts w:cs="Simplified Arabic" w:hint="cs"/>
          <w:color w:val="000000" w:themeColor="text1"/>
          <w:sz w:val="24"/>
          <w:szCs w:val="24"/>
          <w:rtl/>
        </w:rPr>
        <w:t xml:space="preserve">رومانيا </w:t>
      </w:r>
      <w:r w:rsidRPr="00087589">
        <w:rPr>
          <w:rFonts w:cs="Simplified Arabic" w:hint="cs"/>
          <w:color w:val="000000" w:themeColor="text1"/>
          <w:sz w:val="24"/>
          <w:szCs w:val="24"/>
          <w:rtl/>
        </w:rPr>
        <w:t xml:space="preserve">بنسبة </w:t>
      </w:r>
      <w:r>
        <w:rPr>
          <w:rFonts w:cs="Simplified Arabic" w:hint="cs"/>
          <w:color w:val="000000" w:themeColor="text1"/>
          <w:sz w:val="24"/>
          <w:szCs w:val="24"/>
          <w:rtl/>
        </w:rPr>
        <w:t>2</w:t>
      </w:r>
      <w:r w:rsidRPr="00087589">
        <w:rPr>
          <w:rFonts w:cs="Simplified Arabic" w:hint="cs"/>
          <w:color w:val="000000" w:themeColor="text1"/>
          <w:sz w:val="24"/>
          <w:szCs w:val="24"/>
          <w:rtl/>
        </w:rPr>
        <w:t>%</w:t>
      </w:r>
      <w:r>
        <w:rPr>
          <w:rFonts w:cs="Simplified Arabic" w:hint="cs"/>
          <w:color w:val="000000" w:themeColor="text1"/>
          <w:sz w:val="24"/>
          <w:szCs w:val="24"/>
          <w:rtl/>
        </w:rPr>
        <w:t xml:space="preserve"> وبعدد 23 الف زيارة لكل منهما، فيما توزعت 26% من الزيارات الوافدة على بقية الجنسيات بعدد 245 الف زيارة.</w:t>
      </w:r>
    </w:p>
    <w:p w:rsidR="0032523C" w:rsidRPr="0032523C" w:rsidRDefault="0032523C" w:rsidP="0032523C">
      <w:pPr>
        <w:jc w:val="both"/>
        <w:rPr>
          <w:rFonts w:cs="Simplified Arabic"/>
          <w:color w:val="000000" w:themeColor="text1"/>
          <w:sz w:val="12"/>
          <w:szCs w:val="12"/>
          <w:rtl/>
        </w:rPr>
      </w:pPr>
    </w:p>
    <w:p w:rsidR="0032523C" w:rsidRDefault="0032523C" w:rsidP="0032523C">
      <w:pPr>
        <w:jc w:val="both"/>
        <w:rPr>
          <w:rFonts w:cs="Simplified Arabic"/>
          <w:b/>
          <w:bCs/>
          <w:color w:val="000000" w:themeColor="text1"/>
          <w:sz w:val="24"/>
          <w:szCs w:val="24"/>
          <w:rtl/>
        </w:rPr>
      </w:pPr>
      <w:r w:rsidRPr="00936C18">
        <w:rPr>
          <w:rFonts w:cs="Simplified Arabic" w:hint="cs"/>
          <w:color w:val="000000" w:themeColor="text1"/>
          <w:sz w:val="24"/>
          <w:szCs w:val="24"/>
          <w:rtl/>
        </w:rPr>
        <w:t xml:space="preserve">تجدر الإشارة إلى أن </w:t>
      </w:r>
      <w:r>
        <w:rPr>
          <w:rFonts w:cs="Simplified Arabic" w:hint="cs"/>
          <w:color w:val="000000" w:themeColor="text1"/>
          <w:sz w:val="24"/>
          <w:szCs w:val="24"/>
          <w:rtl/>
        </w:rPr>
        <w:t>بيانات الزوار الوافدين والمحليين</w:t>
      </w:r>
      <w:r w:rsidRPr="00936C18">
        <w:rPr>
          <w:rFonts w:cs="Simplified Arabic" w:hint="cs"/>
          <w:color w:val="000000" w:themeColor="text1"/>
          <w:sz w:val="24"/>
          <w:szCs w:val="24"/>
          <w:rtl/>
        </w:rPr>
        <w:t xml:space="preserve"> لا تشمل محافظة القدس وقطاع غزة.</w:t>
      </w:r>
    </w:p>
    <w:p w:rsidR="0032523C" w:rsidRDefault="0032523C" w:rsidP="0032523C">
      <w:pPr>
        <w:jc w:val="both"/>
        <w:rPr>
          <w:rFonts w:cs="Simplified Arabic"/>
          <w:color w:val="000000" w:themeColor="text1"/>
          <w:sz w:val="16"/>
          <w:szCs w:val="16"/>
          <w:rtl/>
        </w:rPr>
      </w:pPr>
    </w:p>
    <w:p w:rsidR="0032523C" w:rsidRDefault="0032523C" w:rsidP="0032523C">
      <w:pPr>
        <w:jc w:val="both"/>
        <w:outlineLvl w:val="0"/>
        <w:rPr>
          <w:rFonts w:cs="Simplified Arabic"/>
          <w:b/>
          <w:bCs/>
          <w:color w:val="000000" w:themeColor="text1"/>
          <w:sz w:val="25"/>
          <w:szCs w:val="25"/>
          <w:rtl/>
          <w:lang w:eastAsia="ar-SA"/>
        </w:rPr>
      </w:pPr>
    </w:p>
    <w:p w:rsidR="00C66A45" w:rsidRDefault="00C66A45" w:rsidP="0032523C">
      <w:pPr>
        <w:jc w:val="both"/>
        <w:outlineLvl w:val="0"/>
        <w:rPr>
          <w:rFonts w:cs="Simplified Arabic"/>
          <w:b/>
          <w:bCs/>
          <w:color w:val="000000" w:themeColor="text1"/>
          <w:sz w:val="25"/>
          <w:szCs w:val="25"/>
          <w:rtl/>
          <w:lang w:eastAsia="ar-SA"/>
        </w:rPr>
      </w:pPr>
    </w:p>
    <w:p w:rsidR="0007591D" w:rsidRDefault="0007591D" w:rsidP="0032523C">
      <w:pPr>
        <w:jc w:val="both"/>
        <w:outlineLvl w:val="0"/>
        <w:rPr>
          <w:rFonts w:cs="Simplified Arabic"/>
          <w:b/>
          <w:bCs/>
          <w:color w:val="000000" w:themeColor="text1"/>
          <w:sz w:val="25"/>
          <w:szCs w:val="25"/>
          <w:rtl/>
          <w:lang w:eastAsia="ar-SA"/>
        </w:rPr>
      </w:pPr>
    </w:p>
    <w:p w:rsidR="0032523C" w:rsidRPr="0032523C" w:rsidRDefault="0032523C" w:rsidP="0032523C">
      <w:pPr>
        <w:jc w:val="both"/>
        <w:outlineLvl w:val="0"/>
        <w:rPr>
          <w:rFonts w:cs="Simplified Arabic"/>
          <w:b/>
          <w:bCs/>
          <w:color w:val="000000" w:themeColor="text1"/>
          <w:sz w:val="25"/>
          <w:szCs w:val="25"/>
          <w:rtl/>
          <w:lang w:eastAsia="ar-SA"/>
        </w:rPr>
      </w:pPr>
      <w:r w:rsidRPr="0032523C">
        <w:rPr>
          <w:rFonts w:cs="Simplified Arabic" w:hint="cs"/>
          <w:b/>
          <w:bCs/>
          <w:color w:val="000000" w:themeColor="text1"/>
          <w:sz w:val="25"/>
          <w:szCs w:val="25"/>
          <w:rtl/>
          <w:lang w:eastAsia="ar-SA"/>
        </w:rPr>
        <w:t xml:space="preserve">حوالي 194 ألف نزيل في فنادق الضفة الغربية أقاموا 605 الاف ليلة مبيت خلال النصف الأول من عام 2016 </w:t>
      </w:r>
    </w:p>
    <w:p w:rsidR="0032523C" w:rsidRDefault="0032523C" w:rsidP="0032523C">
      <w:pPr>
        <w:jc w:val="both"/>
        <w:rPr>
          <w:rFonts w:cs="Simplified Arabic"/>
          <w:color w:val="000000" w:themeColor="text1"/>
          <w:sz w:val="24"/>
          <w:szCs w:val="24"/>
          <w:rtl/>
        </w:rPr>
      </w:pPr>
      <w:r w:rsidRPr="00092168">
        <w:rPr>
          <w:rFonts w:cs="Simplified Arabic" w:hint="cs"/>
          <w:color w:val="000000" w:themeColor="text1"/>
          <w:sz w:val="24"/>
          <w:szCs w:val="24"/>
          <w:rtl/>
        </w:rPr>
        <w:t>بلغ عدد النزلاء في فنادق الضفة الغربية خلال النصف الأول من العام 2016 نحو 745</w:t>
      </w:r>
      <w:r w:rsidRPr="00092168">
        <w:rPr>
          <w:rFonts w:cs="Simplified Arabic"/>
          <w:color w:val="000000" w:themeColor="text1"/>
          <w:sz w:val="24"/>
          <w:szCs w:val="24"/>
        </w:rPr>
        <w:t>,</w:t>
      </w:r>
      <w:r w:rsidRPr="00092168">
        <w:rPr>
          <w:rFonts w:cs="Simplified Arabic" w:hint="cs"/>
          <w:color w:val="000000" w:themeColor="text1"/>
          <w:sz w:val="24"/>
          <w:szCs w:val="24"/>
          <w:rtl/>
        </w:rPr>
        <w:t>193 نزيلاً، حيث أقاموا</w:t>
      </w:r>
      <w:r w:rsidRPr="00092168">
        <w:rPr>
          <w:rFonts w:cs="Simplified Arabic"/>
          <w:color w:val="000000" w:themeColor="text1"/>
          <w:sz w:val="24"/>
          <w:szCs w:val="24"/>
        </w:rPr>
        <w:t xml:space="preserve">,918 </w:t>
      </w:r>
      <w:r w:rsidRPr="00092168">
        <w:rPr>
          <w:rFonts w:cs="Simplified Arabic" w:hint="cs"/>
          <w:color w:val="000000" w:themeColor="text1"/>
          <w:sz w:val="24"/>
          <w:szCs w:val="24"/>
          <w:rtl/>
        </w:rPr>
        <w:t xml:space="preserve">604 ليلة مبيت، وبالمقارنة مع النصف الأول من العام 2015، فقد انخفض عدد النزلاء بنسبة 20%. </w:t>
      </w:r>
    </w:p>
    <w:p w:rsidR="0032523C" w:rsidRPr="0032523C" w:rsidRDefault="0032523C" w:rsidP="0032523C">
      <w:pPr>
        <w:tabs>
          <w:tab w:val="center" w:pos="5400"/>
        </w:tabs>
        <w:jc w:val="both"/>
        <w:rPr>
          <w:rFonts w:cs="Simplified Arabic"/>
          <w:color w:val="000000" w:themeColor="text1"/>
          <w:sz w:val="16"/>
          <w:szCs w:val="16"/>
          <w:rtl/>
        </w:rPr>
      </w:pPr>
      <w:r w:rsidRPr="00092168">
        <w:rPr>
          <w:rFonts w:cs="Simplified Arabic" w:hint="cs"/>
          <w:color w:val="000000" w:themeColor="text1"/>
          <w:sz w:val="24"/>
          <w:szCs w:val="24"/>
          <w:rtl/>
        </w:rPr>
        <w:t xml:space="preserve"> </w:t>
      </w:r>
      <w:r>
        <w:rPr>
          <w:rFonts w:cs="Simplified Arabic"/>
          <w:color w:val="000000" w:themeColor="text1"/>
          <w:sz w:val="24"/>
          <w:szCs w:val="24"/>
          <w:rtl/>
        </w:rPr>
        <w:tab/>
      </w:r>
    </w:p>
    <w:tbl>
      <w:tblPr>
        <w:bidiVisual/>
        <w:tblW w:w="5195" w:type="dxa"/>
        <w:jc w:val="center"/>
        <w:tblInd w:w="-417" w:type="dxa"/>
        <w:tblLayout w:type="fixed"/>
        <w:tblLook w:val="04A0"/>
      </w:tblPr>
      <w:tblGrid>
        <w:gridCol w:w="2045"/>
        <w:gridCol w:w="1633"/>
        <w:gridCol w:w="1084"/>
        <w:gridCol w:w="433"/>
      </w:tblGrid>
      <w:tr w:rsidR="0032523C" w:rsidRPr="00092168" w:rsidTr="0032523C">
        <w:trPr>
          <w:gridAfter w:val="1"/>
          <w:wAfter w:w="433" w:type="dxa"/>
          <w:cantSplit/>
          <w:trHeight w:hRule="exact" w:val="873"/>
          <w:jc w:val="center"/>
        </w:trPr>
        <w:tc>
          <w:tcPr>
            <w:tcW w:w="4762" w:type="dxa"/>
            <w:gridSpan w:val="3"/>
            <w:tcBorders>
              <w:bottom w:val="single" w:sz="4" w:space="0" w:color="auto"/>
            </w:tcBorders>
          </w:tcPr>
          <w:p w:rsidR="0032523C" w:rsidRPr="0032523C" w:rsidRDefault="0032523C" w:rsidP="0032523C">
            <w:pPr>
              <w:jc w:val="center"/>
              <w:rPr>
                <w:rFonts w:ascii="Arial" w:hAnsi="Arial" w:cs="Simplified Arabic"/>
                <w:b/>
                <w:bCs/>
                <w:color w:val="000000" w:themeColor="text1"/>
                <w:sz w:val="25"/>
                <w:szCs w:val="25"/>
                <w:rtl/>
              </w:rPr>
            </w:pPr>
            <w:r w:rsidRPr="0032523C">
              <w:rPr>
                <w:rFonts w:ascii="Arial" w:hAnsi="Arial" w:cs="Simplified Arabic" w:hint="cs"/>
                <w:b/>
                <w:bCs/>
                <w:color w:val="000000" w:themeColor="text1"/>
                <w:sz w:val="25"/>
                <w:szCs w:val="25"/>
                <w:rtl/>
              </w:rPr>
              <w:t>عدد نزلاء الفنادق حسب الجنسية خلال النصف الأول من العام (2015- 2016)</w:t>
            </w:r>
          </w:p>
          <w:p w:rsidR="0032523C" w:rsidRDefault="0032523C" w:rsidP="00A423BD">
            <w:pPr>
              <w:jc w:val="center"/>
              <w:rPr>
                <w:rFonts w:ascii="Arial" w:hAnsi="Arial" w:cs="Simplified Arabic"/>
                <w:b/>
                <w:bCs/>
                <w:color w:val="000000" w:themeColor="text1"/>
                <w:sz w:val="22"/>
                <w:szCs w:val="22"/>
                <w:rtl/>
              </w:rPr>
            </w:pPr>
            <w:r>
              <w:rPr>
                <w:rFonts w:ascii="Arial" w:hAnsi="Arial" w:cs="Simplified Arabic" w:hint="cs"/>
                <w:b/>
                <w:bCs/>
                <w:color w:val="000000" w:themeColor="text1"/>
                <w:sz w:val="22"/>
                <w:szCs w:val="22"/>
                <w:rtl/>
              </w:rPr>
              <w:t xml:space="preserve"> </w:t>
            </w:r>
          </w:p>
          <w:p w:rsidR="0032523C" w:rsidRDefault="0032523C" w:rsidP="00A423BD">
            <w:pPr>
              <w:jc w:val="center"/>
              <w:rPr>
                <w:rFonts w:ascii="Arial" w:hAnsi="Arial" w:cs="Simplified Arabic"/>
                <w:b/>
                <w:bCs/>
                <w:color w:val="000000" w:themeColor="text1"/>
                <w:sz w:val="22"/>
                <w:szCs w:val="22"/>
                <w:rtl/>
              </w:rPr>
            </w:pPr>
          </w:p>
          <w:p w:rsidR="0032523C" w:rsidRPr="0032523C" w:rsidRDefault="0032523C" w:rsidP="00A423BD">
            <w:pPr>
              <w:jc w:val="center"/>
              <w:rPr>
                <w:rFonts w:ascii="Arial" w:hAnsi="Arial" w:cs="Simplified Arabic"/>
                <w:b/>
                <w:bCs/>
                <w:color w:val="000000" w:themeColor="text1"/>
                <w:sz w:val="22"/>
                <w:szCs w:val="22"/>
                <w:rtl/>
              </w:rPr>
            </w:pPr>
            <w:r w:rsidRPr="0032523C">
              <w:rPr>
                <w:rFonts w:ascii="Arial" w:hAnsi="Arial" w:cs="Simplified Arabic" w:hint="cs"/>
                <w:b/>
                <w:bCs/>
                <w:color w:val="000000" w:themeColor="text1"/>
                <w:sz w:val="22"/>
                <w:szCs w:val="22"/>
                <w:rtl/>
              </w:rPr>
              <w:t xml:space="preserve"> </w:t>
            </w:r>
          </w:p>
          <w:p w:rsidR="0032523C" w:rsidRDefault="0032523C" w:rsidP="00A423BD">
            <w:pPr>
              <w:jc w:val="center"/>
              <w:rPr>
                <w:rFonts w:ascii="Arial" w:hAnsi="Arial" w:cs="Simplified Arabic"/>
                <w:b/>
                <w:bCs/>
                <w:color w:val="000000" w:themeColor="text1"/>
                <w:sz w:val="25"/>
                <w:szCs w:val="25"/>
                <w:rtl/>
              </w:rPr>
            </w:pPr>
          </w:p>
          <w:p w:rsidR="0032523C" w:rsidRDefault="0032523C" w:rsidP="00A423BD">
            <w:pPr>
              <w:jc w:val="center"/>
              <w:rPr>
                <w:rFonts w:ascii="Arial" w:hAnsi="Arial" w:cs="Simplified Arabic"/>
                <w:b/>
                <w:bCs/>
                <w:color w:val="000000" w:themeColor="text1"/>
                <w:sz w:val="25"/>
                <w:szCs w:val="25"/>
                <w:rtl/>
              </w:rPr>
            </w:pPr>
          </w:p>
          <w:p w:rsidR="0032523C" w:rsidRPr="0032523C" w:rsidRDefault="0032523C" w:rsidP="00A423BD">
            <w:pPr>
              <w:jc w:val="center"/>
              <w:rPr>
                <w:rFonts w:ascii="Arial" w:hAnsi="Arial" w:cs="Simplified Arabic"/>
                <w:b/>
                <w:bCs/>
                <w:color w:val="000000" w:themeColor="text1"/>
                <w:sz w:val="25"/>
                <w:szCs w:val="25"/>
                <w:rtl/>
              </w:rPr>
            </w:pPr>
          </w:p>
          <w:p w:rsidR="0032523C" w:rsidRPr="00092168" w:rsidRDefault="0032523C" w:rsidP="00A423BD">
            <w:pPr>
              <w:jc w:val="center"/>
              <w:rPr>
                <w:rFonts w:ascii="Arial" w:hAnsi="Arial" w:cs="Simplified Arabic"/>
                <w:b/>
                <w:bCs/>
                <w:color w:val="000000" w:themeColor="text1"/>
                <w:sz w:val="18"/>
                <w:szCs w:val="18"/>
                <w:rtl/>
              </w:rPr>
            </w:pPr>
          </w:p>
          <w:p w:rsidR="0032523C" w:rsidRPr="00092168" w:rsidRDefault="0032523C" w:rsidP="00A423BD">
            <w:pPr>
              <w:jc w:val="center"/>
              <w:rPr>
                <w:rFonts w:ascii="Arial" w:hAnsi="Arial" w:cs="Simplified Arabic"/>
                <w:b/>
                <w:bCs/>
                <w:color w:val="000000" w:themeColor="text1"/>
                <w:sz w:val="18"/>
                <w:szCs w:val="18"/>
                <w:rtl/>
              </w:rPr>
            </w:pPr>
          </w:p>
          <w:p w:rsidR="0032523C" w:rsidRPr="00092168" w:rsidRDefault="0032523C" w:rsidP="00A423BD">
            <w:pPr>
              <w:jc w:val="center"/>
              <w:rPr>
                <w:rFonts w:ascii="Arial" w:hAnsi="Arial" w:cs="Simplified Arabic"/>
                <w:b/>
                <w:bCs/>
                <w:color w:val="000000" w:themeColor="text1"/>
                <w:sz w:val="18"/>
                <w:szCs w:val="18"/>
              </w:rPr>
            </w:pPr>
          </w:p>
        </w:tc>
      </w:tr>
      <w:tr w:rsidR="0032523C" w:rsidRPr="0032523C" w:rsidTr="0032523C">
        <w:trPr>
          <w:cantSplit/>
          <w:trHeight w:hRule="exact" w:val="289"/>
          <w:jc w:val="center"/>
        </w:trPr>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jc w:val="center"/>
              <w:rPr>
                <w:rFonts w:asciiTheme="majorBidi" w:hAnsiTheme="majorBidi" w:cstheme="majorBidi"/>
                <w:color w:val="000000" w:themeColor="text1"/>
                <w:sz w:val="25"/>
                <w:szCs w:val="25"/>
                <w:rtl/>
              </w:rPr>
            </w:pPr>
            <w:r w:rsidRPr="0032523C">
              <w:rPr>
                <w:rFonts w:asciiTheme="majorBidi" w:hAnsiTheme="majorBidi" w:cstheme="majorBidi"/>
                <w:b/>
                <w:bCs/>
                <w:color w:val="000000" w:themeColor="text1"/>
                <w:sz w:val="25"/>
                <w:szCs w:val="25"/>
                <w:rtl/>
              </w:rPr>
              <w:t>الجنسية</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23C" w:rsidRPr="0032523C" w:rsidRDefault="0032523C" w:rsidP="00A423BD">
            <w:pPr>
              <w:bidi w:val="0"/>
              <w:jc w:val="center"/>
              <w:rPr>
                <w:rFonts w:asciiTheme="majorBidi" w:hAnsiTheme="majorBidi" w:cstheme="majorBidi"/>
                <w:b/>
                <w:bCs/>
                <w:color w:val="000000" w:themeColor="text1"/>
                <w:sz w:val="25"/>
                <w:szCs w:val="25"/>
              </w:rPr>
            </w:pPr>
            <w:r w:rsidRPr="0032523C">
              <w:rPr>
                <w:rFonts w:asciiTheme="majorBidi" w:hAnsiTheme="majorBidi" w:cstheme="majorBidi"/>
                <w:b/>
                <w:bCs/>
                <w:color w:val="000000" w:themeColor="text1"/>
                <w:sz w:val="25"/>
                <w:szCs w:val="25"/>
              </w:rPr>
              <w:t>2015</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bidi w:val="0"/>
              <w:jc w:val="center"/>
              <w:rPr>
                <w:rFonts w:asciiTheme="majorBidi" w:hAnsiTheme="majorBidi" w:cstheme="majorBidi"/>
                <w:b/>
                <w:bCs/>
                <w:color w:val="000000" w:themeColor="text1"/>
                <w:sz w:val="25"/>
                <w:szCs w:val="25"/>
              </w:rPr>
            </w:pPr>
            <w:r w:rsidRPr="0032523C">
              <w:rPr>
                <w:rFonts w:asciiTheme="majorBidi" w:hAnsiTheme="majorBidi" w:cstheme="majorBidi"/>
                <w:b/>
                <w:bCs/>
                <w:color w:val="000000" w:themeColor="text1"/>
                <w:sz w:val="25"/>
                <w:szCs w:val="25"/>
              </w:rPr>
              <w:t>2016</w:t>
            </w:r>
          </w:p>
        </w:tc>
      </w:tr>
      <w:tr w:rsidR="0032523C" w:rsidRPr="0032523C" w:rsidTr="0032523C">
        <w:trPr>
          <w:cantSplit/>
          <w:trHeight w:hRule="exact" w:val="365"/>
          <w:jc w:val="center"/>
        </w:trPr>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tl/>
              </w:rPr>
              <w:t>فلسطيني</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23C" w:rsidRPr="0032523C" w:rsidRDefault="0032523C" w:rsidP="00A423BD">
            <w:pPr>
              <w:bidi w:val="0"/>
              <w:jc w:val="center"/>
              <w:rPr>
                <w:rFonts w:asciiTheme="majorBidi" w:hAnsiTheme="majorBidi" w:cstheme="majorBidi"/>
                <w:color w:val="000000" w:themeColor="text1"/>
                <w:sz w:val="24"/>
                <w:szCs w:val="24"/>
                <w:rtl/>
              </w:rPr>
            </w:pPr>
            <w:r w:rsidRPr="0032523C">
              <w:rPr>
                <w:rFonts w:asciiTheme="majorBidi" w:hAnsiTheme="majorBidi" w:cstheme="majorBidi"/>
                <w:color w:val="000000" w:themeColor="text1"/>
                <w:sz w:val="24"/>
                <w:szCs w:val="24"/>
              </w:rPr>
              <w:t>25,955</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21,991</w:t>
            </w:r>
          </w:p>
        </w:tc>
      </w:tr>
      <w:tr w:rsidR="0032523C" w:rsidRPr="0032523C" w:rsidTr="0032523C">
        <w:trPr>
          <w:cantSplit/>
          <w:trHeight w:hRule="exact" w:val="340"/>
          <w:jc w:val="center"/>
        </w:trPr>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rPr>
                <w:rFonts w:asciiTheme="majorBidi" w:hAnsiTheme="majorBidi" w:cstheme="majorBidi"/>
                <w:color w:val="000000" w:themeColor="text1"/>
                <w:sz w:val="24"/>
                <w:szCs w:val="24"/>
                <w:rtl/>
              </w:rPr>
            </w:pPr>
            <w:r w:rsidRPr="0032523C">
              <w:rPr>
                <w:rFonts w:asciiTheme="majorBidi" w:hAnsiTheme="majorBidi" w:cstheme="majorBidi"/>
                <w:color w:val="000000" w:themeColor="text1"/>
                <w:sz w:val="24"/>
                <w:szCs w:val="24"/>
                <w:rtl/>
              </w:rPr>
              <w:t>إسرائيلي</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30,903</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26,382</w:t>
            </w:r>
          </w:p>
          <w:p w:rsidR="0032523C" w:rsidRPr="0032523C" w:rsidRDefault="0032523C" w:rsidP="00A423BD">
            <w:pPr>
              <w:bidi w:val="0"/>
              <w:jc w:val="center"/>
              <w:rPr>
                <w:rFonts w:asciiTheme="majorBidi" w:hAnsiTheme="majorBidi" w:cstheme="majorBidi"/>
                <w:color w:val="000000" w:themeColor="text1"/>
                <w:sz w:val="24"/>
                <w:szCs w:val="24"/>
              </w:rPr>
            </w:pPr>
          </w:p>
          <w:p w:rsidR="0032523C" w:rsidRPr="0032523C" w:rsidRDefault="0032523C" w:rsidP="00A423BD">
            <w:pPr>
              <w:bidi w:val="0"/>
              <w:jc w:val="center"/>
              <w:rPr>
                <w:rFonts w:asciiTheme="majorBidi" w:hAnsiTheme="majorBidi" w:cstheme="majorBidi"/>
                <w:color w:val="000000" w:themeColor="text1"/>
                <w:sz w:val="24"/>
                <w:szCs w:val="24"/>
              </w:rPr>
            </w:pPr>
          </w:p>
        </w:tc>
      </w:tr>
      <w:tr w:rsidR="0032523C" w:rsidRPr="0032523C" w:rsidTr="0032523C">
        <w:trPr>
          <w:cantSplit/>
          <w:trHeight w:hRule="exact" w:val="340"/>
          <w:jc w:val="center"/>
        </w:trPr>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tl/>
              </w:rPr>
              <w:t>آسيا</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34,211</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37,211</w:t>
            </w:r>
          </w:p>
          <w:p w:rsidR="0032523C" w:rsidRPr="0032523C" w:rsidRDefault="0032523C" w:rsidP="00A423BD">
            <w:pPr>
              <w:bidi w:val="0"/>
              <w:jc w:val="center"/>
              <w:rPr>
                <w:rFonts w:asciiTheme="majorBidi" w:hAnsiTheme="majorBidi" w:cstheme="majorBidi"/>
                <w:color w:val="000000" w:themeColor="text1"/>
                <w:sz w:val="24"/>
                <w:szCs w:val="24"/>
              </w:rPr>
            </w:pPr>
          </w:p>
        </w:tc>
      </w:tr>
      <w:tr w:rsidR="0032523C" w:rsidRPr="0032523C" w:rsidTr="0032523C">
        <w:trPr>
          <w:cantSplit/>
          <w:trHeight w:hRule="exact" w:val="340"/>
          <w:jc w:val="center"/>
        </w:trPr>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tl/>
              </w:rPr>
              <w:t>الولايات المتحدة وكندا</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21,276</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17,998</w:t>
            </w:r>
          </w:p>
          <w:p w:rsidR="0032523C" w:rsidRPr="0032523C" w:rsidRDefault="0032523C" w:rsidP="00A423BD">
            <w:pPr>
              <w:bidi w:val="0"/>
              <w:jc w:val="center"/>
              <w:rPr>
                <w:rFonts w:asciiTheme="majorBidi" w:hAnsiTheme="majorBidi" w:cstheme="majorBidi"/>
                <w:color w:val="000000" w:themeColor="text1"/>
                <w:sz w:val="24"/>
                <w:szCs w:val="24"/>
              </w:rPr>
            </w:pPr>
          </w:p>
        </w:tc>
      </w:tr>
      <w:tr w:rsidR="0032523C" w:rsidRPr="0032523C" w:rsidTr="0032523C">
        <w:trPr>
          <w:cantSplit/>
          <w:trHeight w:hRule="exact" w:val="340"/>
          <w:jc w:val="center"/>
        </w:trPr>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tl/>
              </w:rPr>
              <w:t>الإتحاد الأوروبي</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76,340</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56,557</w:t>
            </w:r>
          </w:p>
          <w:p w:rsidR="0032523C" w:rsidRPr="0032523C" w:rsidRDefault="0032523C" w:rsidP="00A423BD">
            <w:pPr>
              <w:bidi w:val="0"/>
              <w:jc w:val="center"/>
              <w:rPr>
                <w:rFonts w:asciiTheme="majorBidi" w:hAnsiTheme="majorBidi" w:cstheme="majorBidi"/>
                <w:color w:val="000000" w:themeColor="text1"/>
                <w:sz w:val="24"/>
                <w:szCs w:val="24"/>
              </w:rPr>
            </w:pPr>
          </w:p>
        </w:tc>
      </w:tr>
      <w:tr w:rsidR="0032523C" w:rsidRPr="0032523C" w:rsidTr="0032523C">
        <w:trPr>
          <w:cantSplit/>
          <w:trHeight w:hRule="exact" w:val="340"/>
          <w:jc w:val="center"/>
        </w:trPr>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tl/>
              </w:rPr>
              <w:t>دول أوروبا الأخرى</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32,769</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16,369</w:t>
            </w:r>
          </w:p>
          <w:p w:rsidR="0032523C" w:rsidRPr="0032523C" w:rsidRDefault="0032523C" w:rsidP="00A423BD">
            <w:pPr>
              <w:bidi w:val="0"/>
              <w:jc w:val="center"/>
              <w:rPr>
                <w:rFonts w:asciiTheme="majorBidi" w:hAnsiTheme="majorBidi" w:cstheme="majorBidi"/>
                <w:color w:val="000000" w:themeColor="text1"/>
                <w:sz w:val="24"/>
                <w:szCs w:val="24"/>
              </w:rPr>
            </w:pPr>
          </w:p>
        </w:tc>
      </w:tr>
      <w:tr w:rsidR="0032523C" w:rsidRPr="0032523C" w:rsidTr="0032523C">
        <w:trPr>
          <w:cantSplit/>
          <w:trHeight w:hRule="exact" w:val="340"/>
          <w:jc w:val="center"/>
        </w:trPr>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rPr>
                <w:rFonts w:asciiTheme="majorBidi" w:hAnsiTheme="majorBidi" w:cstheme="majorBidi"/>
                <w:color w:val="000000" w:themeColor="text1"/>
                <w:sz w:val="24"/>
                <w:szCs w:val="24"/>
                <w:rtl/>
              </w:rPr>
            </w:pPr>
            <w:r w:rsidRPr="0032523C">
              <w:rPr>
                <w:rFonts w:asciiTheme="majorBidi" w:hAnsiTheme="majorBidi" w:cstheme="majorBidi"/>
                <w:color w:val="000000" w:themeColor="text1"/>
                <w:sz w:val="24"/>
                <w:szCs w:val="24"/>
                <w:rtl/>
              </w:rPr>
              <w:t>دول أخرى</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21,030</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bidi w:val="0"/>
              <w:jc w:val="center"/>
              <w:rPr>
                <w:rFonts w:asciiTheme="majorBidi" w:hAnsiTheme="majorBidi" w:cstheme="majorBidi"/>
                <w:color w:val="000000" w:themeColor="text1"/>
                <w:sz w:val="24"/>
                <w:szCs w:val="24"/>
              </w:rPr>
            </w:pPr>
            <w:r w:rsidRPr="0032523C">
              <w:rPr>
                <w:rFonts w:asciiTheme="majorBidi" w:hAnsiTheme="majorBidi" w:cstheme="majorBidi"/>
                <w:color w:val="000000" w:themeColor="text1"/>
                <w:sz w:val="24"/>
                <w:szCs w:val="24"/>
              </w:rPr>
              <w:t>17,237</w:t>
            </w:r>
          </w:p>
        </w:tc>
      </w:tr>
      <w:tr w:rsidR="0032523C" w:rsidRPr="0032523C" w:rsidTr="0032523C">
        <w:trPr>
          <w:cantSplit/>
          <w:trHeight w:hRule="exact" w:val="340"/>
          <w:jc w:val="center"/>
        </w:trPr>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rPr>
                <w:rFonts w:asciiTheme="majorBidi" w:hAnsiTheme="majorBidi" w:cstheme="majorBidi"/>
                <w:b/>
                <w:bCs/>
                <w:color w:val="000000" w:themeColor="text1"/>
                <w:sz w:val="24"/>
                <w:szCs w:val="24"/>
                <w:rtl/>
              </w:rPr>
            </w:pPr>
            <w:r w:rsidRPr="0032523C">
              <w:rPr>
                <w:rFonts w:asciiTheme="majorBidi" w:hAnsiTheme="majorBidi" w:cstheme="majorBidi"/>
                <w:b/>
                <w:bCs/>
                <w:color w:val="000000" w:themeColor="text1"/>
                <w:sz w:val="24"/>
                <w:szCs w:val="24"/>
                <w:rtl/>
              </w:rPr>
              <w:t>المجموع</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23C" w:rsidRPr="0032523C" w:rsidRDefault="0032523C" w:rsidP="00A423BD">
            <w:pPr>
              <w:bidi w:val="0"/>
              <w:jc w:val="center"/>
              <w:rPr>
                <w:rFonts w:asciiTheme="majorBidi" w:hAnsiTheme="majorBidi" w:cstheme="majorBidi"/>
                <w:b/>
                <w:bCs/>
                <w:color w:val="000000" w:themeColor="text1"/>
                <w:sz w:val="24"/>
                <w:szCs w:val="24"/>
              </w:rPr>
            </w:pPr>
            <w:r w:rsidRPr="0032523C">
              <w:rPr>
                <w:rFonts w:asciiTheme="majorBidi" w:hAnsiTheme="majorBidi" w:cstheme="majorBidi"/>
                <w:b/>
                <w:bCs/>
                <w:color w:val="000000" w:themeColor="text1"/>
                <w:sz w:val="24"/>
                <w:szCs w:val="24"/>
              </w:rPr>
              <w:t>242,484</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523C" w:rsidRPr="0032523C" w:rsidRDefault="0032523C" w:rsidP="00A423BD">
            <w:pPr>
              <w:bidi w:val="0"/>
              <w:jc w:val="center"/>
              <w:rPr>
                <w:rFonts w:asciiTheme="majorBidi" w:hAnsiTheme="majorBidi" w:cstheme="majorBidi"/>
                <w:b/>
                <w:bCs/>
                <w:color w:val="000000" w:themeColor="text1"/>
                <w:sz w:val="24"/>
                <w:szCs w:val="24"/>
              </w:rPr>
            </w:pPr>
            <w:r w:rsidRPr="0032523C">
              <w:rPr>
                <w:rFonts w:asciiTheme="majorBidi" w:hAnsiTheme="majorBidi" w:cstheme="majorBidi"/>
                <w:b/>
                <w:bCs/>
                <w:color w:val="000000" w:themeColor="text1"/>
                <w:sz w:val="24"/>
                <w:szCs w:val="24"/>
              </w:rPr>
              <w:t>193,745</w:t>
            </w:r>
          </w:p>
        </w:tc>
      </w:tr>
    </w:tbl>
    <w:p w:rsidR="0032523C" w:rsidRPr="0032523C" w:rsidRDefault="0032523C" w:rsidP="0032523C">
      <w:pPr>
        <w:jc w:val="both"/>
        <w:rPr>
          <w:rFonts w:cs="Simplified Arabic"/>
          <w:color w:val="000000" w:themeColor="text1"/>
          <w:sz w:val="16"/>
          <w:szCs w:val="16"/>
          <w:rtl/>
        </w:rPr>
      </w:pPr>
    </w:p>
    <w:p w:rsidR="0032523C" w:rsidRPr="00092168" w:rsidRDefault="0032523C" w:rsidP="0032523C">
      <w:pPr>
        <w:tabs>
          <w:tab w:val="right" w:pos="2410"/>
        </w:tabs>
        <w:jc w:val="both"/>
        <w:rPr>
          <w:rFonts w:cs="Simplified Arabic"/>
          <w:color w:val="000000" w:themeColor="text1"/>
          <w:sz w:val="2"/>
          <w:szCs w:val="2"/>
          <w:rtl/>
        </w:rPr>
      </w:pPr>
    </w:p>
    <w:p w:rsidR="0032523C" w:rsidRDefault="0032523C" w:rsidP="0032523C">
      <w:pPr>
        <w:tabs>
          <w:tab w:val="right" w:pos="2410"/>
        </w:tabs>
        <w:jc w:val="both"/>
        <w:rPr>
          <w:rFonts w:cs="Simplified Arabic"/>
          <w:color w:val="000000" w:themeColor="text1"/>
          <w:sz w:val="24"/>
          <w:szCs w:val="24"/>
          <w:rtl/>
        </w:rPr>
      </w:pPr>
      <w:r w:rsidRPr="00092168">
        <w:rPr>
          <w:rFonts w:cs="Simplified Arabic" w:hint="cs"/>
          <w:color w:val="000000" w:themeColor="text1"/>
          <w:sz w:val="24"/>
          <w:szCs w:val="24"/>
          <w:rtl/>
        </w:rPr>
        <w:t xml:space="preserve"> وقد تركز تواجد النزلاء في فنادق جنوب الضفة الغربية، حيث وصلت نسبتهم إلى 52% من مجموع النزلاء، يليها فنادق محافظة القدس بنسبة 23%، وفي وسط الضفة الغربية (محافظتي رام الله والبيرة، واريحا والأغوار) بلغت نسبتهم </w:t>
      </w:r>
      <w:r w:rsidRPr="00092168">
        <w:rPr>
          <w:rFonts w:cs="Simplified Arabic"/>
          <w:color w:val="000000" w:themeColor="text1"/>
          <w:sz w:val="24"/>
          <w:szCs w:val="24"/>
        </w:rPr>
        <w:t>15</w:t>
      </w:r>
      <w:r w:rsidRPr="00092168">
        <w:rPr>
          <w:rFonts w:cs="Simplified Arabic" w:hint="cs"/>
          <w:color w:val="000000" w:themeColor="text1"/>
          <w:sz w:val="24"/>
          <w:szCs w:val="24"/>
          <w:rtl/>
        </w:rPr>
        <w:t xml:space="preserve">%، في حين بلغت نسبة نزلاء الفنادق في شمال الضفة الغربية </w:t>
      </w:r>
      <w:r w:rsidRPr="00092168">
        <w:rPr>
          <w:rFonts w:cs="Simplified Arabic"/>
          <w:color w:val="000000" w:themeColor="text1"/>
          <w:sz w:val="24"/>
          <w:szCs w:val="24"/>
        </w:rPr>
        <w:t>10</w:t>
      </w:r>
      <w:r w:rsidRPr="00092168">
        <w:rPr>
          <w:rFonts w:cs="Simplified Arabic" w:hint="cs"/>
          <w:color w:val="000000" w:themeColor="text1"/>
          <w:sz w:val="24"/>
          <w:szCs w:val="24"/>
          <w:rtl/>
        </w:rPr>
        <w:t>%.</w:t>
      </w:r>
    </w:p>
    <w:p w:rsidR="0032523C" w:rsidRPr="0032523C" w:rsidRDefault="0032523C" w:rsidP="0032523C">
      <w:pPr>
        <w:tabs>
          <w:tab w:val="right" w:pos="2410"/>
        </w:tabs>
        <w:jc w:val="both"/>
        <w:rPr>
          <w:rFonts w:cs="Simplified Arabic"/>
          <w:color w:val="000000" w:themeColor="text1"/>
          <w:sz w:val="16"/>
          <w:szCs w:val="16"/>
          <w:rtl/>
        </w:rPr>
      </w:pPr>
    </w:p>
    <w:p w:rsidR="0032523C" w:rsidRPr="00C66A45" w:rsidRDefault="0032523C" w:rsidP="00C66A45">
      <w:pPr>
        <w:jc w:val="both"/>
        <w:rPr>
          <w:rFonts w:cs="Simplified Arabic"/>
          <w:color w:val="000000" w:themeColor="text1"/>
          <w:sz w:val="24"/>
          <w:szCs w:val="24"/>
          <w:rtl/>
        </w:rPr>
      </w:pPr>
      <w:r w:rsidRPr="00092168">
        <w:rPr>
          <w:rFonts w:cs="Simplified Arabic" w:hint="cs"/>
          <w:color w:val="000000" w:themeColor="text1"/>
          <w:sz w:val="24"/>
          <w:szCs w:val="24"/>
          <w:rtl/>
        </w:rPr>
        <w:t xml:space="preserve">بلغ عدد الفنادق العاملة </w:t>
      </w:r>
      <w:r w:rsidRPr="00092168">
        <w:rPr>
          <w:rFonts w:cs="Simplified Arabic"/>
          <w:color w:val="000000" w:themeColor="text1"/>
          <w:sz w:val="24"/>
          <w:szCs w:val="24"/>
          <w:rtl/>
        </w:rPr>
        <w:t xml:space="preserve">في </w:t>
      </w:r>
      <w:r w:rsidRPr="00092168">
        <w:rPr>
          <w:rFonts w:cs="Simplified Arabic" w:hint="cs"/>
          <w:color w:val="000000" w:themeColor="text1"/>
          <w:sz w:val="24"/>
          <w:szCs w:val="24"/>
          <w:rtl/>
        </w:rPr>
        <w:t>الضفة الغربية 113 فندقاً في شهر حزيران 2016 وبلغ عدد الغرف</w:t>
      </w:r>
      <w:r w:rsidRPr="00092168">
        <w:rPr>
          <w:rFonts w:cs="Simplified Arabic"/>
          <w:color w:val="000000" w:themeColor="text1"/>
          <w:sz w:val="24"/>
          <w:szCs w:val="24"/>
        </w:rPr>
        <w:t xml:space="preserve">,710 </w:t>
      </w:r>
      <w:r>
        <w:rPr>
          <w:rFonts w:cs="Simplified Arabic" w:hint="cs"/>
          <w:color w:val="000000" w:themeColor="text1"/>
          <w:sz w:val="24"/>
          <w:szCs w:val="24"/>
          <w:rtl/>
        </w:rPr>
        <w:t>6 غرف</w:t>
      </w:r>
      <w:r w:rsidRPr="00092168">
        <w:rPr>
          <w:rFonts w:cs="Simplified Arabic" w:hint="cs"/>
          <w:color w:val="000000" w:themeColor="text1"/>
          <w:sz w:val="24"/>
          <w:szCs w:val="24"/>
          <w:rtl/>
        </w:rPr>
        <w:t>،</w:t>
      </w:r>
      <w:r w:rsidRPr="00092168">
        <w:rPr>
          <w:rFonts w:cs="Simplified Arabic"/>
          <w:color w:val="000000" w:themeColor="text1"/>
          <w:sz w:val="24"/>
          <w:szCs w:val="24"/>
          <w:rtl/>
        </w:rPr>
        <w:t xml:space="preserve"> </w:t>
      </w:r>
      <w:r w:rsidRPr="00092168">
        <w:rPr>
          <w:rFonts w:cs="Simplified Arabic" w:hint="cs"/>
          <w:color w:val="000000" w:themeColor="text1"/>
          <w:sz w:val="24"/>
          <w:szCs w:val="24"/>
          <w:rtl/>
        </w:rPr>
        <w:t xml:space="preserve">وعدد الاسرَّة </w:t>
      </w:r>
      <w:r w:rsidRPr="00092168">
        <w:rPr>
          <w:rFonts w:cs="Simplified Arabic"/>
          <w:color w:val="000000" w:themeColor="text1"/>
          <w:sz w:val="24"/>
          <w:szCs w:val="24"/>
        </w:rPr>
        <w:t>14,798</w:t>
      </w:r>
      <w:r w:rsidRPr="00092168">
        <w:rPr>
          <w:rFonts w:cs="Simplified Arabic" w:hint="cs"/>
          <w:color w:val="000000" w:themeColor="text1"/>
          <w:sz w:val="24"/>
          <w:szCs w:val="24"/>
          <w:rtl/>
        </w:rPr>
        <w:t xml:space="preserve"> سريراً.</w:t>
      </w:r>
    </w:p>
    <w:p w:rsidR="0032523C" w:rsidRDefault="0032523C" w:rsidP="0032523C">
      <w:pPr>
        <w:jc w:val="both"/>
        <w:rPr>
          <w:rFonts w:cs="Simplified Arabic"/>
          <w:b/>
          <w:bCs/>
          <w:color w:val="000000" w:themeColor="text1"/>
          <w:rtl/>
        </w:rPr>
      </w:pPr>
      <w:r w:rsidRPr="00092168">
        <w:rPr>
          <w:rFonts w:cs="Simplified Arabic" w:hint="cs"/>
          <w:color w:val="000000" w:themeColor="text1"/>
          <w:sz w:val="24"/>
          <w:szCs w:val="24"/>
          <w:rtl/>
        </w:rPr>
        <w:t xml:space="preserve">ويعمل فيها ما </w:t>
      </w:r>
      <w:r w:rsidRPr="00092168">
        <w:rPr>
          <w:rFonts w:cs="Simplified Arabic"/>
          <w:color w:val="000000" w:themeColor="text1"/>
          <w:sz w:val="24"/>
          <w:szCs w:val="24"/>
          <w:rtl/>
        </w:rPr>
        <w:t>متوسط</w:t>
      </w:r>
      <w:r w:rsidRPr="00092168">
        <w:rPr>
          <w:rFonts w:cs="Simplified Arabic" w:hint="cs"/>
          <w:color w:val="000000" w:themeColor="text1"/>
          <w:sz w:val="24"/>
          <w:szCs w:val="24"/>
          <w:rtl/>
        </w:rPr>
        <w:t xml:space="preserve">ه </w:t>
      </w:r>
      <w:r w:rsidRPr="00092168">
        <w:rPr>
          <w:rFonts w:cs="Simplified Arabic"/>
          <w:color w:val="000000" w:themeColor="text1"/>
          <w:sz w:val="24"/>
          <w:szCs w:val="24"/>
        </w:rPr>
        <w:t>2,867</w:t>
      </w:r>
      <w:r w:rsidRPr="00092168">
        <w:rPr>
          <w:rFonts w:cs="Simplified Arabic" w:hint="cs"/>
          <w:color w:val="000000" w:themeColor="text1"/>
          <w:sz w:val="24"/>
          <w:szCs w:val="24"/>
          <w:rtl/>
        </w:rPr>
        <w:t xml:space="preserve"> عامل، منهم 204</w:t>
      </w:r>
      <w:r w:rsidRPr="00092168">
        <w:rPr>
          <w:rFonts w:cs="Simplified Arabic"/>
          <w:color w:val="000000" w:themeColor="text1"/>
          <w:sz w:val="24"/>
          <w:szCs w:val="24"/>
        </w:rPr>
        <w:t>2,</w:t>
      </w:r>
      <w:r w:rsidRPr="00092168">
        <w:rPr>
          <w:rFonts w:cs="Simplified Arabic" w:hint="cs"/>
          <w:color w:val="000000" w:themeColor="text1"/>
          <w:sz w:val="24"/>
          <w:szCs w:val="24"/>
          <w:rtl/>
        </w:rPr>
        <w:t xml:space="preserve"> ذك</w:t>
      </w:r>
      <w:r>
        <w:rPr>
          <w:rFonts w:cs="Simplified Arabic" w:hint="cs"/>
          <w:color w:val="000000" w:themeColor="text1"/>
          <w:sz w:val="24"/>
          <w:szCs w:val="24"/>
          <w:rtl/>
        </w:rPr>
        <w:t>و</w:t>
      </w:r>
      <w:r w:rsidRPr="00092168">
        <w:rPr>
          <w:rFonts w:cs="Simplified Arabic" w:hint="cs"/>
          <w:color w:val="000000" w:themeColor="text1"/>
          <w:sz w:val="24"/>
          <w:szCs w:val="24"/>
          <w:rtl/>
        </w:rPr>
        <w:t>ر و663 إن</w:t>
      </w:r>
      <w:r>
        <w:rPr>
          <w:rFonts w:cs="Simplified Arabic" w:hint="cs"/>
          <w:color w:val="000000" w:themeColor="text1"/>
          <w:sz w:val="24"/>
          <w:szCs w:val="24"/>
          <w:rtl/>
        </w:rPr>
        <w:t>ثى</w:t>
      </w:r>
      <w:r w:rsidRPr="00092168">
        <w:rPr>
          <w:rFonts w:cs="Simplified Arabic" w:hint="cs"/>
          <w:color w:val="000000" w:themeColor="text1"/>
          <w:sz w:val="24"/>
          <w:szCs w:val="24"/>
          <w:rtl/>
        </w:rPr>
        <w:t xml:space="preserve"> خلال النصف الاول من العام 2016.</w:t>
      </w:r>
    </w:p>
    <w:p w:rsidR="0032523C" w:rsidRPr="0032523C" w:rsidRDefault="0032523C" w:rsidP="0032523C">
      <w:pPr>
        <w:jc w:val="both"/>
        <w:rPr>
          <w:rFonts w:cs="Simplified Arabic"/>
          <w:b/>
          <w:bCs/>
          <w:color w:val="000000" w:themeColor="text1"/>
          <w:sz w:val="16"/>
          <w:szCs w:val="16"/>
          <w:rtl/>
        </w:rPr>
      </w:pPr>
    </w:p>
    <w:p w:rsidR="0032523C" w:rsidRPr="0032523C" w:rsidRDefault="0032523C" w:rsidP="0032523C">
      <w:pPr>
        <w:jc w:val="both"/>
        <w:rPr>
          <w:rFonts w:cs="Simplified Arabic"/>
          <w:b/>
          <w:bCs/>
          <w:color w:val="000000" w:themeColor="text1"/>
          <w:sz w:val="25"/>
          <w:szCs w:val="25"/>
        </w:rPr>
      </w:pPr>
      <w:r w:rsidRPr="0032523C">
        <w:rPr>
          <w:rFonts w:cs="Simplified Arabic"/>
          <w:b/>
          <w:bCs/>
          <w:color w:val="000000" w:themeColor="text1"/>
          <w:sz w:val="25"/>
          <w:szCs w:val="25"/>
          <w:rtl/>
        </w:rPr>
        <w:t>حوالي 064</w:t>
      </w:r>
      <w:r w:rsidRPr="0032523C">
        <w:rPr>
          <w:rFonts w:cs="Simplified Arabic"/>
          <w:b/>
          <w:bCs/>
          <w:color w:val="000000" w:themeColor="text1"/>
          <w:sz w:val="25"/>
          <w:szCs w:val="25"/>
        </w:rPr>
        <w:t>,</w:t>
      </w:r>
      <w:r w:rsidRPr="0032523C">
        <w:rPr>
          <w:rFonts w:cs="Simplified Arabic"/>
          <w:b/>
          <w:bCs/>
          <w:color w:val="000000" w:themeColor="text1"/>
          <w:sz w:val="25"/>
          <w:szCs w:val="25"/>
          <w:rtl/>
        </w:rPr>
        <w:t>7 منشأة عاملة في القطاع السياحي في فلسطين خلال عام 2014</w:t>
      </w:r>
    </w:p>
    <w:p w:rsidR="0032523C" w:rsidRDefault="0032523C" w:rsidP="0032523C">
      <w:pPr>
        <w:pStyle w:val="Header"/>
        <w:tabs>
          <w:tab w:val="left" w:pos="720"/>
        </w:tabs>
        <w:ind w:left="-1"/>
        <w:jc w:val="both"/>
        <w:rPr>
          <w:rFonts w:cs="Simplified Arabic"/>
          <w:color w:val="000000" w:themeColor="text1"/>
          <w:sz w:val="24"/>
          <w:szCs w:val="24"/>
          <w:rtl/>
        </w:rPr>
      </w:pPr>
      <w:r w:rsidRPr="00092168">
        <w:rPr>
          <w:rFonts w:cs="Simplified Arabic"/>
          <w:color w:val="000000" w:themeColor="text1"/>
          <w:sz w:val="24"/>
          <w:szCs w:val="24"/>
          <w:rtl/>
        </w:rPr>
        <w:t>ما يقارب 064</w:t>
      </w:r>
      <w:r w:rsidRPr="00092168">
        <w:rPr>
          <w:rFonts w:cs="Simplified Arabic"/>
          <w:color w:val="000000" w:themeColor="text1"/>
          <w:sz w:val="24"/>
          <w:szCs w:val="24"/>
        </w:rPr>
        <w:t>,</w:t>
      </w:r>
      <w:r w:rsidRPr="00092168">
        <w:rPr>
          <w:rFonts w:cs="Simplified Arabic"/>
          <w:color w:val="000000" w:themeColor="text1"/>
          <w:sz w:val="24"/>
          <w:szCs w:val="24"/>
          <w:rtl/>
        </w:rPr>
        <w:t>7 منشأة عاملة في القطاع السياحي في فلسطين خلال عام 2014  تشمل: 2,634 منشأة عاملة في مجال أنشطة المطاعم، و1,129 منشأة لبيع التحف والهدايا التذكارية، و1,667 منشأة لتقديم المشروبات، و224 منشأة عاملة في الصناعات التقليدية والتحف الخشبية، و237 منشأة لتأجير المركبات اضافة الى 108 منشآت لتنظيم رحلات الحج والعمرة، و116 منشأة عاملة في مجال أنشطة الإقامة قصيرة المدى (الفنادق)، اضافة الى 58 وكالة سياحة وسفر، فيما تتوزع 891 منشأة عاملة في مجال التسلية والترفيه والانشطة الابداعية والفنون وانشطة سياحية أخرى.</w:t>
      </w:r>
    </w:p>
    <w:p w:rsidR="0032523C" w:rsidRPr="0032523C" w:rsidRDefault="0032523C" w:rsidP="0032523C">
      <w:pPr>
        <w:pStyle w:val="Header"/>
        <w:tabs>
          <w:tab w:val="left" w:pos="720"/>
        </w:tabs>
        <w:ind w:left="-1"/>
        <w:jc w:val="both"/>
        <w:rPr>
          <w:rFonts w:cs="Simplified Arabic"/>
          <w:color w:val="000000" w:themeColor="text1"/>
          <w:sz w:val="16"/>
          <w:szCs w:val="16"/>
          <w:rtl/>
        </w:rPr>
      </w:pPr>
    </w:p>
    <w:p w:rsidR="0032523C" w:rsidRPr="0032523C" w:rsidRDefault="0032523C" w:rsidP="0032523C">
      <w:pPr>
        <w:pStyle w:val="Header"/>
        <w:tabs>
          <w:tab w:val="left" w:pos="720"/>
        </w:tabs>
        <w:ind w:left="-1"/>
        <w:jc w:val="both"/>
        <w:rPr>
          <w:rFonts w:cs="Simplified Arabic"/>
          <w:color w:val="000000" w:themeColor="text1"/>
          <w:sz w:val="25"/>
          <w:szCs w:val="25"/>
          <w:rtl/>
        </w:rPr>
      </w:pPr>
      <w:r w:rsidRPr="0032523C">
        <w:rPr>
          <w:rFonts w:cs="Simplified Arabic"/>
          <w:b/>
          <w:bCs/>
          <w:color w:val="000000" w:themeColor="text1"/>
          <w:sz w:val="25"/>
          <w:szCs w:val="25"/>
          <w:rtl/>
        </w:rPr>
        <w:t>603.2 مل</w:t>
      </w:r>
      <w:r w:rsidRPr="0032523C">
        <w:rPr>
          <w:rFonts w:cs="Simplified Arabic" w:hint="cs"/>
          <w:b/>
          <w:bCs/>
          <w:color w:val="000000" w:themeColor="text1"/>
          <w:sz w:val="25"/>
          <w:szCs w:val="25"/>
          <w:rtl/>
        </w:rPr>
        <w:t>ايين</w:t>
      </w:r>
      <w:r w:rsidRPr="0032523C">
        <w:rPr>
          <w:rFonts w:cs="Simplified Arabic"/>
          <w:b/>
          <w:bCs/>
          <w:color w:val="000000" w:themeColor="text1"/>
          <w:sz w:val="25"/>
          <w:szCs w:val="25"/>
          <w:rtl/>
        </w:rPr>
        <w:t xml:space="preserve"> دولار أمريكي اجمالي الانتاج للأنشطة السياحية خلال عام 2014</w:t>
      </w:r>
    </w:p>
    <w:p w:rsidR="008B3174" w:rsidRPr="0032523C" w:rsidRDefault="0032523C" w:rsidP="0032523C">
      <w:pPr>
        <w:pStyle w:val="Header"/>
        <w:tabs>
          <w:tab w:val="left" w:pos="720"/>
        </w:tabs>
        <w:ind w:left="-1"/>
        <w:jc w:val="both"/>
        <w:rPr>
          <w:rFonts w:cs="Simplified Arabic"/>
          <w:color w:val="000000" w:themeColor="text1"/>
          <w:sz w:val="24"/>
          <w:szCs w:val="24"/>
        </w:rPr>
      </w:pPr>
      <w:r w:rsidRPr="00092168">
        <w:rPr>
          <w:rFonts w:cs="Simplified Arabic"/>
          <w:color w:val="000000" w:themeColor="text1"/>
          <w:sz w:val="24"/>
          <w:szCs w:val="24"/>
          <w:rtl/>
        </w:rPr>
        <w:t>بلغ إجمالي قيمة الانتاج للأنشطة السياحية نحو 603.2 مل</w:t>
      </w:r>
      <w:r>
        <w:rPr>
          <w:rFonts w:cs="Simplified Arabic" w:hint="cs"/>
          <w:color w:val="000000" w:themeColor="text1"/>
          <w:sz w:val="24"/>
          <w:szCs w:val="24"/>
          <w:rtl/>
        </w:rPr>
        <w:t>ايين</w:t>
      </w:r>
      <w:r w:rsidRPr="00092168">
        <w:rPr>
          <w:rFonts w:cs="Simplified Arabic"/>
          <w:color w:val="000000" w:themeColor="text1"/>
          <w:sz w:val="24"/>
          <w:szCs w:val="24"/>
          <w:rtl/>
        </w:rPr>
        <w:t xml:space="preserve"> دولار أمريكي خلال عام 2014، 38% من هذه القيمة كانت لأنشطة المطاعم، و22% لأنشطة الاقامة في حين بلغت حصة نشاط تقديم المشروبات من اجمالي الانتاج 12%، </w:t>
      </w:r>
      <w:r>
        <w:rPr>
          <w:rFonts w:cs="Simplified Arabic" w:hint="cs"/>
          <w:color w:val="000000" w:themeColor="text1"/>
          <w:sz w:val="24"/>
          <w:szCs w:val="24"/>
          <w:rtl/>
        </w:rPr>
        <w:t xml:space="preserve"> </w:t>
      </w:r>
      <w:r w:rsidRPr="00092168">
        <w:rPr>
          <w:rFonts w:cs="Simplified Arabic"/>
          <w:color w:val="000000" w:themeColor="text1"/>
          <w:sz w:val="24"/>
          <w:szCs w:val="24"/>
          <w:rtl/>
        </w:rPr>
        <w:t>وبلغت قيمة انتاج أنشطة تأجير المركبات (بدون سائق)</w:t>
      </w:r>
      <w:r>
        <w:rPr>
          <w:rFonts w:cs="Simplified Arabic" w:hint="cs"/>
          <w:color w:val="000000" w:themeColor="text1"/>
          <w:sz w:val="24"/>
          <w:szCs w:val="24"/>
          <w:rtl/>
        </w:rPr>
        <w:t xml:space="preserve"> </w:t>
      </w:r>
      <w:r w:rsidRPr="00092168">
        <w:rPr>
          <w:rFonts w:cs="Simplified Arabic"/>
          <w:color w:val="000000" w:themeColor="text1"/>
          <w:sz w:val="24"/>
          <w:szCs w:val="24"/>
          <w:rtl/>
        </w:rPr>
        <w:t>ما نسبته 7%، ونشاط صناعة وتجارة التحف والهدايا التذكارية</w:t>
      </w:r>
      <w:r>
        <w:rPr>
          <w:rFonts w:cs="Simplified Arabic" w:hint="cs"/>
          <w:color w:val="000000" w:themeColor="text1"/>
          <w:sz w:val="24"/>
          <w:szCs w:val="24"/>
          <w:rtl/>
        </w:rPr>
        <w:t xml:space="preserve"> كذلك 7%</w:t>
      </w:r>
      <w:r w:rsidRPr="00092168">
        <w:rPr>
          <w:rFonts w:cs="Simplified Arabic"/>
          <w:color w:val="000000" w:themeColor="text1"/>
          <w:sz w:val="24"/>
          <w:szCs w:val="24"/>
          <w:rtl/>
        </w:rPr>
        <w:t>، فيما تتوزع 14% على بقية الأنشطة السياحية الأخرى.</w:t>
      </w:r>
    </w:p>
    <w:sectPr w:rsidR="008B3174" w:rsidRPr="0032523C" w:rsidSect="0032523C">
      <w:footerReference w:type="default" r:id="rId8"/>
      <w:pgSz w:w="12240" w:h="15840"/>
      <w:pgMar w:top="720" w:right="720" w:bottom="720" w:left="72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3D9" w:rsidRDefault="00F603D9" w:rsidP="0032523C">
      <w:r>
        <w:separator/>
      </w:r>
    </w:p>
  </w:endnote>
  <w:endnote w:type="continuationSeparator" w:id="0">
    <w:p w:rsidR="00F603D9" w:rsidRDefault="00F603D9" w:rsidP="003252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11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21578858"/>
      <w:docPartObj>
        <w:docPartGallery w:val="Page Numbers (Bottom of Page)"/>
        <w:docPartUnique/>
      </w:docPartObj>
    </w:sdtPr>
    <w:sdtContent>
      <w:p w:rsidR="0032523C" w:rsidRDefault="008E649C">
        <w:pPr>
          <w:pStyle w:val="Footer"/>
          <w:jc w:val="center"/>
        </w:pPr>
        <w:fldSimple w:instr=" PAGE   \* MERGEFORMAT ">
          <w:r w:rsidR="00832D7C">
            <w:rPr>
              <w:rtl/>
            </w:rPr>
            <w:t>1</w:t>
          </w:r>
        </w:fldSimple>
      </w:p>
    </w:sdtContent>
  </w:sdt>
  <w:p w:rsidR="0032523C" w:rsidRDefault="003252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3D9" w:rsidRDefault="00F603D9" w:rsidP="0032523C">
      <w:r>
        <w:separator/>
      </w:r>
    </w:p>
  </w:footnote>
  <w:footnote w:type="continuationSeparator" w:id="0">
    <w:p w:rsidR="00F603D9" w:rsidRDefault="00F603D9" w:rsidP="003252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32523C"/>
    <w:rsid w:val="0007591D"/>
    <w:rsid w:val="0032523C"/>
    <w:rsid w:val="004B40C8"/>
    <w:rsid w:val="005E7849"/>
    <w:rsid w:val="007E4D17"/>
    <w:rsid w:val="00832D7C"/>
    <w:rsid w:val="008B3174"/>
    <w:rsid w:val="008E649C"/>
    <w:rsid w:val="00C55EA2"/>
    <w:rsid w:val="00C66A45"/>
    <w:rsid w:val="00CB17CE"/>
    <w:rsid w:val="00E92BBB"/>
    <w:rsid w:val="00EC31A7"/>
    <w:rsid w:val="00F603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3C"/>
    <w:pPr>
      <w:bidi/>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523C"/>
    <w:pPr>
      <w:tabs>
        <w:tab w:val="center" w:pos="4153"/>
        <w:tab w:val="right" w:pos="8306"/>
      </w:tabs>
    </w:pPr>
    <w:rPr>
      <w:noProof w:val="0"/>
      <w:lang w:eastAsia="ar-SA"/>
    </w:rPr>
  </w:style>
  <w:style w:type="character" w:customStyle="1" w:styleId="HeaderChar">
    <w:name w:val="Header Char"/>
    <w:basedOn w:val="DefaultParagraphFont"/>
    <w:link w:val="Header"/>
    <w:rsid w:val="0032523C"/>
    <w:rPr>
      <w:rFonts w:ascii="Times New Roman" w:eastAsia="Times New Roman" w:hAnsi="Times New Roman" w:cs="Traditional Arabic"/>
      <w:sz w:val="20"/>
      <w:szCs w:val="20"/>
      <w:lang w:eastAsia="ar-SA"/>
    </w:rPr>
  </w:style>
  <w:style w:type="paragraph" w:styleId="BodyText2">
    <w:name w:val="Body Text 2"/>
    <w:basedOn w:val="Normal"/>
    <w:link w:val="BodyText2Char"/>
    <w:uiPriority w:val="99"/>
    <w:unhideWhenUsed/>
    <w:rsid w:val="0032523C"/>
    <w:pPr>
      <w:spacing w:after="120" w:line="480" w:lineRule="auto"/>
    </w:pPr>
    <w:rPr>
      <w:rFonts w:asciiTheme="minorHAnsi" w:eastAsiaTheme="minorHAnsi" w:hAnsiTheme="minorHAnsi" w:cstheme="minorBidi"/>
      <w:noProof w:val="0"/>
      <w:sz w:val="22"/>
      <w:szCs w:val="22"/>
    </w:rPr>
  </w:style>
  <w:style w:type="character" w:customStyle="1" w:styleId="BodyText2Char">
    <w:name w:val="Body Text 2 Char"/>
    <w:basedOn w:val="DefaultParagraphFont"/>
    <w:link w:val="BodyText2"/>
    <w:uiPriority w:val="99"/>
    <w:rsid w:val="0032523C"/>
  </w:style>
  <w:style w:type="character" w:styleId="Hyperlink">
    <w:name w:val="Hyperlink"/>
    <w:basedOn w:val="DefaultParagraphFont"/>
    <w:semiHidden/>
    <w:rsid w:val="0032523C"/>
    <w:rPr>
      <w:color w:val="0000FF"/>
      <w:u w:val="single"/>
    </w:rPr>
  </w:style>
  <w:style w:type="paragraph" w:styleId="BalloonText">
    <w:name w:val="Balloon Text"/>
    <w:basedOn w:val="Normal"/>
    <w:link w:val="BalloonTextChar"/>
    <w:uiPriority w:val="99"/>
    <w:semiHidden/>
    <w:unhideWhenUsed/>
    <w:rsid w:val="0032523C"/>
    <w:rPr>
      <w:rFonts w:ascii="Tahoma" w:hAnsi="Tahoma" w:cs="Tahoma"/>
      <w:sz w:val="16"/>
      <w:szCs w:val="16"/>
    </w:rPr>
  </w:style>
  <w:style w:type="character" w:customStyle="1" w:styleId="BalloonTextChar">
    <w:name w:val="Balloon Text Char"/>
    <w:basedOn w:val="DefaultParagraphFont"/>
    <w:link w:val="BalloonText"/>
    <w:uiPriority w:val="99"/>
    <w:semiHidden/>
    <w:rsid w:val="0032523C"/>
    <w:rPr>
      <w:rFonts w:ascii="Tahoma" w:eastAsia="Times New Roman" w:hAnsi="Tahoma" w:cs="Tahoma"/>
      <w:noProof/>
      <w:sz w:val="16"/>
      <w:szCs w:val="16"/>
    </w:rPr>
  </w:style>
  <w:style w:type="paragraph" w:styleId="Footer">
    <w:name w:val="footer"/>
    <w:basedOn w:val="Normal"/>
    <w:link w:val="FooterChar"/>
    <w:uiPriority w:val="99"/>
    <w:unhideWhenUsed/>
    <w:rsid w:val="0032523C"/>
    <w:pPr>
      <w:tabs>
        <w:tab w:val="center" w:pos="4153"/>
        <w:tab w:val="right" w:pos="8306"/>
      </w:tabs>
    </w:pPr>
  </w:style>
  <w:style w:type="character" w:customStyle="1" w:styleId="FooterChar">
    <w:name w:val="Footer Char"/>
    <w:basedOn w:val="DefaultParagraphFont"/>
    <w:link w:val="Footer"/>
    <w:uiPriority w:val="99"/>
    <w:rsid w:val="0032523C"/>
    <w:rPr>
      <w:rFonts w:ascii="Times New Roman" w:eastAsia="Times New Roman" w:hAnsi="Times New Roman" w:cs="Traditional Arabic"/>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6603437383467454"/>
          <c:y val="8.2018428652264067E-2"/>
          <c:w val="0.78915335338388748"/>
          <c:h val="0.67193428008246969"/>
        </c:manualLayout>
      </c:layout>
      <c:lineChart>
        <c:grouping val="standard"/>
        <c:ser>
          <c:idx val="0"/>
          <c:order val="0"/>
          <c:tx>
            <c:strRef>
              <c:f>Sheet1!$A$2</c:f>
              <c:strCache>
                <c:ptCount val="1"/>
                <c:pt idx="0">
                  <c:v>زوار وافدين</c:v>
                </c:pt>
              </c:strCache>
            </c:strRef>
          </c:tx>
          <c:cat>
            <c:strRef>
              <c:f>Sheet1!$B$1:$J$1</c:f>
              <c:strCache>
                <c:ptCount val="9"/>
                <c:pt idx="0">
                  <c:v>2008</c:v>
                </c:pt>
                <c:pt idx="1">
                  <c:v>2009</c:v>
                </c:pt>
                <c:pt idx="2">
                  <c:v>2010</c:v>
                </c:pt>
                <c:pt idx="3">
                  <c:v>2011</c:v>
                </c:pt>
                <c:pt idx="4">
                  <c:v>2012</c:v>
                </c:pt>
                <c:pt idx="5">
                  <c:v>2013</c:v>
                </c:pt>
                <c:pt idx="6">
                  <c:v>2014</c:v>
                </c:pt>
                <c:pt idx="7">
                  <c:v>2015</c:v>
                </c:pt>
                <c:pt idx="8">
                  <c:v>2016</c:v>
                </c:pt>
              </c:strCache>
            </c:strRef>
          </c:cat>
          <c:val>
            <c:numRef>
              <c:f>Sheet1!$B$2:$J$2</c:f>
              <c:numCache>
                <c:formatCode>#,##0</c:formatCode>
                <c:ptCount val="9"/>
                <c:pt idx="0">
                  <c:v>692</c:v>
                </c:pt>
                <c:pt idx="1">
                  <c:v>521</c:v>
                </c:pt>
                <c:pt idx="2">
                  <c:v>933</c:v>
                </c:pt>
                <c:pt idx="3" formatCode="_-* #,##0_-;_-* #,##0\-;_-* &quot;-&quot;??_-;_-@_-">
                  <c:v>1014</c:v>
                </c:pt>
                <c:pt idx="4" formatCode="_-* #,##0_-;_-* #,##0\-;_-* &quot;-&quot;??_-;_-@_-">
                  <c:v>1250</c:v>
                </c:pt>
                <c:pt idx="5">
                  <c:v>1235</c:v>
                </c:pt>
                <c:pt idx="6">
                  <c:v>1472</c:v>
                </c:pt>
                <c:pt idx="7">
                  <c:v>999</c:v>
                </c:pt>
                <c:pt idx="8">
                  <c:v>952</c:v>
                </c:pt>
              </c:numCache>
            </c:numRef>
          </c:val>
        </c:ser>
        <c:marker val="1"/>
        <c:axId val="142327808"/>
        <c:axId val="142329344"/>
      </c:lineChart>
      <c:catAx>
        <c:axId val="142327808"/>
        <c:scaling>
          <c:orientation val="minMax"/>
        </c:scaling>
        <c:axPos val="b"/>
        <c:numFmt formatCode="General" sourceLinked="1"/>
        <c:majorTickMark val="none"/>
        <c:tickLblPos val="nextTo"/>
        <c:txPr>
          <a:bodyPr rot="-2700000" vert="horz"/>
          <a:lstStyle/>
          <a:p>
            <a:pPr>
              <a:defRPr sz="800"/>
            </a:pPr>
            <a:endParaRPr lang="ar-SA"/>
          </a:p>
        </c:txPr>
        <c:crossAx val="142329344"/>
        <c:crosses val="autoZero"/>
        <c:auto val="1"/>
        <c:lblAlgn val="ctr"/>
        <c:lblOffset val="100"/>
        <c:tickLblSkip val="1"/>
        <c:tickMarkSkip val="1"/>
      </c:catAx>
      <c:valAx>
        <c:axId val="142329344"/>
        <c:scaling>
          <c:orientation val="minMax"/>
        </c:scaling>
        <c:axPos val="l"/>
        <c:title>
          <c:tx>
            <c:rich>
              <a:bodyPr/>
              <a:lstStyle/>
              <a:p>
                <a:pPr>
                  <a:defRPr/>
                </a:pPr>
                <a:r>
                  <a:rPr lang="ar-SA" sz="900"/>
                  <a:t>بالألف</a:t>
                </a:r>
                <a:endParaRPr lang="ar-SA"/>
              </a:p>
            </c:rich>
          </c:tx>
        </c:title>
        <c:numFmt formatCode="#,##0" sourceLinked="0"/>
        <c:majorTickMark val="none"/>
        <c:tickLblPos val="nextTo"/>
        <c:txPr>
          <a:bodyPr rot="60000" vert="horz"/>
          <a:lstStyle/>
          <a:p>
            <a:pPr>
              <a:defRPr sz="800"/>
            </a:pPr>
            <a:endParaRPr lang="ar-SA"/>
          </a:p>
        </c:txPr>
        <c:crossAx val="142327808"/>
        <c:crosses val="autoZero"/>
        <c:crossBetween val="between"/>
      </c:valAx>
      <c:spPr>
        <a:ln>
          <a:noFill/>
        </a:ln>
      </c:spPr>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0.25954</cdr:x>
      <cdr:y>0.89888</cdr:y>
    </cdr:from>
    <cdr:to>
      <cdr:x>0.45324</cdr:x>
      <cdr:y>0.94007</cdr:y>
    </cdr:to>
    <cdr:sp macro="" textlink="">
      <cdr:nvSpPr>
        <cdr:cNvPr id="2" name="TextBox 1"/>
        <cdr:cNvSpPr txBox="1"/>
      </cdr:nvSpPr>
      <cdr:spPr>
        <a:xfrm xmlns:a="http://schemas.openxmlformats.org/drawingml/2006/main">
          <a:off x="809086" y="2070339"/>
          <a:ext cx="603849" cy="94891"/>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0.27891</cdr:x>
      <cdr:y>0.88764</cdr:y>
    </cdr:from>
    <cdr:to>
      <cdr:x>0.77146</cdr:x>
      <cdr:y>0.97004</cdr:y>
    </cdr:to>
    <cdr:sp macro="" textlink="">
      <cdr:nvSpPr>
        <cdr:cNvPr id="3" name="TextBox 2"/>
        <cdr:cNvSpPr txBox="1"/>
      </cdr:nvSpPr>
      <cdr:spPr>
        <a:xfrm xmlns:a="http://schemas.openxmlformats.org/drawingml/2006/main">
          <a:off x="869471" y="2044460"/>
          <a:ext cx="1535502" cy="189781"/>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algn="ctr"/>
          <a:r>
            <a:rPr lang="ar-SA" sz="900" b="1"/>
            <a:t>النصف الأول من العام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A3DD-EDB7-4894-96B1-FFAB3948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loays</cp:lastModifiedBy>
  <cp:revision>5</cp:revision>
  <dcterms:created xsi:type="dcterms:W3CDTF">2016-09-25T08:52:00Z</dcterms:created>
  <dcterms:modified xsi:type="dcterms:W3CDTF">2016-09-25T09:50:00Z</dcterms:modified>
</cp:coreProperties>
</file>