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8F24F" w14:textId="55E89D33" w:rsidR="00CB4556" w:rsidRPr="00FF2A2E" w:rsidRDefault="00FF2A2E" w:rsidP="007C1CE2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</w:t>
      </w:r>
      <w:r w:rsidR="00430052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يصدر</w:t>
      </w:r>
      <w:r w:rsidR="00D979E6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 xml:space="preserve"> </w:t>
      </w:r>
      <w:r w:rsidR="00430052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بياناً</w:t>
      </w:r>
      <w:r w:rsidR="00D979E6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 xml:space="preserve"> </w:t>
      </w:r>
      <w:r w:rsidR="00430052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صحفياً</w:t>
      </w:r>
      <w:r w:rsidR="00D979E6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 xml:space="preserve"> </w:t>
      </w:r>
      <w:r w:rsidR="00C40F25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بمناسبة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 xml:space="preserve"> </w:t>
      </w:r>
      <w:r w:rsidR="00C40F25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يوم</w:t>
      </w:r>
      <w:r w:rsidR="00D979E6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 xml:space="preserve"> </w:t>
      </w:r>
      <w:r w:rsidR="00C231A6" w:rsidRPr="00FF2A2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ar-SA"/>
        </w:rPr>
        <w:t>ا</w:t>
      </w:r>
      <w:r w:rsidR="00C231A6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 xml:space="preserve">لصحة </w:t>
      </w:r>
      <w:r w:rsidR="00C40F25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العالمي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 xml:space="preserve"> </w:t>
      </w:r>
      <w:r w:rsidR="00652B65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0</w:t>
      </w:r>
      <w:r w:rsidR="00430052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7</w:t>
      </w:r>
      <w:r w:rsidR="00652B65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/</w:t>
      </w:r>
      <w:r w:rsidR="00430052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04</w:t>
      </w:r>
      <w:r w:rsidR="00652B65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/202</w:t>
      </w:r>
      <w:r w:rsidR="00CB4556" w:rsidRPr="00FF2A2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ar-SA"/>
        </w:rPr>
        <w:t>6</w:t>
      </w:r>
    </w:p>
    <w:p w14:paraId="6C14BDEE" w14:textId="628EA271" w:rsidR="006B1D88" w:rsidRPr="00FF2A2E" w:rsidRDefault="00D078AA" w:rsidP="00FF2A2E">
      <w:pPr>
        <w:spacing w:before="100" w:beforeAutospacing="1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بمناسبة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يوم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55423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لصحة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55423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العالمي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2026،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الذي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يأتي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هذا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العام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تحت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شعار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7C1CE2">
        <w:rPr>
          <w:rFonts w:ascii="Simplified Arabic" w:eastAsia="Times New Roman" w:hAnsi="Simplified Arabic" w:cs="Simplified Arabic"/>
          <w:b/>
          <w:bCs/>
          <w:sz w:val="30"/>
          <w:szCs w:val="30"/>
        </w:rPr>
        <w:t>"</w:t>
      </w:r>
      <w:r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معاً</w:t>
      </w:r>
      <w:r w:rsidR="00D979E6"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</w:t>
      </w:r>
      <w:r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من</w:t>
      </w:r>
      <w:r w:rsidR="00D979E6"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</w:t>
      </w:r>
      <w:r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أجل</w:t>
      </w:r>
      <w:r w:rsidR="00D979E6"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</w:t>
      </w:r>
      <w:r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الصحة:</w:t>
      </w:r>
      <w:r w:rsidR="00D979E6"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</w:t>
      </w:r>
      <w:r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لنقف</w:t>
      </w:r>
      <w:r w:rsidR="00D979E6"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</w:t>
      </w:r>
      <w:r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مع</w:t>
      </w:r>
      <w:r w:rsidR="00D979E6"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</w:t>
      </w:r>
      <w:r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العلم</w:t>
      </w:r>
      <w:r w:rsidRPr="007C1CE2">
        <w:rPr>
          <w:rFonts w:ascii="Simplified Arabic" w:eastAsia="Times New Roman" w:hAnsi="Simplified Arabic" w:cs="Simplified Arabic"/>
          <w:b/>
          <w:bCs/>
          <w:sz w:val="30"/>
          <w:szCs w:val="30"/>
        </w:rPr>
        <w:t>"</w:t>
      </w:r>
      <w:r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،</w:t>
      </w:r>
      <w:r w:rsidR="00D979E6" w:rsidRPr="007C1CE2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 xml:space="preserve"> </w:t>
      </w:r>
      <w:r w:rsid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</w:t>
      </w:r>
      <w:r w:rsidR="00FF2A2E"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ستعرض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الجهاز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المركزي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للإحصاء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الفلسطيني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واقع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النظام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الصحي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فلسطين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ظل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ظروف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استثنائية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غير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مسبوقة</w:t>
      </w:r>
      <w:r w:rsidR="00F0541B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وواقع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صحي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مرير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يطبق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فلسطين</w:t>
      </w:r>
      <w:r w:rsidR="00F0541B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F0541B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وب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خاصة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قطاع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غزة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.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16360F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ففي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الوقت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الذي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يشهد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فيه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العالم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تقدماً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متسارعاً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مجالات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الطب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والرعاية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الصحية،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ويحتفي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فيه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المجتمع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الدولي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بالمنجزات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العلمية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والطبية،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يواجه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القطاع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الصحي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الفلسطيني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تحديات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متفاقمة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وقاهرة،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حيث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تعم</w:t>
      </w:r>
      <w:r w:rsidR="0016360F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ّ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قت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الفجوة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بين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المعايير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الإنسانية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والواقع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المعيشي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نتيجة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استمرار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العدوان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والحصار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16360F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الإسرائيلي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الممنهج</w:t>
      </w:r>
      <w:r w:rsidR="00803064" w:rsidRPr="00FF2A2E">
        <w:rPr>
          <w:rFonts w:ascii="Simplified Arabic" w:eastAsia="Times New Roman" w:hAnsi="Simplified Arabic" w:cs="Simplified Arabic"/>
          <w:b/>
          <w:bCs/>
          <w:sz w:val="28"/>
          <w:szCs w:val="28"/>
        </w:rPr>
        <w:t>.</w:t>
      </w:r>
    </w:p>
    <w:p w14:paraId="1D9EA4A3" w14:textId="14E4CB98" w:rsidR="00724320" w:rsidRPr="00FF2A2E" w:rsidRDefault="00724320" w:rsidP="00FF2A2E">
      <w:pPr>
        <w:shd w:val="clear" w:color="auto" w:fill="FFFFFF"/>
        <w:spacing w:after="0" w:line="240" w:lineRule="auto"/>
        <w:rPr>
          <w:rStyle w:val="Strong"/>
          <w:rFonts w:ascii="Simplified Arabic" w:hAnsi="Simplified Arabic" w:cs="Simplified Arabic"/>
          <w:color w:val="0A0A0A"/>
          <w:sz w:val="16"/>
          <w:szCs w:val="16"/>
          <w:shd w:val="clear" w:color="auto" w:fill="FFFFFF"/>
          <w:rtl/>
        </w:rPr>
      </w:pPr>
    </w:p>
    <w:p w14:paraId="1EFF3185" w14:textId="52955089" w:rsidR="006B1D88" w:rsidRPr="00FF2A2E" w:rsidRDefault="0030011B" w:rsidP="00FF2A2E">
      <w:pPr>
        <w:shd w:val="clear" w:color="auto" w:fill="FFFFFF"/>
        <w:spacing w:after="0" w:line="240" w:lineRule="auto"/>
        <w:rPr>
          <w:rFonts w:ascii="Simplified Arabic" w:hAnsi="Simplified Arabic" w:cs="Simplified Arabic"/>
          <w:b/>
          <w:bCs/>
          <w:color w:val="0A0A0A"/>
          <w:sz w:val="28"/>
          <w:szCs w:val="28"/>
          <w:shd w:val="clear" w:color="auto" w:fill="FFFFFF"/>
          <w:rtl/>
        </w:rPr>
      </w:pP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شلل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تام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منظومة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غزة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الصحية: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دمار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طال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94%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الم</w:t>
      </w:r>
      <w:r w:rsidR="00856BB6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>ستشفيات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="0016360F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 xml:space="preserve">ونفاد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51%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الأدوية</w:t>
      </w:r>
      <w:r w:rsidR="00D979E6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>الأساسية</w:t>
      </w:r>
    </w:p>
    <w:p w14:paraId="697D281B" w14:textId="122BCFFF" w:rsidR="00BA4F53" w:rsidRDefault="00A54E60" w:rsidP="00FF2A2E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0A0A0A"/>
          <w:sz w:val="26"/>
          <w:szCs w:val="26"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تشير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البيانات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المحد</w:t>
      </w:r>
      <w:r w:rsidR="0016360F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ّ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ثة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حتى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آذار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2026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16360F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إلى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وصول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المنظومة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قطاع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غزة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حالة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انهيار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حاد،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طال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الدمار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94%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654A5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المستشفيات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أدى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خروج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المستشفيات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الـ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36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F608AC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كافة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طاقتها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التشغيلية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الكاملة،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يعمل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18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مستشفى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بشكل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جزئي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فقط؛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سجلت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خدمات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الرعاية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الأولية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تراجعاً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كارثياً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أدائها</w:t>
      </w:r>
      <w:r w:rsidR="00F608AC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انخفض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أقل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نصف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قدرتها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التشغيلية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يعمل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سوى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1.5%</w:t>
      </w:r>
      <w:r w:rsidR="00B965DD" w:rsidRPr="00FF2A2E">
        <w:rPr>
          <w:rStyle w:val="FootnoteReference"/>
          <w:rFonts w:ascii="Simplified Arabic" w:eastAsia="Times New Roman" w:hAnsi="Simplified Arabic" w:cs="Simplified Arabic"/>
          <w:sz w:val="26"/>
          <w:szCs w:val="26"/>
          <w:rtl/>
        </w:rPr>
        <w:footnoteReference w:id="1"/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بكامل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طاقتها</w:t>
      </w:r>
      <w:r w:rsidRPr="00FF2A2E">
        <w:rPr>
          <w:rFonts w:ascii="Simplified Arabic" w:eastAsia="Times New Roman" w:hAnsi="Simplified Arabic" w:cs="Simplified Arabic"/>
          <w:color w:val="0A0A0A"/>
          <w:sz w:val="26"/>
          <w:szCs w:val="26"/>
        </w:rPr>
        <w:t>.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F608AC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وتزداد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حدة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الأزمة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مع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نفاد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51%</w:t>
      </w:r>
      <w:r w:rsidR="00B965DD" w:rsidRPr="00FF2A2E">
        <w:rPr>
          <w:rStyle w:val="FootnoteReference"/>
          <w:rFonts w:ascii="Simplified Arabic" w:eastAsia="Times New Roman" w:hAnsi="Simplified Arabic" w:cs="Simplified Arabic"/>
          <w:color w:val="0A0A0A"/>
          <w:sz w:val="26"/>
          <w:szCs w:val="26"/>
          <w:rtl/>
        </w:rPr>
        <w:footnoteReference w:id="2"/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الأدوية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الأساسية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التي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وصلت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'رصيد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صفر'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المستودعات،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ما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يضع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آلاف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المرضى،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لا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سيما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ذوي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الأمراض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المزمنة،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أمام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عجز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حاد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الحصول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العلاج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المنتظم،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ويجعل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المنظومة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حالة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شلل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شبه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تام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يضع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حياة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السكان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 xml:space="preserve"> </w:t>
      </w:r>
      <w:r w:rsidR="0091009A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المحك</w:t>
      </w:r>
      <w:r w:rsidR="0045166B" w:rsidRPr="00FF2A2E">
        <w:rPr>
          <w:rFonts w:ascii="Simplified Arabic" w:eastAsia="Times New Roman" w:hAnsi="Simplified Arabic" w:cs="Simplified Arabic"/>
          <w:color w:val="0A0A0A"/>
          <w:sz w:val="26"/>
          <w:szCs w:val="26"/>
          <w:rtl/>
        </w:rPr>
        <w:t>.</w:t>
      </w:r>
    </w:p>
    <w:p w14:paraId="030DA34E" w14:textId="16153382" w:rsidR="006B1D88" w:rsidRDefault="00222158" w:rsidP="00222158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0A0A0A"/>
          <w:sz w:val="26"/>
          <w:szCs w:val="26"/>
        </w:rPr>
      </w:pPr>
      <w:r w:rsidRPr="00AD3B36">
        <w:rPr>
          <w:rFonts w:cs="Arial"/>
          <w:noProof/>
          <w:rtl/>
        </w:rPr>
        <w:drawing>
          <wp:inline distT="0" distB="0" distL="0" distR="0" wp14:anchorId="389FD6BF" wp14:editId="66FE4097">
            <wp:extent cx="6120130" cy="22212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5CFA1" w14:textId="77777777" w:rsidR="00222158" w:rsidRPr="00222158" w:rsidRDefault="00222158" w:rsidP="00222158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0A0A0A"/>
          <w:sz w:val="16"/>
          <w:szCs w:val="16"/>
          <w:rtl/>
        </w:rPr>
      </w:pPr>
    </w:p>
    <w:p w14:paraId="1E6B03B3" w14:textId="51EEDAC9" w:rsidR="00E14B73" w:rsidRDefault="00362BF0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ولا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يقتصر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هذا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التدهور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قطاع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غزة،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يمتد</w:t>
      </w:r>
      <w:r w:rsidR="0021561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أيضاً</w:t>
      </w:r>
      <w:r w:rsidR="0021561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الضفة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الغربية،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تؤثر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القيود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الحركة</w:t>
      </w:r>
      <w:r w:rsidR="0021561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بشكل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متزايد</w:t>
      </w:r>
      <w:r w:rsidR="0021561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إمكانية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الوصول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الخدمات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الصحية.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21561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فقد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وثّقت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منظمة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العالمية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مئات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الحوادث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استهدفت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الطواقم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الطبية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وسيارات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الإسعاف،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أدى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تعطّل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العديد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الخدمات،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ذلك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العيادات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المتنقلة.</w:t>
      </w:r>
      <w:r w:rsidR="0021561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وتشير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التقديرات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واحدة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خمس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أسر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أفادت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بعدم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قدرة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أطفالها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الوصول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الرعاية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21561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أو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654A5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الحصول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654A5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الأدوية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اللازمة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نتيجة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الإغلاقات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المتكررة</w:t>
      </w:r>
      <w:r w:rsidRPr="00FF2A2E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14:paraId="534C351F" w14:textId="0E4E87EA" w:rsidR="0022464E" w:rsidRDefault="0022464E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</w:rPr>
      </w:pPr>
    </w:p>
    <w:p w14:paraId="75C0DFE4" w14:textId="77777777" w:rsidR="0022464E" w:rsidRDefault="0022464E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14:paraId="5905BEEF" w14:textId="4135C28C" w:rsidR="006B1D88" w:rsidRPr="00FF2A2E" w:rsidRDefault="00362BF0" w:rsidP="007C1CE2">
      <w:pPr>
        <w:shd w:val="clear" w:color="auto" w:fill="FFFFFF"/>
        <w:spacing w:after="0" w:line="240" w:lineRule="auto"/>
        <w:rPr>
          <w:rStyle w:val="Strong"/>
          <w:rFonts w:ascii="Simplified Arabic" w:hAnsi="Simplified Arabic" w:cs="Simplified Arabic"/>
          <w:sz w:val="28"/>
          <w:szCs w:val="28"/>
          <w:rtl/>
        </w:rPr>
      </w:pP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lastRenderedPageBreak/>
        <w:t>37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ألف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امرأة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حامل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ومرضع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و31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ألف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طفل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مواجهة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الموت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البطيء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وسوء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التغذية</w:t>
      </w:r>
    </w:p>
    <w:p w14:paraId="5920EA80" w14:textId="16ACBA5B" w:rsidR="004D6A74" w:rsidRPr="00FF2A2E" w:rsidRDefault="002F7C76" w:rsidP="007C1CE2">
      <w:pPr>
        <w:shd w:val="clear" w:color="auto" w:fill="FFFFFF"/>
        <w:spacing w:after="0" w:line="240" w:lineRule="auto"/>
        <w:jc w:val="both"/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</w:pP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وفقاً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لتقرير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'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التصنيف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المرحلي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المتكامل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للأمن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الغذائي</w:t>
      </w:r>
      <w:r w:rsidR="0061350C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'</w:t>
      </w:r>
      <w:r w:rsidR="0061350C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 xml:space="preserve"> </w:t>
      </w:r>
      <w:r w:rsidR="009128BC" w:rsidRPr="00FF2A2E">
        <w:rPr>
          <w:rStyle w:val="FootnoteReference"/>
          <w:rFonts w:ascii="Simplified Arabic" w:hAnsi="Simplified Arabic" w:cs="Simplified Arabic"/>
          <w:color w:val="0A0A0A"/>
          <w:sz w:val="26"/>
          <w:szCs w:val="26"/>
          <w:shd w:val="clear" w:color="auto" w:fill="FFFFFF"/>
        </w:rPr>
        <w:footnoteReference w:id="3"/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(IPC)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للفترة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الممتدة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5E4FAC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تشرين الأول/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أكتوبر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2025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7C1CE2">
        <w:rPr>
          <w:rStyle w:val="Strong"/>
          <w:rFonts w:ascii="Simplified Arabic" w:hAnsi="Simplified Arabic" w:cs="Simplified Arabic" w:hint="cs"/>
          <w:b w:val="0"/>
          <w:bCs w:val="0"/>
          <w:sz w:val="26"/>
          <w:szCs w:val="26"/>
          <w:rtl/>
        </w:rPr>
        <w:t xml:space="preserve">              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حتى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5E4FAC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نيسان/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أبريل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2026،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شهد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غزة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الفترة</w:t>
      </w:r>
      <w:r w:rsidR="00CC7B02" w:rsidRPr="00FF2A2E">
        <w:rPr>
          <w:rFonts w:ascii="Simplified Arabic" w:hAnsi="Simplified Arabic" w:cs="Simplified Arabic"/>
          <w:sz w:val="26"/>
          <w:szCs w:val="26"/>
          <w:rtl/>
        </w:rPr>
        <w:t xml:space="preserve"> بين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</w:rPr>
        <w:t>16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4FAC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تشرين الأول/أكتوبر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30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4FAC" w:rsidRPr="00FF2A2E">
        <w:rPr>
          <w:rFonts w:ascii="Simplified Arabic" w:hAnsi="Simplified Arabic" w:cs="Simplified Arabic"/>
          <w:sz w:val="26"/>
          <w:szCs w:val="26"/>
          <w:rtl/>
        </w:rPr>
        <w:t>تشرين الثاني/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نوفمبر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2025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مستويات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حادة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انعدام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الأمن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C6A" w:rsidRPr="00FF2A2E">
        <w:rPr>
          <w:rFonts w:ascii="Simplified Arabic" w:hAnsi="Simplified Arabic" w:cs="Simplified Arabic"/>
          <w:sz w:val="26"/>
          <w:szCs w:val="26"/>
          <w:rtl/>
        </w:rPr>
        <w:t>الغذائي</w:t>
      </w:r>
      <w:r w:rsidR="00282C6A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282C6A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حيث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282C6A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ما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282C6A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زال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282C6A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نحو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B1D88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</w:rPr>
        <w:t>1.6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6B1D88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مليون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شخص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(77%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السكان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7613B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الذين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7613B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شملهم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7613B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التحليل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)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282C6A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يواجه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مستويات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مرتفعة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انعدام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الأمن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الغذائي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الحاد.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و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على ال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رغم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من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التحسن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النسبي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المحدود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بعد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وقف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إطلاق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النار،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ف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إن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تدمير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96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% </w:t>
      </w:r>
      <w:r w:rsidR="00282C6A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الأراضي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الزراعية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وارتفاع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البطالة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80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%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،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وافتقار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0586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47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%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السكان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للمرافق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</w:t>
      </w:r>
      <w:r w:rsidR="004B3BF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صحية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4B3BF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الأساسية،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4B3BF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يجعل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4B3BF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هذا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4B3BF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التحسن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هشّاً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للغاية؛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يبقي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خطر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المجاعة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قائماً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حال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توقف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المساعدات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أو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تجدد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الأعمال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العدائية</w:t>
      </w:r>
      <w:r w:rsidR="004D6A74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.</w:t>
      </w:r>
    </w:p>
    <w:p w14:paraId="38D9FEA4" w14:textId="7C993D52" w:rsidR="004D6A74" w:rsidRPr="007C1CE2" w:rsidRDefault="004D6A74" w:rsidP="00FF2A2E">
      <w:pPr>
        <w:shd w:val="clear" w:color="auto" w:fill="FFFFFF"/>
        <w:spacing w:after="0" w:line="240" w:lineRule="auto"/>
        <w:jc w:val="both"/>
        <w:rPr>
          <w:rStyle w:val="Strong"/>
          <w:rFonts w:ascii="Simplified Arabic" w:hAnsi="Simplified Arabic" w:cs="Simplified Arabic"/>
          <w:b w:val="0"/>
          <w:bCs w:val="0"/>
          <w:sz w:val="16"/>
          <w:szCs w:val="16"/>
          <w:rtl/>
        </w:rPr>
      </w:pPr>
    </w:p>
    <w:p w14:paraId="6685F05A" w14:textId="53D65EA9" w:rsidR="006B1D88" w:rsidRDefault="00C6250D" w:rsidP="00FF2A2E">
      <w:pPr>
        <w:shd w:val="clear" w:color="auto" w:fill="FFFFFF"/>
        <w:spacing w:after="0" w:line="240" w:lineRule="auto"/>
        <w:jc w:val="center"/>
        <w:rPr>
          <w:rStyle w:val="Strong"/>
          <w:rFonts w:ascii="Simplified Arabic" w:hAnsi="Simplified Arabic" w:cs="Simplified Arabic"/>
          <w:b w:val="0"/>
          <w:bCs w:val="0"/>
          <w:sz w:val="24"/>
          <w:szCs w:val="24"/>
        </w:rPr>
      </w:pPr>
      <w:r w:rsidRPr="00C6250D">
        <w:rPr>
          <w:rStyle w:val="Strong"/>
          <w:rFonts w:ascii="Simplified Arabic" w:hAnsi="Simplified Arabic" w:cs="Simplified Arabic"/>
          <w:b w:val="0"/>
          <w:bCs w:val="0"/>
          <w:noProof/>
          <w:sz w:val="24"/>
          <w:szCs w:val="24"/>
          <w:rtl/>
        </w:rPr>
        <w:drawing>
          <wp:inline distT="0" distB="0" distL="0" distR="0" wp14:anchorId="61FA539B" wp14:editId="30C288B5">
            <wp:extent cx="6120130" cy="17595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2A6A5" w14:textId="77777777" w:rsidR="00AB2F37" w:rsidRPr="00FF2A2E" w:rsidRDefault="00AB2F37" w:rsidP="00FF2A2E">
      <w:pPr>
        <w:shd w:val="clear" w:color="auto" w:fill="FFFFFF"/>
        <w:spacing w:after="0" w:line="240" w:lineRule="auto"/>
        <w:rPr>
          <w:rStyle w:val="Strong"/>
          <w:rFonts w:ascii="Simplified Arabic" w:hAnsi="Simplified Arabic" w:cs="Simplified Arabic"/>
          <w:b w:val="0"/>
          <w:bCs w:val="0"/>
          <w:sz w:val="16"/>
          <w:szCs w:val="16"/>
          <w:rtl/>
        </w:rPr>
      </w:pPr>
    </w:p>
    <w:p w14:paraId="0A79BB67" w14:textId="0B8EC13B" w:rsidR="00E14B73" w:rsidRPr="00FF2A2E" w:rsidRDefault="007613B4" w:rsidP="00FF2A2E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ويواجه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الأطفال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والنساء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أوضاعاً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تغذوية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مقلقة</w:t>
      </w:r>
      <w:r w:rsidR="0076484A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في قطاع غزة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؛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حيث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4B3BF2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أشارت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4B3BF2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التقديرات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4B3BF2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حتى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4B3BF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منتصف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تشرين الأول/</w:t>
      </w:r>
      <w:r w:rsidR="004B3BF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أكتوبر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4B3BF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2026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4B3BF2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في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4B3BF2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ت</w:t>
      </w:r>
      <w:r w:rsidR="002730AF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قرير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'</w:t>
      </w:r>
      <w:r w:rsidR="004B3BF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التصني</w:t>
      </w:r>
      <w:r w:rsidR="0045166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45166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المرحلي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45166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المتكامل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45166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للأمن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45166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الغذائي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'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(IPC)</w:t>
      </w:r>
      <w:r w:rsidR="00CC7B02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،</w:t>
      </w:r>
      <w:r w:rsidR="004B3BF2" w:rsidRPr="00FF2A2E">
        <w:rPr>
          <w:rStyle w:val="FootnoteReference"/>
          <w:rFonts w:ascii="Simplified Arabic" w:hAnsi="Simplified Arabic" w:cs="Simplified Arabic"/>
          <w:color w:val="0A0A0A"/>
          <w:sz w:val="26"/>
          <w:szCs w:val="26"/>
          <w:shd w:val="clear" w:color="auto" w:fill="FFFFFF"/>
        </w:rPr>
        <w:footnoteReference w:id="4"/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9C6059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إلى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أزمة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سوء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تغذية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حادة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تهدد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حياة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BC507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101,000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BC507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طفل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(من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سن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6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أشهر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إلى</w:t>
      </w:r>
      <w:r w:rsidR="00483B8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59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483B8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شهر</w:t>
      </w:r>
      <w:r w:rsidR="009C6059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اً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)،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BC5075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بينهم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BC5075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</w:rPr>
        <w:t>31,000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BC507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حالة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2730AF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ستعاني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سوء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B55ED4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تغذية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B55ED4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حاد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B55ED4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الوخيم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902F3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الذي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يضع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حياتهم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على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المحك.</w:t>
      </w:r>
      <w:r w:rsidR="00D902F3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وفي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السياق</w:t>
      </w:r>
      <w:r w:rsidR="00D902F3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ذاته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،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المتوقع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أن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تعاني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نحو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37,000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امرأة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حامل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ومرضع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سوء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تغذية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حاد،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في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حين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تظل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عشرات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الآلاف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النساء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الأخريات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عرضة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لمخاطر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صحية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وتغذوية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C677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مرتفعة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.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D902F3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وقد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انعكس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هذا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الواقع</w:t>
      </w:r>
      <w:r w:rsidR="00D902F3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،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بشكل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كارثي</w:t>
      </w:r>
      <w:r w:rsidR="00D902F3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،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على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صحة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المواليد،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مع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تسجيل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ارتفاع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ملحوظ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في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معدلات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الولادة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المبكرة،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بحيث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يحتاج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واحد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كل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خمسة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مواليد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جدد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إلى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رعاية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مكثفة،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بالتوازي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مع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زيادة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حادة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في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حالات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الإجهاض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والمضاعفات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الصحية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المرتبطة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بنقص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المتطلبات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الغذائية</w:t>
      </w:r>
      <w:r w:rsidR="00D979E6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الأساسية</w:t>
      </w:r>
      <w:r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</w:rPr>
        <w:t>.</w:t>
      </w:r>
    </w:p>
    <w:p w14:paraId="373E78EE" w14:textId="77777777" w:rsidR="00D155D8" w:rsidRPr="00FF2A2E" w:rsidRDefault="00D155D8" w:rsidP="00FF2A2E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sz w:val="16"/>
          <w:szCs w:val="16"/>
          <w:rtl/>
        </w:rPr>
      </w:pPr>
    </w:p>
    <w:p w14:paraId="780531FB" w14:textId="66FFE663" w:rsidR="00266879" w:rsidRPr="00FF2A2E" w:rsidRDefault="00266879" w:rsidP="00FF2A2E">
      <w:pPr>
        <w:shd w:val="clear" w:color="auto" w:fill="FFFFFF"/>
        <w:spacing w:after="0" w:line="240" w:lineRule="auto"/>
        <w:rPr>
          <w:rStyle w:val="Strong"/>
          <w:rFonts w:ascii="Simplified Arabic" w:hAnsi="Simplified Arabic" w:cs="Simplified Arabic"/>
          <w:sz w:val="28"/>
          <w:szCs w:val="28"/>
        </w:rPr>
      </w:pP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الأمراض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تلتهم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مراكز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النزوح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وسط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عجز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حاد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الخدمات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الصحية</w:t>
      </w:r>
    </w:p>
    <w:p w14:paraId="1236F48A" w14:textId="58CB1353" w:rsidR="0094007B" w:rsidRPr="00FF2A2E" w:rsidRDefault="009D4EAC" w:rsidP="00FF2A2E">
      <w:pPr>
        <w:shd w:val="clear" w:color="auto" w:fill="FFFFFF"/>
        <w:spacing w:after="0" w:line="240" w:lineRule="auto"/>
        <w:jc w:val="both"/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</w:pP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استنادا</w:t>
      </w:r>
      <w:r w:rsidR="00D902F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ً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لوحة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مراقبة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الأمراض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الموحدة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93331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لنظام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93331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التحذير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93331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والاستجابة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93331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المبكر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902F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</w:rPr>
        <w:t>(EWARS)</w:t>
      </w:r>
      <w:r w:rsidR="00D902F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،</w:t>
      </w:r>
      <w:r w:rsidR="0038568F" w:rsidRPr="00FF2A2E">
        <w:rPr>
          <w:rStyle w:val="FootnoteReference"/>
          <w:rFonts w:ascii="Simplified Arabic" w:hAnsi="Simplified Arabic" w:cs="Simplified Arabic"/>
          <w:color w:val="0A0A0A"/>
          <w:sz w:val="26"/>
          <w:szCs w:val="26"/>
          <w:rtl/>
        </w:rPr>
        <w:footnoteReference w:id="5"/>
      </w:r>
      <w:r w:rsidR="00D902F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التي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تجمع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بيانات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0025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أسبوعية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0025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صادرة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0025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عن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6"/>
          <w:szCs w:val="26"/>
          <w:rtl/>
        </w:rPr>
        <w:t xml:space="preserve"> </w:t>
      </w:r>
      <w:r w:rsidR="00D0025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المرافق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0025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الصحية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يُظهر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عبء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الأمراض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المعدية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قطاع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غزة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أعداداً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مرتفعة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بشكل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غير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مسبوق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الحالات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0025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التنفسية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0025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وأمراض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0025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الجلد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00255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والطفيليات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E7ADA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المسجلة.</w:t>
      </w:r>
      <w:r w:rsidR="00D902F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E7ADA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وصل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الوضع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الصحي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قطاع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غزة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مستوى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حرج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غير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مسبوق،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حيث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شكلت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الأمراض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السارية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يقارب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ر</w:t>
      </w:r>
      <w:r w:rsidR="00D83B88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83B88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إجمالي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83B88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الاستشارات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83B88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الطبية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83B88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(</w:t>
      </w:r>
      <w:r w:rsidR="00D83B88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</w:rPr>
        <w:t>2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</w:rPr>
        <w:t>3</w:t>
      </w:r>
      <w:r w:rsidR="00D83B88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</w:rPr>
        <w:t>.3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%)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منذ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بداية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902F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عام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2026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وحتى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نهاية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شهر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شباط/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B378B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فبراير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ظل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0123DA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عجز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0123DA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انهيار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فعلي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لقدرة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النظام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الصحي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على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الاستجابة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</w:rPr>
        <w:t>.</w:t>
      </w:r>
    </w:p>
    <w:p w14:paraId="61500382" w14:textId="170FBB57" w:rsidR="0094007B" w:rsidRPr="00FF2A2E" w:rsidRDefault="00B378B3" w:rsidP="00FF2A2E">
      <w:pPr>
        <w:shd w:val="clear" w:color="auto" w:fill="FFFFFF"/>
        <w:spacing w:after="0" w:line="240" w:lineRule="auto"/>
        <w:jc w:val="both"/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</w:pP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سجلت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التهابات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الجهاز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التنفسي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الحادة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أعلى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نسبة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بين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الأمراض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المعدية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المشخصة،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إذ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بلغت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68%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خلال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الشهرين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الأولين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902F3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عام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2026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تسجيل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أكثر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E560E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من </w:t>
      </w:r>
      <w:r w:rsidR="001642D1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</w:rPr>
        <w:t>1.9</w:t>
      </w:r>
      <w:r w:rsidR="00E560E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مليون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إصابة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تراكمية.</w:t>
      </w:r>
      <w:r w:rsidR="00E560E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</w:t>
      </w:r>
      <w:r w:rsidR="00E560E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على ال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رغم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E560E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من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تسجيل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تراجع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نسبي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عدد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الإصابات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lastRenderedPageBreak/>
        <w:t>مؤخراً،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فإن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تسجيل</w:t>
      </w:r>
      <w:r w:rsidR="00E560E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7076FF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17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حالة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وفاة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خلال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E0F1C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شهر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كانون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الثاني/يناير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2026</w:t>
      </w:r>
      <w:r w:rsidR="00E560E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D357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يعكس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D357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تفاقم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D357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خطورة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D357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الوضع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5D357E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وحدة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5D357E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المرض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5D357E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الناتجة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5D357E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5D357E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البرد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5D357E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القارس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D357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ظل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الاكتظاظ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الحاد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داخل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مراكز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النزوح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التي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تجاوزت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قدرتها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الاستيعابية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بأكثر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أربعة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أضعاف،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جانب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انعدام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التدفئة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والتهوية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وصعوبة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الوصول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الخدمات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الصحية</w:t>
      </w:r>
      <w:r w:rsidR="0094007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</w:rPr>
        <w:t>.</w:t>
      </w:r>
    </w:p>
    <w:p w14:paraId="73231EB5" w14:textId="1E33D688" w:rsidR="000123DA" w:rsidRPr="00FF2A2E" w:rsidRDefault="000123DA" w:rsidP="00FF2A2E">
      <w:pPr>
        <w:shd w:val="clear" w:color="auto" w:fill="FFFFFF"/>
        <w:spacing w:after="0" w:line="240" w:lineRule="auto"/>
        <w:rPr>
          <w:rStyle w:val="Strong"/>
          <w:rFonts w:ascii="Simplified Arabic" w:hAnsi="Simplified Arabic" w:cs="Simplified Arabic"/>
          <w:b w:val="0"/>
          <w:bCs w:val="0"/>
          <w:color w:val="0A0A0A"/>
          <w:sz w:val="16"/>
          <w:szCs w:val="16"/>
        </w:rPr>
      </w:pPr>
    </w:p>
    <w:p w14:paraId="23BFEB46" w14:textId="2D9BAF0B" w:rsidR="0094007B" w:rsidRPr="00FF2A2E" w:rsidRDefault="00CC562D" w:rsidP="00FF2A2E">
      <w:pPr>
        <w:shd w:val="clear" w:color="auto" w:fill="FFFFFF"/>
        <w:spacing w:after="0" w:line="240" w:lineRule="auto"/>
        <w:jc w:val="both"/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</w:pP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أما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5591F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الإسهال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المائي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الحاد</w:t>
      </w:r>
      <w:r w:rsidR="0055591F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فقد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شكل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ثاني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أكثر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الحالات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المرضية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إبلاغاً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بنسبة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16</w:t>
      </w:r>
      <w:r w:rsidR="0055591F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%؛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إذ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تسجيل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نحو</w:t>
      </w:r>
      <w:r w:rsidR="0055591F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81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ألف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حالة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خلال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شهر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5591F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كانون الثاني/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يناير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شباط</w:t>
      </w:r>
      <w:r w:rsidR="0055591F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/فبراير،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5591F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فقط،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5591F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عام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2026،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بينها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أكثر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3</w:t>
      </w:r>
      <w:r w:rsidR="0035630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6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ألف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إصابة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بين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الأطفال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دون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سن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الخامسة.</w:t>
      </w:r>
      <w:r w:rsidR="0074032C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حين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سجلت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أكثر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496,000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حالة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إسهال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مائي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حاد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خلال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74032C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عام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2025</w:t>
      </w:r>
      <w:r w:rsidR="00BB347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B347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47%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B347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منهم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B347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بين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B347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الأطفال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B347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دون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B347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سن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BB347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الخامسة</w:t>
      </w:r>
      <w:r w:rsidR="006007FB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>.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="0074032C" w:rsidRPr="00FF2A2E"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ويُعزى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هذا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الارتفاع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الحاد</w:t>
      </w:r>
      <w:r w:rsidR="0074032C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-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الذي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يزيد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بنحو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20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ضعفاً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مقارنة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بفترة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قبل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الحرب</w:t>
      </w:r>
      <w:r w:rsidR="0074032C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-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تدهور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جودة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المياه</w:t>
      </w:r>
      <w:r w:rsidR="0074032C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وانهيار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أنظمة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الصرف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الصحي،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حيث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تشير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التقديرات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97%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المياه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القطاع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غير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صالحة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للاستهلاك.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74032C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فيما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انتشرت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الأمراض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الجلدية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مثل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الجرب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والقمل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بنسبة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38568F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15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%،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لتطال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نحو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B913AC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75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ألف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شخص،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ظل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غياب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شبه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كامل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لمرافق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النظافة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الشخصية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</w:rPr>
        <w:t>.</w:t>
      </w:r>
    </w:p>
    <w:p w14:paraId="4EE60ADA" w14:textId="5649C295" w:rsidR="00297BEF" w:rsidRPr="004F261B" w:rsidRDefault="00297BEF" w:rsidP="004F261B">
      <w:pPr>
        <w:tabs>
          <w:tab w:val="left" w:pos="226"/>
        </w:tabs>
        <w:spacing w:after="0" w:line="240" w:lineRule="auto"/>
        <w:rPr>
          <w:rFonts w:ascii="Simplified Arabic" w:eastAsia="Simplified Arabic" w:hAnsi="Simplified Arabic" w:cs="Simplified Arabic"/>
          <w:b/>
          <w:sz w:val="16"/>
          <w:szCs w:val="16"/>
          <w:rtl/>
        </w:rPr>
      </w:pPr>
    </w:p>
    <w:p w14:paraId="6A3B1CB1" w14:textId="4897087F" w:rsidR="00297BEF" w:rsidRPr="00FF2A2E" w:rsidRDefault="00297BEF" w:rsidP="007C1CE2">
      <w:pPr>
        <w:tabs>
          <w:tab w:val="left" w:pos="226"/>
        </w:tabs>
        <w:spacing w:after="0" w:line="240" w:lineRule="auto"/>
        <w:jc w:val="center"/>
        <w:rPr>
          <w:rStyle w:val="Strong"/>
          <w:rFonts w:ascii="Simplified Arabic" w:hAnsi="Simplified Arabic" w:cs="Simplified Arabic"/>
          <w:color w:val="0A0A0A"/>
          <w:sz w:val="28"/>
          <w:szCs w:val="28"/>
        </w:rPr>
      </w:pP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أعداد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المصابين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ببعض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الأمراض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المعدية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="00F93AFA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الأكثر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="00F93AFA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انتشارا</w:t>
      </w:r>
      <w:r w:rsidR="0074032C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rtl/>
        </w:rPr>
        <w:t>ً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قطاع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غزة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منذ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 xml:space="preserve"> </w:t>
      </w:r>
      <w:r w:rsidR="00F93AFA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28/</w:t>
      </w:r>
      <w:r w:rsidR="00F93AFA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</w:rPr>
        <w:t>12</w:t>
      </w:r>
      <w:r w:rsidR="00F93AFA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/202</w:t>
      </w:r>
      <w:r w:rsidR="00F93AFA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rtl/>
        </w:rPr>
        <w:t>5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</w:rPr>
        <w:t>–</w:t>
      </w:r>
      <w:r w:rsidR="00F93AFA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rtl/>
        </w:rPr>
        <w:t>28</w:t>
      </w:r>
      <w:r w:rsidR="00F93AFA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/</w:t>
      </w:r>
      <w:r w:rsidR="00F93AFA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rtl/>
        </w:rPr>
        <w:t>02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rtl/>
        </w:rPr>
        <w:t>/202</w:t>
      </w:r>
      <w:r w:rsidR="00F93AFA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rtl/>
        </w:rPr>
        <w:t>6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33"/>
      </w:tblGrid>
      <w:tr w:rsidR="00C56FA8" w14:paraId="43B3CDD6" w14:textId="77777777" w:rsidTr="007C1CE2">
        <w:trPr>
          <w:jc w:val="center"/>
        </w:trPr>
        <w:tc>
          <w:tcPr>
            <w:tcW w:w="9633" w:type="dxa"/>
          </w:tcPr>
          <w:p w14:paraId="581AF236" w14:textId="77777777" w:rsidR="00C56FA8" w:rsidRDefault="00C56FA8" w:rsidP="00FF2A2E">
            <w:pPr>
              <w:tabs>
                <w:tab w:val="left" w:pos="226"/>
              </w:tabs>
              <w:jc w:val="center"/>
              <w:rPr>
                <w:rFonts w:eastAsia="Simplified Arabic"/>
                <w:noProof/>
              </w:rPr>
            </w:pPr>
          </w:p>
          <w:p w14:paraId="78CF4C6C" w14:textId="13D6B5FC" w:rsidR="00AB2F37" w:rsidRDefault="00AB2F37" w:rsidP="00FF2A2E">
            <w:pPr>
              <w:tabs>
                <w:tab w:val="left" w:pos="226"/>
              </w:tabs>
              <w:jc w:val="center"/>
              <w:rPr>
                <w:rStyle w:val="Strong"/>
                <w:rFonts w:ascii="Simplified Arabic" w:hAnsi="Simplified Arabic" w:cs="Simplified Arabic"/>
                <w:color w:val="0A0A0A"/>
                <w:sz w:val="24"/>
                <w:szCs w:val="24"/>
                <w:vertAlign w:val="superscript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noProof/>
                <w:sz w:val="24"/>
                <w:szCs w:val="24"/>
              </w:rPr>
              <w:drawing>
                <wp:inline distT="0" distB="0" distL="0" distR="0" wp14:anchorId="2F103B19" wp14:editId="1CB7EA8D">
                  <wp:extent cx="5808345" cy="1403771"/>
                  <wp:effectExtent l="0" t="0" r="1905" b="635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5F375C05" w14:textId="270F3FFD" w:rsidR="00297BEF" w:rsidRPr="007C1CE2" w:rsidRDefault="00485054" w:rsidP="00FF2A2E">
      <w:pPr>
        <w:shd w:val="clear" w:color="auto" w:fill="FFFFFF"/>
        <w:spacing w:after="0" w:line="240" w:lineRule="auto"/>
        <w:jc w:val="both"/>
        <w:rPr>
          <w:rStyle w:val="Strong"/>
          <w:rFonts w:ascii="Simplified Arabic" w:hAnsi="Simplified Arabic" w:cs="Simplified Arabic"/>
          <w:b w:val="0"/>
          <w:bCs w:val="0"/>
          <w:color w:val="0A0A0A"/>
        </w:rPr>
      </w:pPr>
      <w:r w:rsidRPr="007C1CE2">
        <w:rPr>
          <w:rStyle w:val="Strong"/>
          <w:rFonts w:ascii="Simplified Arabic" w:hAnsi="Simplified Arabic" w:cs="Simplified Arabic" w:hint="cs"/>
          <w:b w:val="0"/>
          <w:bCs w:val="0"/>
          <w:color w:val="0A0A0A"/>
          <w:rtl/>
        </w:rPr>
        <w:t>ا</w:t>
      </w:r>
      <w:r w:rsidRPr="007C1CE2">
        <w:rPr>
          <w:rStyle w:val="Strong"/>
          <w:rFonts w:ascii="Simplified Arabic" w:hAnsi="Simplified Arabic" w:cs="Simplified Arabic" w:hint="cs"/>
          <w:color w:val="0A0A0A"/>
          <w:rtl/>
        </w:rPr>
        <w:t>لمصدر</w:t>
      </w:r>
      <w:r w:rsidRPr="007C1CE2">
        <w:rPr>
          <w:rStyle w:val="Strong"/>
          <w:rFonts w:ascii="Simplified Arabic" w:hAnsi="Simplified Arabic" w:cs="Simplified Arabic" w:hint="cs"/>
          <w:b w:val="0"/>
          <w:bCs w:val="0"/>
          <w:color w:val="0A0A0A"/>
          <w:rtl/>
        </w:rPr>
        <w:t>:</w:t>
      </w:r>
      <w:r w:rsidR="00D979E6" w:rsidRPr="007C1CE2">
        <w:rPr>
          <w:rStyle w:val="Strong"/>
          <w:rFonts w:ascii="Simplified Arabic" w:hAnsi="Simplified Arabic" w:cs="Simplified Arabic" w:hint="cs"/>
          <w:b w:val="0"/>
          <w:bCs w:val="0"/>
          <w:color w:val="0A0A0A"/>
          <w:rtl/>
        </w:rPr>
        <w:t xml:space="preserve"> </w:t>
      </w:r>
      <w:r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>لوحة</w:t>
      </w:r>
      <w:r w:rsidR="00D979E6"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 xml:space="preserve"> </w:t>
      </w:r>
      <w:r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>مراقبة</w:t>
      </w:r>
      <w:r w:rsidR="00D979E6"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 xml:space="preserve"> </w:t>
      </w:r>
      <w:r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>الأمراض</w:t>
      </w:r>
      <w:r w:rsidR="00D979E6"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 xml:space="preserve"> </w:t>
      </w:r>
      <w:r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>الموحدة</w:t>
      </w:r>
      <w:r w:rsidR="00D979E6"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 xml:space="preserve"> </w:t>
      </w:r>
      <w:r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>لنظام</w:t>
      </w:r>
      <w:r w:rsidR="00D979E6"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 xml:space="preserve"> </w:t>
      </w:r>
      <w:r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>التحذير</w:t>
      </w:r>
      <w:r w:rsidR="00D979E6"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 xml:space="preserve"> </w:t>
      </w:r>
      <w:r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>والاستجابة</w:t>
      </w:r>
      <w:r w:rsidR="00D979E6"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 xml:space="preserve"> </w:t>
      </w:r>
      <w:r w:rsidRPr="007C1CE2">
        <w:rPr>
          <w:rStyle w:val="Strong"/>
          <w:rFonts w:ascii="Simplified Arabic" w:hAnsi="Simplified Arabic" w:cs="Simplified Arabic"/>
          <w:b w:val="0"/>
          <w:bCs w:val="0"/>
          <w:color w:val="0A0A0A"/>
          <w:rtl/>
        </w:rPr>
        <w:t>المبك</w:t>
      </w:r>
      <w:r w:rsidR="00C521CD" w:rsidRPr="007C1CE2">
        <w:rPr>
          <w:rStyle w:val="Strong"/>
          <w:rFonts w:ascii="Simplified Arabic" w:hAnsi="Simplified Arabic" w:cs="Simplified Arabic" w:hint="cs"/>
          <w:b w:val="0"/>
          <w:bCs w:val="0"/>
          <w:color w:val="0A0A0A"/>
          <w:rtl/>
        </w:rPr>
        <w:t>رة</w:t>
      </w:r>
      <w:r w:rsidR="0074032C" w:rsidRPr="007C1CE2">
        <w:rPr>
          <w:rStyle w:val="Strong"/>
          <w:rFonts w:ascii="Simplified Arabic" w:hAnsi="Simplified Arabic" w:cs="Simplified Arabic" w:hint="cs"/>
          <w:b w:val="0"/>
          <w:bCs w:val="0"/>
          <w:color w:val="0A0A0A"/>
          <w:rtl/>
        </w:rPr>
        <w:t xml:space="preserve"> (</w:t>
      </w:r>
      <w:r w:rsidR="0074032C" w:rsidRPr="007C1CE2">
        <w:rPr>
          <w:rStyle w:val="Strong"/>
          <w:rFonts w:ascii="Simplified Arabic" w:hAnsi="Simplified Arabic" w:cs="Simplified Arabic"/>
          <w:b w:val="0"/>
          <w:bCs w:val="0"/>
          <w:color w:val="0A0A0A"/>
        </w:rPr>
        <w:t>EWARS</w:t>
      </w:r>
      <w:r w:rsidR="0074032C" w:rsidRPr="007C1CE2">
        <w:rPr>
          <w:rStyle w:val="Strong"/>
          <w:rFonts w:ascii="Simplified Arabic" w:hAnsi="Simplified Arabic" w:cs="Simplified Arabic" w:hint="cs"/>
          <w:b w:val="0"/>
          <w:bCs w:val="0"/>
          <w:color w:val="0A0A0A"/>
          <w:rtl/>
        </w:rPr>
        <w:t>).</w:t>
      </w:r>
    </w:p>
    <w:p w14:paraId="5A2D3443" w14:textId="77777777" w:rsidR="00485054" w:rsidRPr="007C1CE2" w:rsidRDefault="00485054" w:rsidP="00FF2A2E">
      <w:pPr>
        <w:shd w:val="clear" w:color="auto" w:fill="FFFFFF"/>
        <w:spacing w:after="0" w:line="240" w:lineRule="auto"/>
        <w:jc w:val="both"/>
        <w:rPr>
          <w:rStyle w:val="Strong"/>
          <w:rFonts w:ascii="Simplified Arabic" w:hAnsi="Simplified Arabic" w:cs="Simplified Arabic"/>
          <w:b w:val="0"/>
          <w:bCs w:val="0"/>
          <w:color w:val="0A0A0A"/>
          <w:sz w:val="16"/>
          <w:szCs w:val="16"/>
          <w:rtl/>
        </w:rPr>
      </w:pPr>
    </w:p>
    <w:p w14:paraId="0247CD37" w14:textId="77777777" w:rsidR="007C1CE2" w:rsidRDefault="00E13765" w:rsidP="007C1CE2">
      <w:pPr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F2A2E">
        <w:rPr>
          <w:rFonts w:ascii="Simplified Arabic" w:hAnsi="Simplified Arabic" w:cs="Simplified Arabic"/>
          <w:sz w:val="26"/>
          <w:szCs w:val="26"/>
          <w:rtl/>
        </w:rPr>
        <w:t>كما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C7E" w:rsidRPr="00FF2A2E">
        <w:rPr>
          <w:rFonts w:ascii="Simplified Arabic" w:hAnsi="Simplified Arabic" w:cs="Simplified Arabic"/>
          <w:sz w:val="26"/>
          <w:szCs w:val="26"/>
          <w:rtl/>
        </w:rPr>
        <w:t>تفاقمت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C7E" w:rsidRPr="00FF2A2E">
        <w:rPr>
          <w:rFonts w:ascii="Simplified Arabic" w:hAnsi="Simplified Arabic" w:cs="Simplified Arabic"/>
          <w:sz w:val="26"/>
          <w:szCs w:val="26"/>
          <w:rtl/>
        </w:rPr>
        <w:t>معاناة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C7E" w:rsidRPr="00FF2A2E">
        <w:rPr>
          <w:rFonts w:ascii="Simplified Arabic" w:hAnsi="Simplified Arabic" w:cs="Simplified Arabic"/>
          <w:sz w:val="26"/>
          <w:szCs w:val="26"/>
          <w:rtl/>
        </w:rPr>
        <w:t>المصابين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C7E" w:rsidRPr="00FF2A2E">
        <w:rPr>
          <w:rFonts w:ascii="Simplified Arabic" w:hAnsi="Simplified Arabic" w:cs="Simplified Arabic"/>
          <w:sz w:val="26"/>
          <w:szCs w:val="26"/>
          <w:rtl/>
        </w:rPr>
        <w:t>بالأمراض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C7E" w:rsidRPr="00FF2A2E">
        <w:rPr>
          <w:rFonts w:ascii="Simplified Arabic" w:hAnsi="Simplified Arabic" w:cs="Simplified Arabic"/>
          <w:sz w:val="26"/>
          <w:szCs w:val="26"/>
          <w:rtl/>
        </w:rPr>
        <w:t>المزمنة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C7E" w:rsidRPr="00FF2A2E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C7E" w:rsidRPr="00FF2A2E">
        <w:rPr>
          <w:rFonts w:ascii="Simplified Arabic" w:hAnsi="Simplified Arabic" w:cs="Simplified Arabic"/>
          <w:sz w:val="26"/>
          <w:szCs w:val="26"/>
          <w:rtl/>
        </w:rPr>
        <w:t>تعطل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C7E" w:rsidRPr="00FF2A2E">
        <w:rPr>
          <w:rFonts w:ascii="Simplified Arabic" w:hAnsi="Simplified Arabic" w:cs="Simplified Arabic"/>
          <w:sz w:val="26"/>
          <w:szCs w:val="26"/>
          <w:rtl/>
        </w:rPr>
        <w:t>الخدمات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5C7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التشخيصية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9625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والعلاجية</w:t>
      </w:r>
      <w:r w:rsidR="00AA2B2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9625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ونفاد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9625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</w:rPr>
        <w:t>70</w:t>
      </w:r>
      <w:r w:rsidR="002C542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% </w:t>
      </w:r>
      <w:r w:rsidR="0059625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9625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الأدوية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9625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الأساسية؛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242259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يقدّر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عدد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مرضى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الفشل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الكلوي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قطاع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غزة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بنحو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1,100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مريض،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حين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لا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يتلقى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العلاج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سوى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نحو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600–700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مريض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فقط،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ظل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تدمير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واسع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للبنية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التحتية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الصحية</w:t>
      </w:r>
      <w:r w:rsidR="00AA2B2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وتعطل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معظم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مراكز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غسيل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الكلى،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ما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يضع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حياة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 xml:space="preserve"> </w:t>
      </w:r>
      <w:r w:rsidR="005F356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rtl/>
        </w:rPr>
        <w:t>المرضى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F356D" w:rsidRPr="00FF2A2E">
        <w:rPr>
          <w:rFonts w:ascii="Simplified Arabic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F356D" w:rsidRPr="00FF2A2E">
        <w:rPr>
          <w:rFonts w:ascii="Simplified Arabic" w:hAnsi="Simplified Arabic" w:cs="Simplified Arabic"/>
          <w:sz w:val="26"/>
          <w:szCs w:val="26"/>
          <w:rtl/>
        </w:rPr>
        <w:t>خطر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F356D" w:rsidRPr="00FF2A2E">
        <w:rPr>
          <w:rFonts w:ascii="Simplified Arabic" w:hAnsi="Simplified Arabic" w:cs="Simplified Arabic"/>
          <w:sz w:val="26"/>
          <w:szCs w:val="26"/>
          <w:rtl/>
        </w:rPr>
        <w:t>شديد</w:t>
      </w:r>
      <w:r w:rsidR="005F356D" w:rsidRPr="00FF2A2E">
        <w:rPr>
          <w:rFonts w:ascii="Simplified Arabic" w:hAnsi="Simplified Arabic" w:cs="Simplified Arabic"/>
          <w:sz w:val="26"/>
          <w:szCs w:val="26"/>
        </w:rPr>
        <w:t>.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2B2E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هذا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ويعاني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مرضى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الأورام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والسرطان،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الذين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يُقدّر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عددهم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بنحو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10–12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ألف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مريض،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انهيار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شبه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كامل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منظومة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العلاج،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ظل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نقص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حاد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الأدوية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الكيماوية،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وتعطل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خدمات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التشخيص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المتقدمة،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بما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ذلك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الأشعة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المقطعية،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جانب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القيود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الشديدة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التحويلات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الطبية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خارج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القطاع،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ما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يجعل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الحصول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بروتوكولات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علاجية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متكاملة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أمراً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بالغ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الصعوبة.</w:t>
      </w:r>
      <w:r w:rsidR="00AA2B2E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ويمتد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هذا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التدهور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ليشمل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مئات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الآلاف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A2B2E" w:rsidRPr="00FF2A2E">
        <w:rPr>
          <w:rFonts w:ascii="Simplified Arabic" w:hAnsi="Simplified Arabic" w:cs="Simplified Arabic"/>
          <w:sz w:val="26"/>
          <w:szCs w:val="26"/>
          <w:rtl/>
        </w:rPr>
        <w:t xml:space="preserve">ذوي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الأمراض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المزمنة،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ظل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نفاد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نسبة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كبيرة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الأدوية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الأساسية،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الأمر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يزيد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خطر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المضاعفات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والوفيات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المرتبطة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بأمراض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كان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بالإمكان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السيطرة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عليها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الظروف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hAnsi="Simplified Arabic" w:cs="Simplified Arabic"/>
          <w:sz w:val="26"/>
          <w:szCs w:val="26"/>
          <w:rtl/>
        </w:rPr>
        <w:t>الطبيعية</w:t>
      </w:r>
      <w:r w:rsidR="008A2F17" w:rsidRPr="00FF2A2E">
        <w:rPr>
          <w:rFonts w:ascii="Simplified Arabic" w:hAnsi="Simplified Arabic" w:cs="Simplified Arabic"/>
          <w:sz w:val="26"/>
          <w:szCs w:val="26"/>
        </w:rPr>
        <w:t>.</w:t>
      </w:r>
    </w:p>
    <w:p w14:paraId="47CD9918" w14:textId="20E2C17B" w:rsidR="00637666" w:rsidRPr="007C1CE2" w:rsidRDefault="00175110" w:rsidP="007C1CE2">
      <w:pPr>
        <w:spacing w:line="240" w:lineRule="auto"/>
        <w:jc w:val="both"/>
        <w:rPr>
          <w:rStyle w:val="Strong"/>
          <w:rFonts w:ascii="Simplified Arabic" w:hAnsi="Simplified Arabic" w:cs="Simplified Arabic"/>
          <w:b w:val="0"/>
          <w:bCs w:val="0"/>
          <w:sz w:val="26"/>
          <w:szCs w:val="26"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ولا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تقتصر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الأزمة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الجسدية،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تمتد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النفسية،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يعاني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أكثر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مليون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طفل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قطاع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غزة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آثار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نفسية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حادة</w:t>
      </w:r>
      <w:r w:rsidR="00AA2B2E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8A2F17" w:rsidRPr="00FF2A2E">
        <w:rPr>
          <w:rStyle w:val="FootnoteReference"/>
          <w:rFonts w:ascii="Simplified Arabic" w:eastAsia="Times New Roman" w:hAnsi="Simplified Arabic" w:cs="Simplified Arabic"/>
          <w:sz w:val="26"/>
          <w:szCs w:val="26"/>
          <w:rtl/>
        </w:rPr>
        <w:footnoteReference w:id="6"/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ذلك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القلق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واضطرابات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بعد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الصدمة،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ظل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غياب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شبه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كامل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لخدمات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الدعم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النفسي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المتخصصة</w:t>
      </w:r>
      <w:r w:rsidR="008A2F17" w:rsidRPr="00FF2A2E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14:paraId="3A9C344E" w14:textId="6C27C538" w:rsidR="00DA1B1C" w:rsidRPr="00FF2A2E" w:rsidRDefault="00E14B73" w:rsidP="00FF2A2E">
      <w:pPr>
        <w:shd w:val="clear" w:color="auto" w:fill="FFFFFF"/>
        <w:spacing w:after="0" w:line="240" w:lineRule="auto"/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</w:pP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lastRenderedPageBreak/>
        <w:t>المؤشرات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الصحية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والدمار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البشري: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نداء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عاجل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لمواجهة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الكارثة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الإنسانية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="0020649C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>القطاع</w:t>
      </w:r>
    </w:p>
    <w:p w14:paraId="64170180" w14:textId="3F1289FF" w:rsidR="002C18C4" w:rsidRPr="00FF2A2E" w:rsidRDefault="00E14B73" w:rsidP="00FF2A2E">
      <w:pPr>
        <w:shd w:val="clear" w:color="auto" w:fill="FFFFFF"/>
        <w:spacing w:after="0" w:line="240" w:lineRule="auto"/>
        <w:jc w:val="both"/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</w:pP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وفي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رصدٍ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مأساوي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لحجم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الإبادة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والنزيف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البشري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المستمر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تشير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المعطيات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أن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العدوان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المستمر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منذ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تشرين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الأول</w:t>
      </w:r>
      <w:r w:rsidR="00AA2B2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/أكتوبر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2023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أسفر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حتى</w:t>
      </w:r>
      <w:r w:rsidR="00AB2F37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 xml:space="preserve"> </w:t>
      </w:r>
      <w:r w:rsidR="00AF4A11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آذار/مارس 2026</w:t>
      </w:r>
      <w:r w:rsidR="00AA2B2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عن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أكثر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7</w:t>
      </w:r>
      <w:r w:rsidR="00B55ED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2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,</w:t>
      </w:r>
      <w:r w:rsidR="00B55ED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280</w:t>
      </w:r>
      <w:r w:rsidR="00EB1DDD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شهيداً</w:t>
      </w:r>
      <w:r w:rsidR="00EB1DDD" w:rsidRPr="00FF2A2E">
        <w:rPr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t>،</w:t>
      </w:r>
      <w:r w:rsidR="00DD44E8" w:rsidRPr="00FF2A2E">
        <w:rPr>
          <w:rStyle w:val="FootnoteReference"/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footnoteReference w:id="7"/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إضافة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يزيد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AA2B2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على </w:t>
      </w:r>
      <w:r w:rsidR="007565B0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172,00</w:t>
      </w:r>
      <w:r w:rsidR="00BC5D4A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</w:rPr>
        <w:t>0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جريحاً،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يُقدّر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أن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نحو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ربعهم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يعانون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إصابات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دائمة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تتطلب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خدمات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إعادة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تأهيل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طويلة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الأمد.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AA2B2E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وتشير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تقديرات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اليونيسف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أن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أكثر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04396A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21000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طفل</w:t>
      </w:r>
      <w:r w:rsidR="00347D26" w:rsidRPr="00FF2A2E">
        <w:rPr>
          <w:rStyle w:val="FootnoteReference"/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footnoteReference w:id="8"/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بين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الضحايا،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إضافة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إلى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ما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يزيد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347D2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على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11,000</w:t>
      </w:r>
      <w:r w:rsidR="00347D2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ط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فل</w:t>
      </w:r>
      <w:r w:rsidR="00315074" w:rsidRPr="00FF2A2E">
        <w:rPr>
          <w:rStyle w:val="FootnoteReference"/>
          <w:rFonts w:ascii="Simplified Arabic" w:hAnsi="Simplified Arabic" w:cs="Simplified Arabic"/>
          <w:color w:val="0A0A0A"/>
          <w:sz w:val="26"/>
          <w:szCs w:val="26"/>
          <w:shd w:val="clear" w:color="auto" w:fill="FFFFFF"/>
          <w:rtl/>
        </w:rPr>
        <w:footnoteReference w:id="9"/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يعانون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من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إعاقات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دائمة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وإصابات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غيرت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مجرى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حياتهم،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وهم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بحاجة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ماسة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347D2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ل</w:t>
      </w:r>
      <w:r w:rsidR="00347D2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ى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برامج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إعادة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تأهيل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طويلة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الأمد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غير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متوفرة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ظل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الظروف</w:t>
      </w:r>
      <w:r w:rsidR="00D979E6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 xml:space="preserve"> </w:t>
      </w:r>
      <w:r w:rsidR="002C18C4" w:rsidRPr="00FF2A2E">
        <w:rPr>
          <w:rStyle w:val="Strong"/>
          <w:rFonts w:ascii="Simplified Arabic" w:hAnsi="Simplified Arabic" w:cs="Simplified Arabic"/>
          <w:b w:val="0"/>
          <w:bCs w:val="0"/>
          <w:color w:val="0A0A0A"/>
          <w:sz w:val="26"/>
          <w:szCs w:val="26"/>
          <w:shd w:val="clear" w:color="auto" w:fill="FFFFFF"/>
          <w:rtl/>
        </w:rPr>
        <w:t>الحالية</w:t>
      </w:r>
      <w:r w:rsidR="002C18C4" w:rsidRPr="00FF2A2E">
        <w:rPr>
          <w:rFonts w:ascii="Simplified Arabic" w:eastAsia="Times New Roman" w:hAnsi="Simplified Arabic" w:cs="Simplified Arabic"/>
          <w:b/>
          <w:bCs/>
          <w:sz w:val="26"/>
          <w:szCs w:val="26"/>
        </w:rPr>
        <w:t>.</w:t>
      </w:r>
    </w:p>
    <w:p w14:paraId="564EAF1B" w14:textId="77777777" w:rsidR="0053346C" w:rsidRPr="00FF2A2E" w:rsidRDefault="0053346C" w:rsidP="00FF2A2E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b/>
          <w:bCs/>
          <w:sz w:val="16"/>
          <w:szCs w:val="16"/>
          <w:rtl/>
        </w:rPr>
      </w:pPr>
    </w:p>
    <w:p w14:paraId="7F19963C" w14:textId="4B77C84B" w:rsidR="00C64DAC" w:rsidRPr="00FF2A2E" w:rsidRDefault="002C18C4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حجم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الاحتياجات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الإنسانية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المتفاقمة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يتطلب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تحركاً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دولياً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فورياً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وفعالاً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ورفع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القيود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المفروضة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إدخال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المعدات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والتجهيزات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الطبية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الحساسة،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يضمن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استمرارية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تقديم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الخدمات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المنقذة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للحيا</w:t>
      </w:r>
      <w:r w:rsidR="00F57015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ة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.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3150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وتشير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البيانات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أكثر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3150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18,500 مريض</w:t>
      </w:r>
      <w:r w:rsidR="00DD44E8" w:rsidRPr="00FF2A2E">
        <w:rPr>
          <w:rStyle w:val="FootnoteReference"/>
          <w:rFonts w:ascii="Simplified Arabic" w:eastAsia="Times New Roman" w:hAnsi="Simplified Arabic" w:cs="Simplified Arabic"/>
          <w:sz w:val="26"/>
          <w:szCs w:val="26"/>
          <w:rtl/>
        </w:rPr>
        <w:footnoteReference w:id="10"/>
      </w:r>
      <w:r w:rsidR="003150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بحاجة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3150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</w:t>
      </w:r>
      <w:r w:rsidR="003150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ى ا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لإخلاء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الطبي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3187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الفوري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بينهم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3,800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طفل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يحتاجون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تدخلات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علاجية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متقدمة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خارج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فلسطين.</w:t>
      </w:r>
    </w:p>
    <w:p w14:paraId="4D4BCE98" w14:textId="770F12C0" w:rsidR="00272306" w:rsidRPr="007C1CE2" w:rsidRDefault="00272306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16"/>
          <w:szCs w:val="16"/>
        </w:rPr>
      </w:pPr>
    </w:p>
    <w:p w14:paraId="184F3F05" w14:textId="02416B3E" w:rsidR="00272306" w:rsidRDefault="00111099" w:rsidP="007C1CE2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111099">
        <w:rPr>
          <w:rFonts w:ascii="Simplified Arabic" w:eastAsia="Times New Roman" w:hAnsi="Simplified Arabic" w:cs="Simplified Arabic"/>
          <w:noProof/>
          <w:sz w:val="24"/>
          <w:szCs w:val="24"/>
          <w:rtl/>
        </w:rPr>
        <w:drawing>
          <wp:inline distT="0" distB="0" distL="0" distR="0" wp14:anchorId="22BBD61C" wp14:editId="0C0E8100">
            <wp:extent cx="6119681" cy="2073302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3109" cy="210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19F8" w14:textId="77777777" w:rsidR="00C64DAC" w:rsidRPr="004F261B" w:rsidRDefault="00C64DAC" w:rsidP="00FF2A2E">
      <w:pPr>
        <w:shd w:val="clear" w:color="auto" w:fill="FFFFFF"/>
        <w:spacing w:after="0" w:line="240" w:lineRule="auto"/>
        <w:jc w:val="center"/>
        <w:rPr>
          <w:rStyle w:val="Strong"/>
          <w:rFonts w:ascii="Simplified Arabic" w:hAnsi="Simplified Arabic" w:cs="Simplified Arabic"/>
          <w:color w:val="0A0A0A"/>
          <w:sz w:val="4"/>
          <w:szCs w:val="4"/>
          <w:shd w:val="clear" w:color="auto" w:fill="FFFFFF"/>
        </w:rPr>
      </w:pPr>
    </w:p>
    <w:p w14:paraId="6788DF15" w14:textId="19FB1467" w:rsidR="006B1D88" w:rsidRPr="00FF2A2E" w:rsidRDefault="006B1D88" w:rsidP="00FF2A2E">
      <w:pPr>
        <w:shd w:val="clear" w:color="auto" w:fill="FFFFFF"/>
        <w:spacing w:after="0" w:line="240" w:lineRule="auto"/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</w:pP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منظومة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صحية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="00080BA6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 xml:space="preserve"> </w:t>
      </w:r>
      <w:r w:rsidR="00080BA6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>الضفة</w:t>
      </w:r>
      <w:r w:rsidR="00D979E6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 xml:space="preserve"> </w:t>
      </w:r>
      <w:r w:rsidR="00080BA6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>الغربية</w:t>
      </w:r>
      <w:r w:rsidR="00D979E6" w:rsidRPr="00FF2A2E">
        <w:rPr>
          <w:rStyle w:val="Strong"/>
          <w:rFonts w:ascii="Simplified Arabic" w:hAnsi="Simplified Arabic" w:cs="Simplified Arabic" w:hint="cs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قائمة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تحت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الضغط: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كفاءة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الخدمات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ظل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القيود</w:t>
      </w:r>
      <w:r w:rsidR="00D979E6"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color w:val="0A0A0A"/>
          <w:sz w:val="28"/>
          <w:szCs w:val="28"/>
          <w:shd w:val="clear" w:color="auto" w:fill="FFFFFF"/>
          <w:rtl/>
        </w:rPr>
        <w:t>والتحديات</w:t>
      </w:r>
    </w:p>
    <w:p w14:paraId="08E32983" w14:textId="0E5B960B" w:rsidR="006B1D88" w:rsidRPr="00FF2A2E" w:rsidRDefault="006B1D88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تعتمد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منظومة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الرعاية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الضفة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الغربية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شبكة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واسعة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الخدمات،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0748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</w:t>
      </w:r>
      <w:r w:rsidR="0080748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عالم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0748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2024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تقديم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الرعاية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الأولية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خلال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608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مر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كز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صحي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ة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إضافة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60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مستشفى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توفر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يقارب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13.4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سرير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10,000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السكان</w:t>
      </w:r>
      <w:r w:rsidR="003D739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وهو أقل من المتوسط العالمي البالغ حوالي 30 سريراً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.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80748A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بلغت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كثافة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الكوادر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21.9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طبيب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و43.6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ممرض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10,000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السكان،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وهو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يعكس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توفر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الموارد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البشرية،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مع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استمرار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الحاجة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تحسين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توزيعها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وكفاءتها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لتلبية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الطلب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المتزايد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الخدمات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Pr="00FF2A2E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14:paraId="0DBC3AE5" w14:textId="45D35AB4" w:rsidR="006B1D88" w:rsidRDefault="006B1D88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 ال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رغم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من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هذا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التقدم،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يمكن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فصل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الوضع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القيود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المفروضة،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تؤثر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الإجراءات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الإسرائيلية،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بشكل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مباشر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كفاءة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الخدمات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الضفة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الغربية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واستمراريتها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؛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إذ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تعيق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الحواجز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والقيود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الحركة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وصول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المرضى،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وب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خاصة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الحالات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الطارئة،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المستشفيات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الوقت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المناسب،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تحدّ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قدرة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الكوادر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التنقل،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وتؤثر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توريد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الأدوية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والمستلزمات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الطبية.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وتنعكس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هذه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التحديات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سلباً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جودة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الرعاية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واستمراريتها،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يشكل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ضغطاً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إضافياً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النظام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ويهدد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المكاسب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المحققة</w:t>
      </w:r>
      <w:r w:rsidRPr="00FF2A2E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14:paraId="584B981C" w14:textId="77777777" w:rsidR="007C1CE2" w:rsidRPr="007C1CE2" w:rsidRDefault="007C1CE2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</w:p>
    <w:p w14:paraId="420F35BB" w14:textId="3FDEBA70" w:rsidR="006B1D88" w:rsidRPr="00FF2A2E" w:rsidRDefault="006B1D88" w:rsidP="00FF2A2E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lastRenderedPageBreak/>
        <w:t>انخفاض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وفيات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الأمهات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والأطفال</w:t>
      </w:r>
      <w:r w:rsidR="00D979E6"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في</w:t>
      </w:r>
      <w:r w:rsidR="00D979E6"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الضفة</w:t>
      </w:r>
      <w:r w:rsidR="00D979E6"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الغربية</w:t>
      </w:r>
      <w:r w:rsidR="00C85CC0"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…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إنجاز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صحي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يعكس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تقدماً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مستمراً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رغم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التحديات</w:t>
      </w:r>
    </w:p>
    <w:p w14:paraId="5C8D1B60" w14:textId="59ECA67C" w:rsidR="006B1D88" w:rsidRDefault="006B1D88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تعكس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المؤشرات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الضفة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الغربية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تقدماً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تدريجياً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خفض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وفيات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الأمهات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والأطفال؛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إذ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بلغ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معدل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وفيات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الأمهات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22.2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100,000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مولود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وهو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أدنى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بكثير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السقف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الذي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حددته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منظمة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العالمية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ضمن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أهداف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التنمية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المستدامة</w:t>
      </w:r>
      <w:r w:rsidR="00D979E6" w:rsidRPr="00FF2A2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34F7" w:rsidRPr="00FF2A2E">
        <w:rPr>
          <w:rFonts w:ascii="Simplified Arabic" w:hAnsi="Simplified Arabic" w:cs="Simplified Arabic"/>
          <w:sz w:val="26"/>
          <w:szCs w:val="26"/>
          <w:rtl/>
        </w:rPr>
        <w:t>(</w:t>
      </w:r>
      <w:r w:rsidR="003134F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أقل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3134F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3134F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70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3134F7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حالة).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سجلت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وفيات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الرضع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8.5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1,000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مولود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ووفيات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الأطفال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دون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الخامسة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10.1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1,000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العام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2024،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وهي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مستويات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ضمن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الحدود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العالمية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المستهدفة</w:t>
      </w:r>
      <w:r w:rsidRPr="00FF2A2E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14:paraId="66BBD71C" w14:textId="77777777" w:rsidR="007C1CE2" w:rsidRPr="007C1CE2" w:rsidRDefault="007C1CE2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16"/>
          <w:szCs w:val="16"/>
        </w:rPr>
      </w:pPr>
    </w:p>
    <w:p w14:paraId="2C6026EA" w14:textId="47DE6268" w:rsidR="006B1D88" w:rsidRPr="00FF2A2E" w:rsidRDefault="006B1D88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وعند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مقارنتها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بنتائج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المسح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الفلسطيني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العنقودي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متعدد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المؤشرات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2020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يتضح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مسار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تحسن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واضح</w:t>
      </w:r>
      <w:r w:rsidR="00C85CC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؛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إذ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بلغت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وفيات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الرضع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نحو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14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1,000،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ووفيات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الأطفال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دون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الخامسة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حوالي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26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1,000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مولود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حي.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DE45E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ويعكس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هذا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الانخفاض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تحسناً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فعالية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خدمات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الرعاية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الأولية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والتدخلات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الوقائية</w:t>
      </w:r>
      <w:r w:rsidRPr="00FF2A2E">
        <w:rPr>
          <w:rFonts w:ascii="Simplified Arabic" w:eastAsia="Times New Roman" w:hAnsi="Simplified Arabic" w:cs="Simplified Arabic"/>
          <w:sz w:val="26"/>
          <w:szCs w:val="26"/>
        </w:rPr>
        <w:t>.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3AB8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ويُعد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الوصول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شبه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الكامل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للولادات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المؤسسية،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بنسبة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99.9%،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أبرز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النجاحات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النظام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له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دور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حاسم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خفض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المخاطر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الأمهات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والمواليد</w:t>
      </w:r>
      <w:r w:rsidRPr="00FF2A2E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14:paraId="1A985DB9" w14:textId="77777777" w:rsidR="006B1D88" w:rsidRPr="007C1CE2" w:rsidRDefault="006B1D88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16"/>
          <w:szCs w:val="16"/>
        </w:rPr>
      </w:pPr>
    </w:p>
    <w:p w14:paraId="347779C7" w14:textId="7570BDBD" w:rsidR="006B1D88" w:rsidRPr="00FF2A2E" w:rsidRDefault="006B1D88" w:rsidP="00FF2A2E">
      <w:pPr>
        <w:shd w:val="clear" w:color="auto" w:fill="FFFFFF"/>
        <w:spacing w:after="0" w:line="240" w:lineRule="auto"/>
        <w:rPr>
          <w:rStyle w:val="Strong"/>
          <w:rFonts w:ascii="Simplified Arabic" w:hAnsi="Simplified Arabic" w:cs="Simplified Arabic"/>
          <w:sz w:val="28"/>
          <w:szCs w:val="28"/>
          <w:rtl/>
        </w:rPr>
      </w:pP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عبء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الأمراض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في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الضفة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الغربية: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هيمنة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الأمراض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غير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السارية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واستقرار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الأمراض</w:t>
      </w:r>
      <w:r w:rsidR="00D979E6"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2A2E">
        <w:rPr>
          <w:rStyle w:val="Strong"/>
          <w:rFonts w:ascii="Simplified Arabic" w:hAnsi="Simplified Arabic" w:cs="Simplified Arabic"/>
          <w:sz w:val="28"/>
          <w:szCs w:val="28"/>
          <w:rtl/>
        </w:rPr>
        <w:t>السارية</w:t>
      </w:r>
    </w:p>
    <w:p w14:paraId="66879272" w14:textId="373687FE" w:rsidR="006B1D88" w:rsidRPr="00FF2A2E" w:rsidRDefault="006B1D88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تشير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بيانات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وزارة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الضفة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الغربية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3AB8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لعام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2024</w:t>
      </w:r>
      <w:r w:rsidR="006F3AB8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تباين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واضح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نمط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الأمراض،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تُعد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الأمراض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غير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السارية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التحدي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الأبرز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أمام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العامة</w:t>
      </w:r>
      <w:r w:rsidR="006F3AB8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؛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إذ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تهيمن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أسباب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الوفاة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بشكل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كبير.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3AB8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وتتصدر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أمراض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القلب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الإقفارية</w:t>
      </w:r>
      <w:r w:rsidR="003B0AF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(أمراض القلب الناتجة عن انسداد الشرايين)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قائمة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المسببات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بنسبة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24.7%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إجمالي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الوفيات،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تليها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الأورام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السرطانية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بنسبة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18.2%،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ثم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مضاعفات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داء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السكري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بنسبة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14.5%.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6F3AB8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يبلغ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معدل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حدوث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السرطان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نحو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130.8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حالة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100,000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السكان،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D86902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وهو أقل من المتوسط العالمي، إلا أنه يُعد مرتفعًا نسبيًا مقارنة بالعديد من الدول ذات الدخل المنخفض والمتوسط، ويقع ضمن الحدود العليا للمعدلات المسجلة </w:t>
      </w:r>
      <w:r w:rsidR="001D51FC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إقليميًا،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يعكس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عبئاً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صحياً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متزايداً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يتطلب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تعزيز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برامج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الوقاية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والكشف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المبكر،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جانب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تحسين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خدمات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التشخيص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والعلاج</w:t>
      </w:r>
      <w:r w:rsidRPr="00FF2A2E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14:paraId="103981CD" w14:textId="5586328A" w:rsidR="007C1CE2" w:rsidRPr="00FF2A2E" w:rsidRDefault="007C1CE2" w:rsidP="00FF2A2E">
      <w:pPr>
        <w:spacing w:after="0" w:line="240" w:lineRule="auto"/>
        <w:rPr>
          <w:rFonts w:ascii="Simplified Arabic" w:eastAsia="Times New Roman" w:hAnsi="Simplified Arabic" w:cs="Simplified Arabic"/>
          <w:sz w:val="16"/>
          <w:szCs w:val="16"/>
        </w:rPr>
      </w:pPr>
    </w:p>
    <w:p w14:paraId="6CBD17FF" w14:textId="67566DD7" w:rsidR="006B1D88" w:rsidRPr="00FF2A2E" w:rsidRDefault="006B1D88" w:rsidP="00FF2A2E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لأسباب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العشرة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الرئيسية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للوفيات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المسجلة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الضفة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الغربية</w:t>
      </w:r>
      <w:r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،</w:t>
      </w:r>
      <w:r w:rsidR="00D979E6"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2024</w:t>
      </w:r>
    </w:p>
    <w:p w14:paraId="2D4E8999" w14:textId="77777777" w:rsidR="006B1D88" w:rsidRPr="006B1D88" w:rsidRDefault="006B1D88" w:rsidP="007C1CE2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6B1D88">
        <w:rPr>
          <w:rFonts w:ascii="Simplified Arabic" w:eastAsia="Times New Roman" w:hAnsi="Simplified Arabic" w:cs="Simplified Arabic"/>
          <w:noProof/>
          <w:sz w:val="24"/>
          <w:szCs w:val="24"/>
          <w:rtl/>
        </w:rPr>
        <w:drawing>
          <wp:inline distT="0" distB="0" distL="0" distR="0" wp14:anchorId="66570062" wp14:editId="51350738">
            <wp:extent cx="5638800" cy="2321169"/>
            <wp:effectExtent l="0" t="0" r="0" b="3175"/>
            <wp:docPr id="137016955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018514" w14:textId="7E6E2AB2" w:rsidR="006B1D88" w:rsidRPr="007C1CE2" w:rsidRDefault="00273230" w:rsidP="00FF2A2E">
      <w:pPr>
        <w:tabs>
          <w:tab w:val="left" w:pos="1419"/>
        </w:tabs>
        <w:spacing w:after="0" w:line="240" w:lineRule="auto"/>
        <w:jc w:val="both"/>
        <w:rPr>
          <w:rFonts w:ascii="Simplified Arabic" w:eastAsia="Times New Roman" w:hAnsi="Simplified Arabic" w:cs="Simplified Arabic"/>
        </w:rPr>
      </w:pPr>
      <w:r w:rsidRPr="007C1CE2">
        <w:rPr>
          <w:rFonts w:ascii="Simplified Arabic" w:eastAsia="Times New Roman" w:hAnsi="Simplified Arabic" w:cs="Simplified Arabic" w:hint="cs"/>
          <w:rtl/>
        </w:rPr>
        <w:t>المصدر:</w:t>
      </w:r>
      <w:r w:rsidR="00D979E6" w:rsidRPr="007C1CE2">
        <w:rPr>
          <w:rFonts w:ascii="Simplified Arabic" w:eastAsia="Times New Roman" w:hAnsi="Simplified Arabic" w:cs="Simplified Arabic" w:hint="cs"/>
          <w:rtl/>
        </w:rPr>
        <w:t xml:space="preserve"> </w:t>
      </w:r>
      <w:r w:rsidRPr="007C1CE2">
        <w:rPr>
          <w:rFonts w:ascii="Simplified Arabic" w:eastAsia="Times New Roman" w:hAnsi="Simplified Arabic" w:cs="Simplified Arabic" w:hint="cs"/>
          <w:rtl/>
        </w:rPr>
        <w:t>وزارة</w:t>
      </w:r>
      <w:r w:rsidR="00D979E6" w:rsidRPr="007C1CE2">
        <w:rPr>
          <w:rFonts w:ascii="Simplified Arabic" w:eastAsia="Times New Roman" w:hAnsi="Simplified Arabic" w:cs="Simplified Arabic" w:hint="cs"/>
          <w:rtl/>
        </w:rPr>
        <w:t xml:space="preserve"> </w:t>
      </w:r>
      <w:r w:rsidRPr="007C1CE2">
        <w:rPr>
          <w:rFonts w:ascii="Simplified Arabic" w:eastAsia="Times New Roman" w:hAnsi="Simplified Arabic" w:cs="Simplified Arabic" w:hint="cs"/>
          <w:rtl/>
        </w:rPr>
        <w:t>الصحة،</w:t>
      </w:r>
      <w:r w:rsidR="00D979E6" w:rsidRPr="007C1CE2">
        <w:rPr>
          <w:rFonts w:ascii="Simplified Arabic" w:eastAsia="Times New Roman" w:hAnsi="Simplified Arabic" w:cs="Simplified Arabic" w:hint="cs"/>
          <w:rtl/>
        </w:rPr>
        <w:t xml:space="preserve"> </w:t>
      </w:r>
      <w:r w:rsidRPr="007C1CE2">
        <w:rPr>
          <w:rFonts w:ascii="Simplified Arabic" w:eastAsia="Times New Roman" w:hAnsi="Simplified Arabic" w:cs="Simplified Arabic" w:hint="cs"/>
          <w:rtl/>
        </w:rPr>
        <w:t>التقرير</w:t>
      </w:r>
      <w:r w:rsidR="00D979E6" w:rsidRPr="007C1CE2">
        <w:rPr>
          <w:rFonts w:ascii="Simplified Arabic" w:eastAsia="Times New Roman" w:hAnsi="Simplified Arabic" w:cs="Simplified Arabic" w:hint="cs"/>
          <w:rtl/>
        </w:rPr>
        <w:t xml:space="preserve"> </w:t>
      </w:r>
      <w:r w:rsidRPr="007C1CE2">
        <w:rPr>
          <w:rFonts w:ascii="Simplified Arabic" w:eastAsia="Times New Roman" w:hAnsi="Simplified Arabic" w:cs="Simplified Arabic" w:hint="cs"/>
          <w:rtl/>
        </w:rPr>
        <w:t>الصحي</w:t>
      </w:r>
      <w:r w:rsidR="00D979E6" w:rsidRPr="007C1CE2">
        <w:rPr>
          <w:rFonts w:ascii="Simplified Arabic" w:eastAsia="Times New Roman" w:hAnsi="Simplified Arabic" w:cs="Simplified Arabic" w:hint="cs"/>
          <w:rtl/>
        </w:rPr>
        <w:t xml:space="preserve"> </w:t>
      </w:r>
      <w:r w:rsidRPr="007C1CE2">
        <w:rPr>
          <w:rFonts w:ascii="Simplified Arabic" w:eastAsia="Times New Roman" w:hAnsi="Simplified Arabic" w:cs="Simplified Arabic" w:hint="cs"/>
          <w:rtl/>
        </w:rPr>
        <w:t>السنوي</w:t>
      </w:r>
      <w:r w:rsidR="00D979E6" w:rsidRPr="007C1CE2">
        <w:rPr>
          <w:rFonts w:ascii="Simplified Arabic" w:eastAsia="Times New Roman" w:hAnsi="Simplified Arabic" w:cs="Simplified Arabic" w:hint="cs"/>
          <w:rtl/>
        </w:rPr>
        <w:t xml:space="preserve"> </w:t>
      </w:r>
      <w:r w:rsidRPr="007C1CE2">
        <w:rPr>
          <w:rFonts w:ascii="Simplified Arabic" w:eastAsia="Times New Roman" w:hAnsi="Simplified Arabic" w:cs="Simplified Arabic" w:hint="cs"/>
          <w:rtl/>
        </w:rPr>
        <w:t>2024.</w:t>
      </w:r>
    </w:p>
    <w:p w14:paraId="14B71AE0" w14:textId="77777777" w:rsidR="00FF67D6" w:rsidRPr="007C1CE2" w:rsidRDefault="00FF67D6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16"/>
          <w:szCs w:val="16"/>
          <w:rtl/>
        </w:rPr>
      </w:pPr>
    </w:p>
    <w:p w14:paraId="29EC01AB" w14:textId="0ED9309A" w:rsidR="0022464E" w:rsidRDefault="0022464E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</w:rPr>
      </w:pPr>
    </w:p>
    <w:p w14:paraId="3D2A4F66" w14:textId="129F92A6" w:rsidR="0022464E" w:rsidRDefault="0022464E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</w:rPr>
      </w:pPr>
    </w:p>
    <w:p w14:paraId="0EC9A101" w14:textId="73EC96DF" w:rsidR="0022464E" w:rsidRDefault="0022464E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</w:rPr>
      </w:pPr>
    </w:p>
    <w:p w14:paraId="5664E3D1" w14:textId="77777777" w:rsidR="0022464E" w:rsidRDefault="0022464E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</w:rPr>
      </w:pPr>
    </w:p>
    <w:p w14:paraId="0A5B2995" w14:textId="41886DE0" w:rsidR="006B1D88" w:rsidRPr="00FF2A2E" w:rsidRDefault="006B1D88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المقابل،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تزال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الأمراض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السارية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تحت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السيطرة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نسبياً،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تسجل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معدلات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إصابة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منخفضة؛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إذ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بلغ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معدل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الإصابة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بالتهاب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الكبد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الوبائي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(أ)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حوالي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5.23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100,000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السكان،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بينما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سجل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السل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الرئوي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معدلاً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منخفضاً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جداً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بلغ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0.23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100,000.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FD2783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ويُعد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خلو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الضفة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الغربية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حالات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شلل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الأطفال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والحصبة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خلال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FD2783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2024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مؤشراً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إيجابياً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يعكس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فعالية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برامج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التطعيم</w:t>
      </w:r>
      <w:r w:rsidR="00FD2783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ونظم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الترصد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الوبائي،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FD2783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 ال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رغم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FD2783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من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استمرار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التحديات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القائمة</w:t>
      </w:r>
      <w:r w:rsidRPr="00FF2A2E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14:paraId="12002247" w14:textId="77777777" w:rsidR="00D74820" w:rsidRPr="00FF2A2E" w:rsidRDefault="00D74820" w:rsidP="00FF2A2E">
      <w:pPr>
        <w:spacing w:after="0" w:line="240" w:lineRule="auto"/>
        <w:rPr>
          <w:rFonts w:ascii="Simplified Arabic" w:eastAsia="Times New Roman" w:hAnsi="Simplified Arabic" w:cs="Simplified Arabic"/>
          <w:sz w:val="16"/>
          <w:szCs w:val="16"/>
          <w:rtl/>
        </w:rPr>
      </w:pPr>
    </w:p>
    <w:p w14:paraId="2290303B" w14:textId="2CB59999" w:rsidR="007023EC" w:rsidRPr="00FF2A2E" w:rsidRDefault="0076280D" w:rsidP="00FF2A2E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</w:t>
      </w:r>
      <w:r w:rsidR="007023EC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لإنفاق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7023EC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المباشر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7023EC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للأسر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7023EC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المعيشية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7023EC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5213CF" w:rsidRPr="00FF2A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الصحة</w:t>
      </w:r>
      <w:r w:rsidR="007023EC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7023EC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عبء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7023EC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مالي</w:t>
      </w:r>
      <w:r w:rsidR="00D979E6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</w:t>
      </w:r>
      <w:r w:rsidR="007023EC" w:rsidRPr="00FF2A2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إضافي</w:t>
      </w:r>
    </w:p>
    <w:p w14:paraId="4CAD1AAB" w14:textId="4DD24904" w:rsidR="0049040F" w:rsidRPr="00FF2A2E" w:rsidRDefault="007023EC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بلغ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إجمالي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الإنفاق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الجاري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فلسطين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5213CF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2024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نحو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1,793.9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مليون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دولار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أمريكي،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ويشكل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حوالي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11.2%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الناتج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المحلي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الإجمالي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بمعدل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نصيب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للفرد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351.7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دولار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سنوياً.</w:t>
      </w:r>
      <w:r w:rsidR="007E4C6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يعتمد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النظام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الصحي</w:t>
      </w:r>
      <w:r w:rsidR="007E4C6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بشكل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كبير</w:t>
      </w:r>
      <w:r w:rsidR="007E4C6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التمويل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الحكومي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41.7%،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بينما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تشكل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الأسر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المعيشية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ثاني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أكبر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وكيل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تمويل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للصحة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فلسطين،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حيث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بلغت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نسبة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مساهمتها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44.9%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إجمالي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الإنفاق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الجاري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الصحة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في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E4C6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عام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2024.</w:t>
      </w:r>
      <w:r w:rsidR="007E4C60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وهذا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يعكس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عبئاً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مالياً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مباشراً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مرتفعاً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الأسر،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قد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يحدّ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قدرتها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على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تلبية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احتياجاتها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الأساسية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الأخرى</w:t>
      </w:r>
      <w:r w:rsidR="00AE2644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،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ويزيد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من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مخاطر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التعرض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لضغوط</w:t>
      </w:r>
      <w:r w:rsidR="00D979E6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 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  <w:rtl/>
        </w:rPr>
        <w:t>اقتصادية</w:t>
      </w:r>
      <w:r w:rsidR="0076280D" w:rsidRPr="00FF2A2E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14:paraId="477EB397" w14:textId="5DAA69CE" w:rsidR="0076280D" w:rsidRDefault="0076280D" w:rsidP="00FF2A2E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</w:p>
    <w:p w14:paraId="7045F36E" w14:textId="66EBF358" w:rsidR="00DA1C5A" w:rsidRPr="006B1D88" w:rsidRDefault="00DA1C5A" w:rsidP="00DA1C5A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</w:p>
    <w:sectPr w:rsidR="00DA1C5A" w:rsidRPr="006B1D88" w:rsidSect="007C1CE2">
      <w:footerReference w:type="default" r:id="rId13"/>
      <w:pgSz w:w="11906" w:h="16838"/>
      <w:pgMar w:top="1080" w:right="1080" w:bottom="1080" w:left="1080" w:header="360" w:footer="191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B75E73" w16cex:dateUtc="2026-04-05T07:58:00Z"/>
  <w16cex:commentExtensible w16cex:durableId="4763DE8A" w16cex:dateUtc="2026-04-05T08:13:00Z"/>
  <w16cex:commentExtensible w16cex:durableId="1266B273" w16cex:dateUtc="2026-04-05T0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43A9FD" w16cid:durableId="41B75E73"/>
  <w16cid:commentId w16cid:paraId="22207EA7" w16cid:durableId="4763DE8A"/>
  <w16cid:commentId w16cid:paraId="3CE2A44E" w16cid:durableId="1266B27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0B9B3" w14:textId="77777777" w:rsidR="00D01501" w:rsidRDefault="00D01501" w:rsidP="00D902D0">
      <w:pPr>
        <w:spacing w:after="0" w:line="240" w:lineRule="auto"/>
      </w:pPr>
      <w:r>
        <w:separator/>
      </w:r>
    </w:p>
  </w:endnote>
  <w:endnote w:type="continuationSeparator" w:id="0">
    <w:p w14:paraId="26E36FD5" w14:textId="77777777" w:rsidR="00D01501" w:rsidRDefault="00D01501" w:rsidP="00D9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9754265"/>
      <w:docPartObj>
        <w:docPartGallery w:val="Page Numbers (Bottom of Page)"/>
        <w:docPartUnique/>
      </w:docPartObj>
    </w:sdtPr>
    <w:sdtEndPr/>
    <w:sdtContent>
      <w:p w14:paraId="695C0ED6" w14:textId="0F63ADF0" w:rsidR="00FC319F" w:rsidRDefault="00FC31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A94">
          <w:rPr>
            <w:noProof/>
            <w:rtl/>
          </w:rPr>
          <w:t>1</w:t>
        </w:r>
        <w:r>
          <w:fldChar w:fldCharType="end"/>
        </w:r>
      </w:p>
    </w:sdtContent>
  </w:sdt>
  <w:p w14:paraId="0BB22866" w14:textId="77777777" w:rsidR="00FC319F" w:rsidRDefault="00FC3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CE9AE" w14:textId="77777777" w:rsidR="00D01501" w:rsidRDefault="00D01501" w:rsidP="00D902D0">
      <w:pPr>
        <w:spacing w:after="0" w:line="240" w:lineRule="auto"/>
      </w:pPr>
      <w:r>
        <w:separator/>
      </w:r>
    </w:p>
  </w:footnote>
  <w:footnote w:type="continuationSeparator" w:id="0">
    <w:p w14:paraId="0AB845CB" w14:textId="77777777" w:rsidR="00D01501" w:rsidRDefault="00D01501" w:rsidP="00D902D0">
      <w:pPr>
        <w:spacing w:after="0" w:line="240" w:lineRule="auto"/>
      </w:pPr>
      <w:r>
        <w:continuationSeparator/>
      </w:r>
    </w:p>
  </w:footnote>
  <w:footnote w:id="1">
    <w:p w14:paraId="7D49FCC0" w14:textId="6C4EC72C" w:rsidR="00B965DD" w:rsidRPr="007C1CE2" w:rsidRDefault="00B965DD" w:rsidP="00FA40F4">
      <w:pPr>
        <w:pStyle w:val="FootnoteText"/>
        <w:bidi w:val="0"/>
        <w:rPr>
          <w:rFonts w:asciiTheme="majorBidi" w:hAnsiTheme="majorBidi" w:cstheme="majorBidi"/>
          <w:sz w:val="22"/>
          <w:szCs w:val="22"/>
        </w:rPr>
      </w:pPr>
      <w:r w:rsidRPr="007C1CE2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7C1CE2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9128BC" w:rsidRPr="007C1CE2">
        <w:rPr>
          <w:rFonts w:asciiTheme="majorBidi" w:hAnsiTheme="majorBidi" w:cstheme="majorBidi"/>
          <w:color w:val="0A0A0A"/>
          <w:sz w:val="22"/>
          <w:szCs w:val="22"/>
          <w:shd w:val="clear" w:color="auto" w:fill="FFFFFF"/>
        </w:rPr>
        <w:t>UNICEF - Humanitarian Situation Update - 5 February 2026</w:t>
      </w:r>
    </w:p>
  </w:footnote>
  <w:footnote w:id="2">
    <w:p w14:paraId="7135AF9B" w14:textId="1747EE68" w:rsidR="00B965DD" w:rsidRPr="007C1CE2" w:rsidRDefault="00B965DD" w:rsidP="00FA40F4">
      <w:pPr>
        <w:pStyle w:val="FootnoteText"/>
        <w:bidi w:val="0"/>
        <w:rPr>
          <w:rFonts w:asciiTheme="majorBidi" w:hAnsiTheme="majorBidi" w:cstheme="majorBidi"/>
          <w:rtl/>
        </w:rPr>
      </w:pPr>
      <w:r w:rsidRPr="007C1CE2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7C1CE2">
        <w:rPr>
          <w:rFonts w:asciiTheme="majorBidi" w:hAnsiTheme="majorBidi" w:cstheme="majorBidi"/>
          <w:sz w:val="22"/>
          <w:szCs w:val="22"/>
          <w:rtl/>
        </w:rPr>
        <w:t xml:space="preserve"> </w:t>
      </w:r>
      <w:hyperlink r:id="rId1" w:history="1">
        <w:r w:rsidR="0097310E" w:rsidRPr="007C1CE2">
          <w:rPr>
            <w:rStyle w:val="Hyperlink"/>
            <w:rFonts w:asciiTheme="majorBidi" w:hAnsiTheme="majorBidi" w:cstheme="majorBidi"/>
            <w:sz w:val="22"/>
            <w:szCs w:val="22"/>
          </w:rPr>
          <w:t>https://www.un.org/unispal/document/occupied-palestinian-territory-who-health-emergency-appeal-2026</w:t>
        </w:r>
      </w:hyperlink>
      <w:r w:rsidR="0097310E" w:rsidRPr="007C1CE2">
        <w:rPr>
          <w:rFonts w:asciiTheme="majorBidi" w:hAnsiTheme="majorBidi" w:cstheme="majorBidi"/>
          <w:rtl/>
        </w:rPr>
        <w:t xml:space="preserve"> </w:t>
      </w:r>
    </w:p>
  </w:footnote>
  <w:footnote w:id="3">
    <w:p w14:paraId="2AFA12DA" w14:textId="268B85C5" w:rsidR="009128BC" w:rsidRPr="004F261B" w:rsidRDefault="009128BC" w:rsidP="00FA40F4">
      <w:pPr>
        <w:pStyle w:val="FootnoteText"/>
        <w:bidi w:val="0"/>
        <w:rPr>
          <w:rFonts w:asciiTheme="majorBidi" w:hAnsiTheme="majorBidi" w:cstheme="majorBidi"/>
          <w:sz w:val="22"/>
          <w:szCs w:val="22"/>
        </w:rPr>
      </w:pPr>
      <w:r w:rsidRPr="004F261B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4F261B">
        <w:rPr>
          <w:rFonts w:asciiTheme="majorBidi" w:hAnsiTheme="majorBidi" w:cstheme="majorBidi"/>
          <w:sz w:val="22"/>
          <w:szCs w:val="22"/>
          <w:rtl/>
        </w:rPr>
        <w:t xml:space="preserve"> </w:t>
      </w:r>
      <w:hyperlink r:id="rId2" w:history="1">
        <w:r w:rsidR="002730AF" w:rsidRPr="004F261B">
          <w:rPr>
            <w:rStyle w:val="Hyperlink"/>
            <w:rFonts w:asciiTheme="majorBidi" w:hAnsiTheme="majorBidi" w:cstheme="majorBidi"/>
            <w:sz w:val="22"/>
            <w:szCs w:val="22"/>
          </w:rPr>
          <w:t>IPC_Gaza_Strip_Acute_Food_Insecurity_Malnutrition_Oct2025_Apr2026_Special_Snapshot.pdf</w:t>
        </w:r>
      </w:hyperlink>
    </w:p>
  </w:footnote>
  <w:footnote w:id="4">
    <w:p w14:paraId="7818CCB8" w14:textId="77777777" w:rsidR="004B3BF2" w:rsidRPr="004F261B" w:rsidRDefault="004B3BF2" w:rsidP="00FA40F4">
      <w:pPr>
        <w:pStyle w:val="FootnoteText"/>
        <w:bidi w:val="0"/>
        <w:rPr>
          <w:rFonts w:asciiTheme="majorBidi" w:hAnsiTheme="majorBidi" w:cstheme="majorBidi"/>
          <w:sz w:val="22"/>
          <w:szCs w:val="22"/>
        </w:rPr>
      </w:pPr>
      <w:r w:rsidRPr="004F261B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4F261B">
        <w:rPr>
          <w:rFonts w:asciiTheme="majorBidi" w:hAnsiTheme="majorBidi" w:cstheme="majorBidi"/>
          <w:sz w:val="22"/>
          <w:szCs w:val="22"/>
          <w:rtl/>
        </w:rPr>
        <w:t xml:space="preserve"> </w:t>
      </w:r>
      <w:hyperlink r:id="rId3" w:history="1">
        <w:r w:rsidRPr="004F261B">
          <w:rPr>
            <w:rStyle w:val="Hyperlink"/>
            <w:rFonts w:asciiTheme="majorBidi" w:hAnsiTheme="majorBidi" w:cstheme="majorBidi"/>
            <w:sz w:val="22"/>
            <w:szCs w:val="22"/>
          </w:rPr>
          <w:t>IPC_Gaza_Strip_Acute_Food_Insecurity_Malnutrition_Oct2025_Apr2026_Special_Snapshot.pdf</w:t>
        </w:r>
      </w:hyperlink>
    </w:p>
  </w:footnote>
  <w:footnote w:id="5">
    <w:p w14:paraId="41B92C8F" w14:textId="3D91B7FD" w:rsidR="0038568F" w:rsidRPr="00FA40F4" w:rsidRDefault="0038568F" w:rsidP="00FA40F4">
      <w:pPr>
        <w:pStyle w:val="FootnoteText"/>
        <w:bidi w:val="0"/>
        <w:rPr>
          <w:rFonts w:asciiTheme="majorBidi" w:hAnsiTheme="majorBidi" w:cstheme="majorBidi"/>
        </w:rPr>
      </w:pPr>
      <w:r w:rsidRPr="004F261B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4F261B">
        <w:rPr>
          <w:rFonts w:asciiTheme="majorBidi" w:hAnsiTheme="majorBidi" w:cstheme="majorBidi"/>
          <w:sz w:val="22"/>
          <w:szCs w:val="22"/>
          <w:rtl/>
        </w:rPr>
        <w:t xml:space="preserve"> </w:t>
      </w:r>
      <w:hyperlink r:id="rId4" w:history="1">
        <w:r w:rsidRPr="004F261B">
          <w:rPr>
            <w:rStyle w:val="Hyperlink"/>
            <w:rFonts w:asciiTheme="majorBidi" w:hAnsiTheme="majorBidi" w:cstheme="majorBidi"/>
            <w:sz w:val="22"/>
            <w:szCs w:val="22"/>
          </w:rPr>
          <w:t>EWARS Unified Disease Surveillance Dashboard - The Gaza Strip Metabase</w:t>
        </w:r>
      </w:hyperlink>
    </w:p>
  </w:footnote>
  <w:footnote w:id="6">
    <w:p w14:paraId="4FC832E4" w14:textId="326084CD" w:rsidR="008A2F17" w:rsidRPr="004F261B" w:rsidRDefault="008A2F17" w:rsidP="00FA40F4">
      <w:pPr>
        <w:pStyle w:val="FootnoteText"/>
        <w:bidi w:val="0"/>
        <w:rPr>
          <w:rFonts w:asciiTheme="majorBidi" w:hAnsiTheme="majorBidi" w:cstheme="majorBidi"/>
          <w:sz w:val="22"/>
          <w:szCs w:val="22"/>
        </w:rPr>
      </w:pPr>
      <w:r w:rsidRPr="004F261B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4F261B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Pr="004F261B">
        <w:rPr>
          <w:rFonts w:asciiTheme="majorBidi" w:hAnsiTheme="majorBidi" w:cstheme="majorBidi"/>
          <w:color w:val="0A0A0A"/>
          <w:sz w:val="22"/>
          <w:szCs w:val="22"/>
          <w:shd w:val="clear" w:color="auto" w:fill="FFFFFF"/>
        </w:rPr>
        <w:t>UNICEF - Humanitarian Situation Update - 5 February 2026</w:t>
      </w:r>
      <w:r w:rsidR="00AA2B2E" w:rsidRPr="004F261B">
        <w:rPr>
          <w:rFonts w:asciiTheme="majorBidi" w:hAnsiTheme="majorBidi" w:cstheme="majorBidi"/>
          <w:color w:val="0A0A0A"/>
          <w:sz w:val="22"/>
          <w:szCs w:val="22"/>
          <w:shd w:val="clear" w:color="auto" w:fill="FFFFFF"/>
          <w:rtl/>
        </w:rPr>
        <w:t>.</w:t>
      </w:r>
    </w:p>
  </w:footnote>
  <w:footnote w:id="7">
    <w:p w14:paraId="30B57ABF" w14:textId="1EB7FC9C" w:rsidR="00DD44E8" w:rsidRPr="004F261B" w:rsidRDefault="00DD44E8" w:rsidP="00FA40F4">
      <w:pPr>
        <w:pStyle w:val="FootnoteText"/>
        <w:bidi w:val="0"/>
        <w:rPr>
          <w:rFonts w:asciiTheme="majorBidi" w:hAnsiTheme="majorBidi" w:cstheme="majorBidi"/>
          <w:sz w:val="22"/>
          <w:szCs w:val="22"/>
          <w:rtl/>
        </w:rPr>
      </w:pPr>
      <w:r w:rsidRPr="004F261B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4F261B">
        <w:rPr>
          <w:rFonts w:asciiTheme="majorBidi" w:hAnsiTheme="majorBidi" w:cstheme="majorBidi"/>
          <w:sz w:val="22"/>
          <w:szCs w:val="22"/>
          <w:rtl/>
        </w:rPr>
        <w:t xml:space="preserve"> </w:t>
      </w:r>
      <w:hyperlink r:id="rId5" w:history="1">
        <w:r w:rsidR="007565B0" w:rsidRPr="004F261B">
          <w:rPr>
            <w:rStyle w:val="Hyperlink"/>
            <w:rFonts w:asciiTheme="majorBidi" w:hAnsiTheme="majorBidi" w:cstheme="majorBidi"/>
            <w:sz w:val="22"/>
            <w:szCs w:val="22"/>
          </w:rPr>
          <w:t>Microsoft Power BI</w:t>
        </w:r>
      </w:hyperlink>
    </w:p>
  </w:footnote>
  <w:footnote w:id="8">
    <w:p w14:paraId="18654F3E" w14:textId="03A0C303" w:rsidR="00347D26" w:rsidRPr="004F261B" w:rsidRDefault="00347D26" w:rsidP="00FA40F4">
      <w:pPr>
        <w:pStyle w:val="FootnoteText"/>
        <w:bidi w:val="0"/>
        <w:rPr>
          <w:rFonts w:asciiTheme="majorBidi" w:hAnsiTheme="majorBidi" w:cstheme="majorBidi"/>
          <w:sz w:val="22"/>
          <w:szCs w:val="22"/>
        </w:rPr>
      </w:pPr>
      <w:r w:rsidRPr="004F261B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4F261B">
        <w:rPr>
          <w:rFonts w:asciiTheme="majorBidi" w:hAnsiTheme="majorBidi" w:cstheme="majorBidi"/>
          <w:sz w:val="22"/>
          <w:szCs w:val="22"/>
          <w:rtl/>
        </w:rPr>
        <w:t xml:space="preserve"> </w:t>
      </w:r>
      <w:r w:rsidR="00315074" w:rsidRPr="004F261B">
        <w:rPr>
          <w:rFonts w:asciiTheme="majorBidi" w:hAnsiTheme="majorBidi" w:cstheme="majorBidi"/>
          <w:color w:val="0A0A0A"/>
          <w:sz w:val="22"/>
          <w:szCs w:val="22"/>
          <w:shd w:val="clear" w:color="auto" w:fill="FFFFFF"/>
        </w:rPr>
        <w:t>UNICEF - Humanitarian Situation Update - 5 February 2026</w:t>
      </w:r>
      <w:r w:rsidR="00315074" w:rsidRPr="004F261B">
        <w:rPr>
          <w:rFonts w:asciiTheme="majorBidi" w:hAnsiTheme="majorBidi" w:cstheme="majorBidi"/>
          <w:color w:val="0A0A0A"/>
          <w:sz w:val="22"/>
          <w:szCs w:val="22"/>
          <w:shd w:val="clear" w:color="auto" w:fill="FFFFFF"/>
          <w:rtl/>
        </w:rPr>
        <w:t>.</w:t>
      </w:r>
    </w:p>
  </w:footnote>
  <w:footnote w:id="9">
    <w:p w14:paraId="245B421D" w14:textId="7B8E783E" w:rsidR="00315074" w:rsidRPr="004F261B" w:rsidRDefault="00315074">
      <w:pPr>
        <w:pStyle w:val="FootnoteText"/>
        <w:rPr>
          <w:rFonts w:asciiTheme="majorBidi" w:hAnsiTheme="majorBidi" w:cstheme="majorBidi"/>
          <w:sz w:val="22"/>
          <w:szCs w:val="22"/>
        </w:rPr>
      </w:pPr>
      <w:r w:rsidRPr="004F261B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4F261B">
        <w:rPr>
          <w:rFonts w:asciiTheme="majorBidi" w:hAnsiTheme="majorBidi" w:cstheme="majorBidi"/>
          <w:sz w:val="22"/>
          <w:szCs w:val="22"/>
          <w:rtl/>
        </w:rPr>
        <w:t xml:space="preserve"> المصدر السابق.</w:t>
      </w:r>
    </w:p>
  </w:footnote>
  <w:footnote w:id="10">
    <w:p w14:paraId="3F35570A" w14:textId="4541227B" w:rsidR="00DD44E8" w:rsidRPr="00FA40F4" w:rsidRDefault="00DD44E8" w:rsidP="00FA40F4">
      <w:pPr>
        <w:pStyle w:val="FootnoteText"/>
        <w:bidi w:val="0"/>
        <w:rPr>
          <w:rFonts w:asciiTheme="majorBidi" w:hAnsiTheme="majorBidi" w:cstheme="majorBidi"/>
          <w:rtl/>
        </w:rPr>
      </w:pPr>
      <w:r w:rsidRPr="004F261B">
        <w:rPr>
          <w:rStyle w:val="FootnoteReference"/>
          <w:rFonts w:asciiTheme="majorBidi" w:hAnsiTheme="majorBidi" w:cstheme="majorBidi"/>
          <w:sz w:val="22"/>
          <w:szCs w:val="22"/>
        </w:rPr>
        <w:footnoteRef/>
      </w:r>
      <w:r w:rsidRPr="004F261B">
        <w:rPr>
          <w:rFonts w:asciiTheme="majorBidi" w:hAnsiTheme="majorBidi" w:cstheme="majorBidi"/>
          <w:sz w:val="22"/>
          <w:szCs w:val="22"/>
          <w:rtl/>
        </w:rPr>
        <w:t xml:space="preserve"> </w:t>
      </w:r>
      <w:hyperlink r:id="rId6" w:history="1">
        <w:r w:rsidR="00F96286" w:rsidRPr="004F261B">
          <w:rPr>
            <w:rStyle w:val="Hyperlink"/>
            <w:rFonts w:asciiTheme="majorBidi" w:hAnsiTheme="majorBidi" w:cstheme="majorBidi"/>
            <w:sz w:val="22"/>
            <w:szCs w:val="22"/>
          </w:rPr>
          <w:t>https://www.un.org/unispal/document/occupied-palestinian-territory-who-health-emergency-appeal-2026</w:t>
        </w:r>
      </w:hyperlink>
      <w:r w:rsidR="00F96286" w:rsidRPr="00FA40F4">
        <w:rPr>
          <w:rFonts w:asciiTheme="majorBidi" w:hAnsiTheme="majorBidi" w:cstheme="majorBidi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F4786"/>
    <w:multiLevelType w:val="multilevel"/>
    <w:tmpl w:val="3D12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D0"/>
    <w:rsid w:val="000123DA"/>
    <w:rsid w:val="000277AD"/>
    <w:rsid w:val="0004396A"/>
    <w:rsid w:val="0006292B"/>
    <w:rsid w:val="000730FF"/>
    <w:rsid w:val="00080BA6"/>
    <w:rsid w:val="000A00DE"/>
    <w:rsid w:val="000A738C"/>
    <w:rsid w:val="00111099"/>
    <w:rsid w:val="001119FE"/>
    <w:rsid w:val="001129C7"/>
    <w:rsid w:val="00130C2D"/>
    <w:rsid w:val="0014258A"/>
    <w:rsid w:val="001528BD"/>
    <w:rsid w:val="0016034D"/>
    <w:rsid w:val="0016053E"/>
    <w:rsid w:val="00162566"/>
    <w:rsid w:val="0016360F"/>
    <w:rsid w:val="001642D1"/>
    <w:rsid w:val="00175110"/>
    <w:rsid w:val="00180682"/>
    <w:rsid w:val="00191FEF"/>
    <w:rsid w:val="0019279E"/>
    <w:rsid w:val="001C1E93"/>
    <w:rsid w:val="001D51FC"/>
    <w:rsid w:val="001D5EE5"/>
    <w:rsid w:val="001F417B"/>
    <w:rsid w:val="001F4243"/>
    <w:rsid w:val="0020649C"/>
    <w:rsid w:val="00215616"/>
    <w:rsid w:val="00222158"/>
    <w:rsid w:val="0022464E"/>
    <w:rsid w:val="0023477A"/>
    <w:rsid w:val="00242259"/>
    <w:rsid w:val="00262019"/>
    <w:rsid w:val="00266879"/>
    <w:rsid w:val="00272306"/>
    <w:rsid w:val="002730AF"/>
    <w:rsid w:val="00273230"/>
    <w:rsid w:val="00274CA9"/>
    <w:rsid w:val="00282C6A"/>
    <w:rsid w:val="00297BEF"/>
    <w:rsid w:val="002C18C4"/>
    <w:rsid w:val="002C5424"/>
    <w:rsid w:val="002C5A41"/>
    <w:rsid w:val="002D0526"/>
    <w:rsid w:val="002E3FC1"/>
    <w:rsid w:val="002E5277"/>
    <w:rsid w:val="002F7C76"/>
    <w:rsid w:val="0030011B"/>
    <w:rsid w:val="003134F7"/>
    <w:rsid w:val="00315074"/>
    <w:rsid w:val="00347D26"/>
    <w:rsid w:val="00351106"/>
    <w:rsid w:val="0035630E"/>
    <w:rsid w:val="00362BF0"/>
    <w:rsid w:val="00374330"/>
    <w:rsid w:val="0038568F"/>
    <w:rsid w:val="00394152"/>
    <w:rsid w:val="003B0AF4"/>
    <w:rsid w:val="003D5EF7"/>
    <w:rsid w:val="003D7390"/>
    <w:rsid w:val="003E1483"/>
    <w:rsid w:val="003E2E3A"/>
    <w:rsid w:val="003F3942"/>
    <w:rsid w:val="003F604A"/>
    <w:rsid w:val="004025C0"/>
    <w:rsid w:val="004104AF"/>
    <w:rsid w:val="00430052"/>
    <w:rsid w:val="0045166B"/>
    <w:rsid w:val="00453E68"/>
    <w:rsid w:val="00483B81"/>
    <w:rsid w:val="00485054"/>
    <w:rsid w:val="00486B45"/>
    <w:rsid w:val="004901A8"/>
    <w:rsid w:val="0049040F"/>
    <w:rsid w:val="004B3BF2"/>
    <w:rsid w:val="004D6A74"/>
    <w:rsid w:val="004D6C47"/>
    <w:rsid w:val="004F261B"/>
    <w:rsid w:val="004F55BE"/>
    <w:rsid w:val="005213CF"/>
    <w:rsid w:val="0053346C"/>
    <w:rsid w:val="00554236"/>
    <w:rsid w:val="0055591F"/>
    <w:rsid w:val="00593331"/>
    <w:rsid w:val="00596256"/>
    <w:rsid w:val="005A0C26"/>
    <w:rsid w:val="005C499C"/>
    <w:rsid w:val="005D357E"/>
    <w:rsid w:val="005E0F1C"/>
    <w:rsid w:val="005E4FAC"/>
    <w:rsid w:val="005E5C2B"/>
    <w:rsid w:val="005E7ADA"/>
    <w:rsid w:val="005F356D"/>
    <w:rsid w:val="006007FB"/>
    <w:rsid w:val="00603655"/>
    <w:rsid w:val="0061350C"/>
    <w:rsid w:val="00637666"/>
    <w:rsid w:val="006477D7"/>
    <w:rsid w:val="00647C79"/>
    <w:rsid w:val="00652B65"/>
    <w:rsid w:val="00665089"/>
    <w:rsid w:val="006671D3"/>
    <w:rsid w:val="006B1D88"/>
    <w:rsid w:val="006B32CF"/>
    <w:rsid w:val="006C0308"/>
    <w:rsid w:val="006C47CF"/>
    <w:rsid w:val="006F3AB8"/>
    <w:rsid w:val="007023EC"/>
    <w:rsid w:val="007076FF"/>
    <w:rsid w:val="00724320"/>
    <w:rsid w:val="00731874"/>
    <w:rsid w:val="0074032C"/>
    <w:rsid w:val="007500E2"/>
    <w:rsid w:val="007565B0"/>
    <w:rsid w:val="007613B4"/>
    <w:rsid w:val="007618F7"/>
    <w:rsid w:val="0076280D"/>
    <w:rsid w:val="0076484A"/>
    <w:rsid w:val="00791801"/>
    <w:rsid w:val="00797C2B"/>
    <w:rsid w:val="007A1FE0"/>
    <w:rsid w:val="007A3053"/>
    <w:rsid w:val="007B2C6B"/>
    <w:rsid w:val="007B4E2D"/>
    <w:rsid w:val="007B6BEC"/>
    <w:rsid w:val="007C1CE2"/>
    <w:rsid w:val="007D7F1D"/>
    <w:rsid w:val="007E4C60"/>
    <w:rsid w:val="007E7BC0"/>
    <w:rsid w:val="007F3DED"/>
    <w:rsid w:val="007F48A3"/>
    <w:rsid w:val="007F6550"/>
    <w:rsid w:val="00801868"/>
    <w:rsid w:val="00803064"/>
    <w:rsid w:val="00805FF8"/>
    <w:rsid w:val="0080748A"/>
    <w:rsid w:val="00856BB6"/>
    <w:rsid w:val="0087525E"/>
    <w:rsid w:val="00891BFF"/>
    <w:rsid w:val="008A2F17"/>
    <w:rsid w:val="008B0204"/>
    <w:rsid w:val="008E16BE"/>
    <w:rsid w:val="00906E49"/>
    <w:rsid w:val="0091009A"/>
    <w:rsid w:val="009128BC"/>
    <w:rsid w:val="00913ED8"/>
    <w:rsid w:val="0094007B"/>
    <w:rsid w:val="00962C85"/>
    <w:rsid w:val="009718FC"/>
    <w:rsid w:val="0097310E"/>
    <w:rsid w:val="00982403"/>
    <w:rsid w:val="00985626"/>
    <w:rsid w:val="00997EBE"/>
    <w:rsid w:val="009B238F"/>
    <w:rsid w:val="009C0F2D"/>
    <w:rsid w:val="009C6059"/>
    <w:rsid w:val="009D4EAC"/>
    <w:rsid w:val="00A54E60"/>
    <w:rsid w:val="00A6622E"/>
    <w:rsid w:val="00A7725B"/>
    <w:rsid w:val="00AA2B2E"/>
    <w:rsid w:val="00AA401B"/>
    <w:rsid w:val="00AB2F37"/>
    <w:rsid w:val="00AC3C04"/>
    <w:rsid w:val="00AE2644"/>
    <w:rsid w:val="00AE3FCE"/>
    <w:rsid w:val="00AF4A11"/>
    <w:rsid w:val="00B05865"/>
    <w:rsid w:val="00B1605D"/>
    <w:rsid w:val="00B378B3"/>
    <w:rsid w:val="00B45302"/>
    <w:rsid w:val="00B54861"/>
    <w:rsid w:val="00B55ED4"/>
    <w:rsid w:val="00B75C49"/>
    <w:rsid w:val="00B77BAB"/>
    <w:rsid w:val="00B83B53"/>
    <w:rsid w:val="00B913AC"/>
    <w:rsid w:val="00B965DD"/>
    <w:rsid w:val="00BA0122"/>
    <w:rsid w:val="00BA4F53"/>
    <w:rsid w:val="00BA5915"/>
    <w:rsid w:val="00BB3476"/>
    <w:rsid w:val="00BC5075"/>
    <w:rsid w:val="00BC5D4A"/>
    <w:rsid w:val="00BD5C8E"/>
    <w:rsid w:val="00BE1D7F"/>
    <w:rsid w:val="00BE5B7F"/>
    <w:rsid w:val="00C02A94"/>
    <w:rsid w:val="00C042B7"/>
    <w:rsid w:val="00C231A6"/>
    <w:rsid w:val="00C40F25"/>
    <w:rsid w:val="00C4738E"/>
    <w:rsid w:val="00C521CD"/>
    <w:rsid w:val="00C56FA8"/>
    <w:rsid w:val="00C6250D"/>
    <w:rsid w:val="00C64DAC"/>
    <w:rsid w:val="00C654A5"/>
    <w:rsid w:val="00C74F16"/>
    <w:rsid w:val="00C85CC0"/>
    <w:rsid w:val="00CA6843"/>
    <w:rsid w:val="00CB21B0"/>
    <w:rsid w:val="00CB4556"/>
    <w:rsid w:val="00CC562D"/>
    <w:rsid w:val="00CC7B02"/>
    <w:rsid w:val="00CF5047"/>
    <w:rsid w:val="00D00255"/>
    <w:rsid w:val="00D01501"/>
    <w:rsid w:val="00D02567"/>
    <w:rsid w:val="00D078AA"/>
    <w:rsid w:val="00D155D8"/>
    <w:rsid w:val="00D2094D"/>
    <w:rsid w:val="00D22B39"/>
    <w:rsid w:val="00D244A6"/>
    <w:rsid w:val="00D26AB8"/>
    <w:rsid w:val="00D30062"/>
    <w:rsid w:val="00D30614"/>
    <w:rsid w:val="00D61D9D"/>
    <w:rsid w:val="00D669E0"/>
    <w:rsid w:val="00D74820"/>
    <w:rsid w:val="00D83B88"/>
    <w:rsid w:val="00D86902"/>
    <w:rsid w:val="00D902D0"/>
    <w:rsid w:val="00D902F3"/>
    <w:rsid w:val="00D979E6"/>
    <w:rsid w:val="00DA1959"/>
    <w:rsid w:val="00DA1B1C"/>
    <w:rsid w:val="00DA1C5A"/>
    <w:rsid w:val="00DA3B97"/>
    <w:rsid w:val="00DC4E96"/>
    <w:rsid w:val="00DC5C7E"/>
    <w:rsid w:val="00DC6771"/>
    <w:rsid w:val="00DD44E8"/>
    <w:rsid w:val="00DE45ED"/>
    <w:rsid w:val="00DE6EEF"/>
    <w:rsid w:val="00DF246E"/>
    <w:rsid w:val="00E10C0D"/>
    <w:rsid w:val="00E12C5E"/>
    <w:rsid w:val="00E13765"/>
    <w:rsid w:val="00E14B73"/>
    <w:rsid w:val="00E24E5A"/>
    <w:rsid w:val="00E25131"/>
    <w:rsid w:val="00E560E4"/>
    <w:rsid w:val="00E72BBF"/>
    <w:rsid w:val="00E86D7E"/>
    <w:rsid w:val="00E90E87"/>
    <w:rsid w:val="00E97804"/>
    <w:rsid w:val="00EA57F4"/>
    <w:rsid w:val="00EB1DDD"/>
    <w:rsid w:val="00EC04CF"/>
    <w:rsid w:val="00EE1DAC"/>
    <w:rsid w:val="00EF4EF4"/>
    <w:rsid w:val="00F0541B"/>
    <w:rsid w:val="00F10F72"/>
    <w:rsid w:val="00F1584F"/>
    <w:rsid w:val="00F23E2E"/>
    <w:rsid w:val="00F57015"/>
    <w:rsid w:val="00F608AC"/>
    <w:rsid w:val="00F67396"/>
    <w:rsid w:val="00F81BE2"/>
    <w:rsid w:val="00F93AFA"/>
    <w:rsid w:val="00F96286"/>
    <w:rsid w:val="00FA40F4"/>
    <w:rsid w:val="00FC319F"/>
    <w:rsid w:val="00FD2783"/>
    <w:rsid w:val="00FF2A2E"/>
    <w:rsid w:val="00FF30EB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47921"/>
  <w15:chartTrackingRefBased/>
  <w15:docId w15:val="{E90D7321-47E5-4B7E-A4C5-F598A25C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2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2D0"/>
  </w:style>
  <w:style w:type="paragraph" w:styleId="Footer">
    <w:name w:val="footer"/>
    <w:basedOn w:val="Normal"/>
    <w:link w:val="FooterChar"/>
    <w:uiPriority w:val="99"/>
    <w:unhideWhenUsed/>
    <w:rsid w:val="00D90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2D0"/>
  </w:style>
  <w:style w:type="table" w:styleId="TableGrid">
    <w:name w:val="Table Grid"/>
    <w:basedOn w:val="TableNormal"/>
    <w:uiPriority w:val="39"/>
    <w:rsid w:val="00D902D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D902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02D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02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902D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90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3005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005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005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4530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5F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401B"/>
    <w:rPr>
      <w:b/>
      <w:bCs/>
    </w:rPr>
  </w:style>
  <w:style w:type="character" w:styleId="Emphasis">
    <w:name w:val="Emphasis"/>
    <w:basedOn w:val="DefaultParagraphFont"/>
    <w:uiPriority w:val="20"/>
    <w:qFormat/>
    <w:rsid w:val="00D078AA"/>
    <w:rPr>
      <w:i/>
      <w:iCs/>
    </w:rPr>
  </w:style>
  <w:style w:type="character" w:customStyle="1" w:styleId="whitespace-normal">
    <w:name w:val="whitespace-normal"/>
    <w:basedOn w:val="DefaultParagraphFont"/>
    <w:rsid w:val="00D078AA"/>
  </w:style>
  <w:style w:type="character" w:customStyle="1" w:styleId="vkekvd">
    <w:name w:val="vkekvd"/>
    <w:basedOn w:val="DefaultParagraphFont"/>
    <w:rsid w:val="00C042B7"/>
  </w:style>
  <w:style w:type="character" w:customStyle="1" w:styleId="ifmvxd">
    <w:name w:val="ifmvxd"/>
    <w:basedOn w:val="DefaultParagraphFont"/>
    <w:rsid w:val="00C042B7"/>
  </w:style>
  <w:style w:type="character" w:customStyle="1" w:styleId="ijm6od">
    <w:name w:val="ijm6od"/>
    <w:basedOn w:val="DefaultParagraphFont"/>
    <w:rsid w:val="00C042B7"/>
  </w:style>
  <w:style w:type="character" w:styleId="CommentReference">
    <w:name w:val="annotation reference"/>
    <w:basedOn w:val="DefaultParagraphFont"/>
    <w:uiPriority w:val="99"/>
    <w:semiHidden/>
    <w:unhideWhenUsed/>
    <w:rsid w:val="00C0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2B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B7"/>
    <w:rPr>
      <w:rFonts w:ascii="Tahoma" w:hAnsi="Tahoma" w:cs="Tahoma"/>
      <w:sz w:val="18"/>
      <w:szCs w:val="18"/>
    </w:rPr>
  </w:style>
  <w:style w:type="character" w:customStyle="1" w:styleId="ng-star-inserted">
    <w:name w:val="ng-star-inserted"/>
    <w:basedOn w:val="DefaultParagraphFont"/>
    <w:rsid w:val="00F96286"/>
  </w:style>
  <w:style w:type="character" w:customStyle="1" w:styleId="rynqvb">
    <w:name w:val="rynqvb"/>
    <w:basedOn w:val="DefaultParagraphFont"/>
    <w:rsid w:val="008A2F17"/>
  </w:style>
  <w:style w:type="paragraph" w:styleId="Revision">
    <w:name w:val="Revision"/>
    <w:hidden/>
    <w:uiPriority w:val="99"/>
    <w:semiHidden/>
    <w:rsid w:val="00F05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pcinfo.org/fileadmin/user_upload/ipcinfo/docs/IPC_Gaza_Strip_Acute_Food_Insecurity_Malnutrition_Oct2025_Apr2026_Special_Snapshot.pdf" TargetMode="External"/><Relationship Id="rId2" Type="http://schemas.openxmlformats.org/officeDocument/2006/relationships/hyperlink" Target="https://www.ipcinfo.org/fileadmin/user_upload/ipcinfo/docs/IPC_Gaza_Strip_Acute_Food_Insecurity_Malnutrition_Oct2025_Apr2026_Special_Snapshot.pdf" TargetMode="External"/><Relationship Id="rId1" Type="http://schemas.openxmlformats.org/officeDocument/2006/relationships/hyperlink" Target="https://www.un.org/unispal/document/occupied-palestinian-territory-who-health-emergency-appeal-2026" TargetMode="External"/><Relationship Id="rId6" Type="http://schemas.openxmlformats.org/officeDocument/2006/relationships/hyperlink" Target="https://www.un.org/unispal/document/occupied-palestinian-territory-who-health-emergency-appeal-2026" TargetMode="External"/><Relationship Id="rId5" Type="http://schemas.openxmlformats.org/officeDocument/2006/relationships/hyperlink" Target="https://app.powerbi.com/view?r=eyJrIjoiODAxNTYzMDYtMjQ3YS00OTMzLTkxMWQtOTU1NWEwMzE5NTMwIiwidCI6ImY2MTBjMGI3LWJkMjQtNGIzOS04MTBiLTNkYzI4MGFmYjU5MCIsImMiOjh9" TargetMode="External"/><Relationship Id="rId4" Type="http://schemas.openxmlformats.org/officeDocument/2006/relationships/hyperlink" Target="https://bi.sehatty.ps/public/dashboard/881c87a0-f2c6-440a-bab4-9996b5c0fb8c?all_epidemiological_weeks=&amp;epidemiological_weeks=2026-WE02+%2804-Jan+to+10-Jan%29&amp;epidemiological_weeks=2026-WE03+%2811-Jan+to+17-Jan%29&amp;epidemiological_weeks=2026-WE04+%2818-Jan+to+24-Jan%29&amp;epidemiological_weeks=2026-WE05+%2825-Jan+to+31-Jan%29&amp;epidemiological_weeks=2026-WE06+%2801-Feb+to+07-Feb%29&amp;epidemiological_weeks=2026-WE07+%2808-Feb+to+14-Feb%29&amp;epidemiological_weeks=2026-WE08+%2815-Feb+to+21-Feb%29&amp;epidemiological_weeks=2026-WE09+%2822-Feb+to+28-Feb%29&amp;epidemiological_weeks=2026-WE01+%2828-Dec+to+03-Jan%29&amp;governorate=&amp;grouping=Yearly&amp;health_facilty=&amp;location_type=&amp;organization=&amp;tab=4-epidemiological-overview&amp;years=2026&amp;years=2023&amp;years=2024&amp;years=2025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4910326783144108E-2"/>
          <c:y val="0.21493994215870468"/>
          <c:w val="0.95524104007547006"/>
          <c:h val="0.515113466044626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2.3188405797101449E-3"/>
                  <c:y val="-3.4408602150537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D7-4E78-BEC0-838957E6DE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التهاب الجهاز التنفسي الحاد</c:v>
                </c:pt>
                <c:pt idx="1">
                  <c:v>الإسهال المائي الحاد</c:v>
                </c:pt>
                <c:pt idx="2">
                  <c:v>الأمراض الجلدية</c:v>
                </c:pt>
                <c:pt idx="3">
                  <c:v>متلازمة اليرقان الحاد</c:v>
                </c:pt>
                <c:pt idx="4">
                  <c:v>الإسهال الدموي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335761</c:v>
                </c:pt>
                <c:pt idx="1">
                  <c:v>80831</c:v>
                </c:pt>
                <c:pt idx="2">
                  <c:v>74588</c:v>
                </c:pt>
                <c:pt idx="3">
                  <c:v>1787</c:v>
                </c:pt>
                <c:pt idx="4" formatCode="General">
                  <c:v>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D7-4E78-BEC0-838957E6D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6498024"/>
        <c:axId val="396498352"/>
      </c:barChart>
      <c:catAx>
        <c:axId val="396498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498352"/>
        <c:crosses val="autoZero"/>
        <c:auto val="1"/>
        <c:lblAlgn val="ctr"/>
        <c:lblOffset val="100"/>
        <c:noMultiLvlLbl val="0"/>
      </c:catAx>
      <c:valAx>
        <c:axId val="39649835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96498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داء القلب الإقفاري (أمراض القلب الناتجة عن انسداد الشرايين)</c:v>
                </c:pt>
                <c:pt idx="1">
                  <c:v>السرطان</c:v>
                </c:pt>
                <c:pt idx="2">
                  <c:v>مضاعفات مرض السكري</c:v>
                </c:pt>
                <c:pt idx="3">
                  <c:v>الجلطات الدماغية الوعائية</c:v>
                </c:pt>
                <c:pt idx="4">
                  <c:v>الحوادث وتشمل الشهداء</c:v>
                </c:pt>
                <c:pt idx="5">
                  <c:v>التشوهات الخلقية</c:v>
                </c:pt>
                <c:pt idx="6">
                  <c:v>ظروف تنشأ ما حول الولادة</c:v>
                </c:pt>
                <c:pt idx="7">
                  <c:v>أمراض الجهاز التنفسي المزمن</c:v>
                </c:pt>
                <c:pt idx="8">
                  <c:v>أمراض ضغط الدم</c:v>
                </c:pt>
                <c:pt idx="9">
                  <c:v>أمراض الجهاز العصبي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24.7</c:v>
                </c:pt>
                <c:pt idx="1">
                  <c:v>18.2</c:v>
                </c:pt>
                <c:pt idx="2">
                  <c:v>14.5</c:v>
                </c:pt>
                <c:pt idx="3">
                  <c:v>12.1</c:v>
                </c:pt>
                <c:pt idx="4">
                  <c:v>9.1999999999999993</c:v>
                </c:pt>
                <c:pt idx="5">
                  <c:v>4.2</c:v>
                </c:pt>
                <c:pt idx="6">
                  <c:v>4.0999999999999996</c:v>
                </c:pt>
                <c:pt idx="7">
                  <c:v>3</c:v>
                </c:pt>
                <c:pt idx="8">
                  <c:v>2.2999999999999998</c:v>
                </c:pt>
                <c:pt idx="9">
                  <c:v>2.2999999999999998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0-13CD-4CB9-924F-E7176D4093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7"/>
        <c:overlap val="66"/>
        <c:axId val="576637808"/>
        <c:axId val="576634928"/>
      </c:barChart>
      <c:catAx>
        <c:axId val="57663780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6634928"/>
        <c:crosses val="autoZero"/>
        <c:auto val="1"/>
        <c:lblAlgn val="ctr"/>
        <c:lblOffset val="100"/>
        <c:noMultiLvlLbl val="0"/>
      </c:catAx>
      <c:valAx>
        <c:axId val="57663492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576637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2BCF4-B02D-470A-9A2C-2CA41325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1639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Badran</dc:creator>
  <cp:keywords/>
  <dc:description/>
  <cp:lastModifiedBy>pcbs</cp:lastModifiedBy>
  <cp:revision>2</cp:revision>
  <cp:lastPrinted>2026-04-06T08:17:00Z</cp:lastPrinted>
  <dcterms:created xsi:type="dcterms:W3CDTF">2026-04-06T12:17:00Z</dcterms:created>
  <dcterms:modified xsi:type="dcterms:W3CDTF">2026-04-06T12:17:00Z</dcterms:modified>
</cp:coreProperties>
</file>