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AA" w:rsidRPr="000B45D5" w:rsidRDefault="00C07CAA" w:rsidP="00C07CAA">
      <w:pPr>
        <w:tabs>
          <w:tab w:val="left" w:pos="244"/>
          <w:tab w:val="center" w:pos="5102"/>
        </w:tabs>
        <w:jc w:val="center"/>
        <w:rPr>
          <w:rFonts w:ascii="Simplified Arabic" w:hAnsi="Simplified Arabic" w:cs="Simplified Arabic"/>
          <w:b/>
          <w:bCs/>
          <w:color w:val="000000"/>
          <w:sz w:val="32"/>
          <w:szCs w:val="32"/>
          <w:rtl/>
        </w:rPr>
      </w:pPr>
      <w:r w:rsidRPr="000B45D5">
        <w:rPr>
          <w:rFonts w:ascii="Simplified Arabic" w:hAnsi="Simplified Arabic" w:cs="Simplified Arabic" w:hint="cs"/>
          <w:b/>
          <w:bCs/>
          <w:color w:val="000000"/>
          <w:sz w:val="32"/>
          <w:szCs w:val="32"/>
          <w:rtl/>
        </w:rPr>
        <w:t>الإحصاء</w:t>
      </w:r>
      <w:r w:rsidRPr="000B45D5">
        <w:rPr>
          <w:rFonts w:ascii="Simplified Arabic" w:hAnsi="Simplified Arabic" w:cs="Simplified Arabic"/>
          <w:b/>
          <w:bCs/>
          <w:color w:val="000000"/>
          <w:sz w:val="32"/>
          <w:szCs w:val="32"/>
          <w:rtl/>
        </w:rPr>
        <w:t xml:space="preserve"> الفلسطيني يستعرض أوضاع</w:t>
      </w:r>
      <w:bookmarkStart w:id="0" w:name="_GoBack"/>
      <w:bookmarkEnd w:id="0"/>
      <w:r w:rsidRPr="000B45D5">
        <w:rPr>
          <w:rFonts w:ascii="Simplified Arabic" w:hAnsi="Simplified Arabic" w:cs="Simplified Arabic"/>
          <w:b/>
          <w:bCs/>
          <w:color w:val="000000"/>
          <w:sz w:val="32"/>
          <w:szCs w:val="32"/>
          <w:rtl/>
        </w:rPr>
        <w:t xml:space="preserve"> الشباب في المجتمع الفلسطيني </w:t>
      </w:r>
    </w:p>
    <w:p w:rsidR="00C07CAA" w:rsidRDefault="00C07CAA" w:rsidP="002D6E14">
      <w:pPr>
        <w:tabs>
          <w:tab w:val="left" w:pos="244"/>
          <w:tab w:val="center" w:pos="5102"/>
        </w:tabs>
        <w:jc w:val="center"/>
        <w:rPr>
          <w:rFonts w:ascii="Simplified Arabic" w:hAnsi="Simplified Arabic" w:cs="Simplified Arabic"/>
          <w:b/>
          <w:bCs/>
          <w:color w:val="000000"/>
          <w:sz w:val="32"/>
          <w:szCs w:val="32"/>
          <w:rtl/>
        </w:rPr>
      </w:pPr>
      <w:r w:rsidRPr="000B45D5">
        <w:rPr>
          <w:rFonts w:ascii="Simplified Arabic" w:hAnsi="Simplified Arabic" w:cs="Simplified Arabic"/>
          <w:b/>
          <w:bCs/>
          <w:color w:val="000000"/>
          <w:sz w:val="32"/>
          <w:szCs w:val="32"/>
          <w:rtl/>
        </w:rPr>
        <w:t>بمناسبة اليوم العالمي للشباب، 12/08/</w:t>
      </w:r>
      <w:r w:rsidR="002D6E14">
        <w:rPr>
          <w:rFonts w:ascii="Simplified Arabic" w:hAnsi="Simplified Arabic" w:cs="Simplified Arabic" w:hint="cs"/>
          <w:b/>
          <w:bCs/>
          <w:color w:val="000000"/>
          <w:sz w:val="32"/>
          <w:szCs w:val="32"/>
          <w:rtl/>
        </w:rPr>
        <w:t>2023</w:t>
      </w:r>
    </w:p>
    <w:p w:rsidR="00B20594" w:rsidRPr="00281826" w:rsidRDefault="00B20594" w:rsidP="00B20594">
      <w:pPr>
        <w:shd w:val="clear" w:color="auto" w:fill="FFFFFF"/>
        <w:spacing w:before="100" w:beforeAutospacing="1" w:after="100" w:afterAutospacing="1"/>
        <w:jc w:val="center"/>
        <w:outlineLvl w:val="1"/>
        <w:rPr>
          <w:rFonts w:ascii="Simplified Arabic" w:hAnsi="Simplified Arabic" w:cs="Simplified Arabic"/>
          <w:b/>
          <w:bCs/>
          <w:color w:val="000000"/>
          <w:sz w:val="28"/>
          <w:szCs w:val="28"/>
        </w:rPr>
      </w:pPr>
      <w:r w:rsidRPr="00281826">
        <w:rPr>
          <w:rFonts w:ascii="Simplified Arabic" w:hAnsi="Simplified Arabic" w:cs="Simplified Arabic" w:hint="cs"/>
          <w:b/>
          <w:bCs/>
          <w:color w:val="000000"/>
          <w:sz w:val="28"/>
          <w:szCs w:val="28"/>
          <w:rtl/>
        </w:rPr>
        <w:t>تحت شعار "</w:t>
      </w:r>
      <w:r w:rsidRPr="00281826">
        <w:rPr>
          <w:rFonts w:ascii="Simplified Arabic" w:hAnsi="Simplified Arabic" w:cs="Simplified Arabic"/>
          <w:b/>
          <w:bCs/>
          <w:color w:val="000000"/>
          <w:sz w:val="28"/>
          <w:szCs w:val="28"/>
          <w:rtl/>
        </w:rPr>
        <w:t xml:space="preserve"> أهمية تنمية مهارات الشباب المناسبة للإقتصاد الأخضر في تحقيق</w:t>
      </w:r>
      <w:r w:rsidRPr="00281826">
        <w:rPr>
          <w:rFonts w:ascii="Simplified Arabic" w:hAnsi="Simplified Arabic" w:cs="Simplified Arabic"/>
          <w:b/>
          <w:bCs/>
          <w:color w:val="000000"/>
          <w:sz w:val="28"/>
          <w:szCs w:val="28"/>
        </w:rPr>
        <w:t> </w:t>
      </w:r>
      <w:r w:rsidRPr="00281826">
        <w:rPr>
          <w:rFonts w:ascii="Simplified Arabic" w:hAnsi="Simplified Arabic" w:cs="Simplified Arabic"/>
          <w:b/>
          <w:bCs/>
          <w:color w:val="000000"/>
          <w:sz w:val="28"/>
          <w:szCs w:val="28"/>
          <w:rtl/>
        </w:rPr>
        <w:t>عالم مستدام</w:t>
      </w:r>
    </w:p>
    <w:p w:rsidR="00281826" w:rsidRDefault="00281826" w:rsidP="00065FCB">
      <w:pPr>
        <w:jc w:val="both"/>
        <w:rPr>
          <w:rFonts w:ascii="Simplified Arabic" w:hAnsi="Simplified Arabic" w:cs="Simplified Arabic"/>
          <w:color w:val="000000"/>
          <w:sz w:val="26"/>
          <w:szCs w:val="26"/>
          <w:rtl/>
        </w:rPr>
      </w:pPr>
    </w:p>
    <w:p w:rsidR="00065FCB" w:rsidRPr="00281826" w:rsidRDefault="00065FCB" w:rsidP="00065FCB">
      <w:pPr>
        <w:jc w:val="both"/>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 xml:space="preserve">أقرت الجمعية العامة للأمم المتحدة </w:t>
      </w:r>
      <w:hyperlink r:id="rId7" w:history="1">
        <w:r w:rsidRPr="00281826">
          <w:rPr>
            <w:rStyle w:val="Hyperlink"/>
            <w:rFonts w:ascii="Simplified Arabic" w:hAnsi="Simplified Arabic" w:cs="Simplified Arabic"/>
            <w:color w:val="000000"/>
            <w:sz w:val="26"/>
            <w:szCs w:val="26"/>
            <w:u w:val="none"/>
            <w:rtl/>
          </w:rPr>
          <w:t>في قرارها رقم 54/</w:t>
        </w:r>
        <w:r w:rsidRPr="00281826">
          <w:rPr>
            <w:rStyle w:val="Hyperlink"/>
            <w:rFonts w:ascii="Simplified Arabic" w:hAnsi="Simplified Arabic" w:cs="Simplified Arabic"/>
            <w:color w:val="000000"/>
            <w:sz w:val="26"/>
            <w:szCs w:val="26"/>
            <w:u w:val="none"/>
          </w:rPr>
          <w:t>120</w:t>
        </w:r>
      </w:hyperlink>
      <w:r w:rsidRPr="00281826">
        <w:rPr>
          <w:rFonts w:ascii="Simplified Arabic" w:hAnsi="Simplified Arabic" w:cs="Simplified Arabic"/>
          <w:color w:val="000000"/>
          <w:sz w:val="26"/>
          <w:szCs w:val="26"/>
          <w:rtl/>
        </w:rPr>
        <w:t xml:space="preserve"> لعام 1999 إعلان 12 آب/أغسطس يوماً عالمياً للشباب، كونهم شركاء أساسيين في التغيير، وبهدف التوعية وتسليط الضوء على التحديات والمشكلات التي تواجه الشباب في كافة أنحاء العالم.</w:t>
      </w:r>
    </w:p>
    <w:p w:rsidR="00065FCB" w:rsidRPr="00281826" w:rsidRDefault="00065FCB" w:rsidP="00065FCB">
      <w:pPr>
        <w:jc w:val="both"/>
        <w:rPr>
          <w:rFonts w:ascii="Simplified Arabic" w:hAnsi="Simplified Arabic" w:cs="Simplified Arabic"/>
          <w:sz w:val="16"/>
          <w:szCs w:val="16"/>
          <w:rtl/>
        </w:rPr>
      </w:pPr>
    </w:p>
    <w:p w:rsidR="003171FF" w:rsidRPr="00281826" w:rsidRDefault="003171FF" w:rsidP="003171FF">
      <w:pPr>
        <w:jc w:val="both"/>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 xml:space="preserve">تعرف الأمم المتحدة الشباب بأنهم الأفراد ضمن الفئة العمرية 15-24 سنة مع إتاحة المجال للدول لتحديد فئة الشباب وفق خصوصية وحاجة كل دولة، ولغايات هذا البيان فقد اعتمد الجهاز المركزي للإحصاء الفلسطيني </w:t>
      </w:r>
      <w:r w:rsidR="00281826">
        <w:rPr>
          <w:rFonts w:ascii="Simplified Arabic" w:hAnsi="Simplified Arabic" w:cs="Simplified Arabic" w:hint="cs"/>
          <w:color w:val="000000"/>
          <w:sz w:val="26"/>
          <w:szCs w:val="26"/>
          <w:rtl/>
        </w:rPr>
        <w:t xml:space="preserve">                         </w:t>
      </w:r>
      <w:r w:rsidRPr="00281826">
        <w:rPr>
          <w:rFonts w:ascii="Simplified Arabic" w:hAnsi="Simplified Arabic" w:cs="Simplified Arabic"/>
          <w:color w:val="000000"/>
          <w:sz w:val="26"/>
          <w:szCs w:val="26"/>
          <w:rtl/>
        </w:rPr>
        <w:t xml:space="preserve">الفئة العمرية 18-29 سنة لتعبر عن فئة الشباب فلسطينياً. </w:t>
      </w:r>
    </w:p>
    <w:p w:rsidR="003171FF" w:rsidRPr="00281826" w:rsidRDefault="003171FF" w:rsidP="00065FCB">
      <w:pPr>
        <w:jc w:val="both"/>
        <w:rPr>
          <w:rFonts w:ascii="Simplified Arabic" w:hAnsi="Simplified Arabic" w:cs="Simplified Arabic"/>
          <w:sz w:val="16"/>
          <w:szCs w:val="16"/>
          <w:rtl/>
        </w:rPr>
      </w:pPr>
    </w:p>
    <w:p w:rsidR="00F257DD" w:rsidRPr="00281826" w:rsidRDefault="00065FCB" w:rsidP="006B207F">
      <w:pPr>
        <w:shd w:val="clear" w:color="auto" w:fill="FFFFFF"/>
        <w:jc w:val="both"/>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الشباب هم أكثر فئات المجتمع حيوية وانتاجا، ويناط بهم ان يلعبوا دورا هاما ورئيسيا في الانتعاش والتعافي من الأزمات والتحديات</w:t>
      </w:r>
      <w:r w:rsidR="006B207F" w:rsidRPr="00281826">
        <w:rPr>
          <w:rFonts w:ascii="Simplified Arabic" w:hAnsi="Simplified Arabic" w:cs="Simplified Arabic"/>
          <w:color w:val="000000"/>
          <w:sz w:val="26"/>
          <w:szCs w:val="26"/>
          <w:rtl/>
        </w:rPr>
        <w:t>،</w:t>
      </w:r>
      <w:r w:rsidRPr="00281826">
        <w:rPr>
          <w:rFonts w:ascii="Simplified Arabic" w:hAnsi="Simplified Arabic" w:cs="Simplified Arabic"/>
          <w:color w:val="000000"/>
          <w:sz w:val="26"/>
          <w:szCs w:val="26"/>
          <w:rtl/>
        </w:rPr>
        <w:t xml:space="preserve"> </w:t>
      </w:r>
      <w:r w:rsidR="006B207F" w:rsidRPr="00281826">
        <w:rPr>
          <w:rFonts w:ascii="Simplified Arabic" w:hAnsi="Simplified Arabic" w:cs="Simplified Arabic"/>
          <w:color w:val="000000"/>
          <w:sz w:val="26"/>
          <w:szCs w:val="26"/>
          <w:rtl/>
        </w:rPr>
        <w:t>و</w:t>
      </w:r>
      <w:r w:rsidRPr="00281826">
        <w:rPr>
          <w:rFonts w:ascii="Simplified Arabic" w:hAnsi="Simplified Arabic" w:cs="Simplified Arabic"/>
          <w:color w:val="000000"/>
          <w:sz w:val="26"/>
          <w:szCs w:val="26"/>
          <w:rtl/>
        </w:rPr>
        <w:t>الهدف العام الذي اقرته الامم المتحدة بهذه المناسبة</w:t>
      </w:r>
      <w:r w:rsidR="006B207F" w:rsidRPr="00281826">
        <w:rPr>
          <w:rFonts w:ascii="Simplified Arabic" w:hAnsi="Simplified Arabic" w:cs="Simplified Arabic"/>
          <w:color w:val="000000"/>
          <w:sz w:val="26"/>
          <w:szCs w:val="26"/>
          <w:rtl/>
        </w:rPr>
        <w:t xml:space="preserve"> لهذا العام</w:t>
      </w:r>
      <w:r w:rsidRPr="00281826">
        <w:rPr>
          <w:rFonts w:ascii="Simplified Arabic" w:hAnsi="Simplified Arabic" w:cs="Simplified Arabic"/>
          <w:color w:val="000000"/>
          <w:sz w:val="26"/>
          <w:szCs w:val="26"/>
          <w:rtl/>
        </w:rPr>
        <w:t xml:space="preserve"> هو </w:t>
      </w:r>
      <w:r w:rsidR="00F257DD" w:rsidRPr="00281826">
        <w:rPr>
          <w:rFonts w:ascii="Simplified Arabic" w:hAnsi="Simplified Arabic" w:cs="Simplified Arabic"/>
          <w:color w:val="000000"/>
          <w:sz w:val="26"/>
          <w:szCs w:val="26"/>
          <w:rtl/>
        </w:rPr>
        <w:t>أهمية تنمية مهارات الشباب المناسبة للاقتصاد الأخضر في تحقيق</w:t>
      </w:r>
      <w:r w:rsidR="00F257DD" w:rsidRPr="00281826">
        <w:rPr>
          <w:rFonts w:ascii="Simplified Arabic" w:hAnsi="Simplified Arabic" w:cs="Simplified Arabic"/>
          <w:color w:val="000000"/>
          <w:sz w:val="26"/>
          <w:szCs w:val="26"/>
        </w:rPr>
        <w:t> </w:t>
      </w:r>
      <w:r w:rsidR="00F257DD" w:rsidRPr="00281826">
        <w:rPr>
          <w:rFonts w:ascii="Simplified Arabic" w:hAnsi="Simplified Arabic" w:cs="Simplified Arabic"/>
          <w:color w:val="000000"/>
          <w:sz w:val="26"/>
          <w:szCs w:val="26"/>
          <w:rtl/>
        </w:rPr>
        <w:t>عالم مستدام، لقد بدأ العالم في الانتقال إلى الاقتصاد الأخضر، وأصبح التحول نحو عالم مستدام بيئيًا وصديقًا للمناخ أمرًا بالغ الأهمية ليس فقط للاستجابة لأزمة المناخ العالمية ولكن أيضًا لتحقيق أهداف التنمية المستدامة. وسيعتمد الانتقال الناجح نحو عالم أكثر مناسبة للبيئة على تنمية مهارات المواطنين لتتماشى مع الاقتصاد الأخضر منها "المعرفة والقدرات والقيم والمواقف اللازمة للعيش في مجتمع مستدام وفعال من حيث الموارد وتطويره ودعمه</w:t>
      </w:r>
      <w:r w:rsidR="00F257DD" w:rsidRPr="00281826">
        <w:rPr>
          <w:rFonts w:ascii="Simplified Arabic" w:hAnsi="Simplified Arabic" w:cs="Simplified Arabic"/>
          <w:color w:val="000000"/>
          <w:sz w:val="26"/>
          <w:szCs w:val="26"/>
        </w:rPr>
        <w:t>".</w:t>
      </w:r>
    </w:p>
    <w:p w:rsidR="00033F64" w:rsidRPr="00281826" w:rsidRDefault="00033F64" w:rsidP="00F257DD">
      <w:pPr>
        <w:shd w:val="clear" w:color="auto" w:fill="FFFFFF"/>
        <w:jc w:val="both"/>
        <w:rPr>
          <w:rFonts w:ascii="Simplified Arabic" w:hAnsi="Simplified Arabic" w:cs="Simplified Arabic"/>
          <w:sz w:val="16"/>
          <w:szCs w:val="16"/>
        </w:rPr>
      </w:pPr>
    </w:p>
    <w:p w:rsidR="00F257DD" w:rsidRPr="00281826" w:rsidRDefault="00F257DD" w:rsidP="003171FF">
      <w:pPr>
        <w:shd w:val="clear" w:color="auto" w:fill="FFFFFF"/>
        <w:jc w:val="both"/>
        <w:rPr>
          <w:rFonts w:ascii="Simplified Arabic" w:hAnsi="Simplified Arabic" w:cs="Simplified Arabic"/>
          <w:color w:val="000000"/>
          <w:sz w:val="26"/>
          <w:szCs w:val="26"/>
        </w:rPr>
      </w:pPr>
      <w:r w:rsidRPr="00281826">
        <w:rPr>
          <w:rFonts w:ascii="Simplified Arabic" w:hAnsi="Simplified Arabic" w:cs="Simplified Arabic"/>
          <w:color w:val="000000"/>
          <w:sz w:val="26"/>
          <w:szCs w:val="26"/>
          <w:rtl/>
        </w:rPr>
        <w:t>ونظرًا لتعدد التخصصات، يتم التعبير عن جوهر المهارات الخضراء أحيانًا من خلال مصطلحات أخرى مرتبطة بها مثل "مهارات المستقبل" و "مهارات الوظائف الخضراء". في حين أن المهارات الخضراء مناسبة للأشخاص من جميع الأعمار، إلا أنها تزداد أهمية بالنسبة للشباب الذين يمكنهم المساهمة في الانتقال إلى الاقتصاد الأخضر لفترة زمنية أطول</w:t>
      </w:r>
      <w:r w:rsidRPr="00281826">
        <w:rPr>
          <w:rFonts w:ascii="Simplified Arabic" w:hAnsi="Simplified Arabic" w:cs="Simplified Arabic"/>
          <w:color w:val="000000"/>
          <w:sz w:val="26"/>
          <w:szCs w:val="26"/>
        </w:rPr>
        <w:t>.</w:t>
      </w:r>
    </w:p>
    <w:p w:rsidR="00F257DD" w:rsidRPr="00281826" w:rsidRDefault="00F257DD" w:rsidP="001B1643">
      <w:pPr>
        <w:rPr>
          <w:rFonts w:ascii="Simplified Arabic" w:hAnsi="Simplified Arabic" w:cs="Simplified Arabic"/>
          <w:b/>
          <w:bCs/>
          <w:snapToGrid w:val="0"/>
          <w:sz w:val="16"/>
          <w:szCs w:val="16"/>
          <w:rtl/>
          <w:lang w:eastAsia="en-US"/>
        </w:rPr>
      </w:pPr>
    </w:p>
    <w:p w:rsidR="00AD7D0A" w:rsidRPr="00281826" w:rsidRDefault="00AD7D0A" w:rsidP="00AD7D0A">
      <w:pPr>
        <w:rPr>
          <w:rFonts w:ascii="Simplified Arabic" w:hAnsi="Simplified Arabic" w:cs="Simplified Arabic"/>
          <w:b/>
          <w:bCs/>
          <w:snapToGrid w:val="0"/>
          <w:color w:val="000000"/>
          <w:sz w:val="28"/>
          <w:szCs w:val="28"/>
          <w:rtl/>
          <w:lang w:eastAsia="en-US"/>
        </w:rPr>
      </w:pPr>
      <w:r w:rsidRPr="00281826">
        <w:rPr>
          <w:rFonts w:ascii="Simplified Arabic" w:hAnsi="Simplified Arabic" w:cs="Simplified Arabic"/>
          <w:b/>
          <w:bCs/>
          <w:snapToGrid w:val="0"/>
          <w:color w:val="000000"/>
          <w:sz w:val="28"/>
          <w:szCs w:val="28"/>
          <w:rtl/>
          <w:lang w:eastAsia="en-US"/>
        </w:rPr>
        <w:t>نسب مرتفعة للشباب الحاصلين على شهادات دراسية عليا يقابله معدلات بطالة عالية</w:t>
      </w:r>
    </w:p>
    <w:p w:rsidR="00AD7D0A" w:rsidRPr="00281826" w:rsidRDefault="00AD7D0A" w:rsidP="003171FF">
      <w:pPr>
        <w:jc w:val="both"/>
        <w:rPr>
          <w:rFonts w:ascii="Simplified Arabic" w:hAnsi="Simplified Arabic" w:cs="Simplified Arabic"/>
          <w:snapToGrid w:val="0"/>
          <w:color w:val="000000"/>
          <w:sz w:val="26"/>
          <w:szCs w:val="26"/>
          <w:rtl/>
          <w:lang w:eastAsia="en-US"/>
        </w:rPr>
      </w:pPr>
      <w:r w:rsidRPr="00281826">
        <w:rPr>
          <w:rFonts w:ascii="Simplified Arabic" w:hAnsi="Simplified Arabic" w:cs="Simplified Arabic"/>
          <w:snapToGrid w:val="0"/>
          <w:color w:val="000000"/>
          <w:sz w:val="26"/>
          <w:szCs w:val="26"/>
          <w:rtl/>
          <w:lang w:eastAsia="en-US"/>
        </w:rPr>
        <w:t>يعد التعليم الاستثمار الحقيقي للفلسطينيين؛ نظرا لأهميته على الصعيدين الفردي والاجتماعي، فبيانات العام 2022 تشير إلى أنه من بين كل 100 شاب/شابة في العمر 18-29 سنة هناك 18 شاب/شابة حاصلون على درجة البكالوريوس فأعلى، ولعل الشابات الاوفر حظا، إذ ان 23 شاب</w:t>
      </w:r>
      <w:r w:rsidR="003171FF" w:rsidRPr="00281826">
        <w:rPr>
          <w:rFonts w:ascii="Simplified Arabic" w:hAnsi="Simplified Arabic" w:cs="Simplified Arabic"/>
          <w:snapToGrid w:val="0"/>
          <w:color w:val="000000"/>
          <w:sz w:val="26"/>
          <w:szCs w:val="26"/>
          <w:rtl/>
          <w:lang w:eastAsia="en-US"/>
        </w:rPr>
        <w:t>ة</w:t>
      </w:r>
      <w:r w:rsidRPr="00281826">
        <w:rPr>
          <w:rFonts w:ascii="Simplified Arabic" w:hAnsi="Simplified Arabic" w:cs="Simplified Arabic"/>
          <w:snapToGrid w:val="0"/>
          <w:color w:val="000000"/>
          <w:sz w:val="26"/>
          <w:szCs w:val="26"/>
          <w:rtl/>
          <w:lang w:eastAsia="en-US"/>
        </w:rPr>
        <w:t xml:space="preserve"> من بين كل 100 شا</w:t>
      </w:r>
      <w:r w:rsidR="003171FF" w:rsidRPr="00281826">
        <w:rPr>
          <w:rFonts w:ascii="Simplified Arabic" w:hAnsi="Simplified Arabic" w:cs="Simplified Arabic"/>
          <w:snapToGrid w:val="0"/>
          <w:color w:val="000000"/>
          <w:sz w:val="26"/>
          <w:szCs w:val="26"/>
          <w:rtl/>
          <w:lang w:eastAsia="en-US"/>
        </w:rPr>
        <w:t>بة</w:t>
      </w:r>
      <w:r w:rsidRPr="00281826">
        <w:rPr>
          <w:rFonts w:ascii="Simplified Arabic" w:hAnsi="Simplified Arabic" w:cs="Simplified Arabic"/>
          <w:snapToGrid w:val="0"/>
          <w:color w:val="000000"/>
          <w:sz w:val="26"/>
          <w:szCs w:val="26"/>
          <w:rtl/>
          <w:lang w:eastAsia="en-US"/>
        </w:rPr>
        <w:t xml:space="preserve"> حاصلة على درجة البكالوريوس فأعلى مقابل 13 شاب من الذكور. </w:t>
      </w:r>
      <w:r w:rsidR="00273BEB" w:rsidRPr="00281826">
        <w:rPr>
          <w:rFonts w:ascii="Simplified Arabic" w:hAnsi="Simplified Arabic" w:cs="Simplified Arabic"/>
          <w:snapToGrid w:val="0"/>
          <w:color w:val="000000"/>
          <w:sz w:val="26"/>
          <w:szCs w:val="26"/>
          <w:rtl/>
          <w:lang w:eastAsia="en-US"/>
        </w:rPr>
        <w:t xml:space="preserve">بالمقابل فان معدلات البطالة تشكل التحدي الاكبر امام الشباب، اذ بلغت هذه المعدلات </w:t>
      </w:r>
      <w:r w:rsidR="00273BEB" w:rsidRPr="00281826">
        <w:rPr>
          <w:rFonts w:ascii="Simplified Arabic" w:hAnsi="Simplified Arabic" w:cs="Simplified Arabic"/>
          <w:snapToGrid w:val="0"/>
          <w:color w:val="000000"/>
          <w:sz w:val="26"/>
          <w:szCs w:val="26"/>
          <w:lang w:eastAsia="en-US"/>
        </w:rPr>
        <w:t>59</w:t>
      </w:r>
      <w:r w:rsidR="00273BEB" w:rsidRPr="00281826">
        <w:rPr>
          <w:rFonts w:ascii="Simplified Arabic" w:hAnsi="Simplified Arabic" w:cs="Simplified Arabic"/>
          <w:snapToGrid w:val="0"/>
          <w:color w:val="000000"/>
          <w:sz w:val="26"/>
          <w:szCs w:val="26"/>
          <w:rtl/>
          <w:lang w:eastAsia="en-US"/>
        </w:rPr>
        <w:t>% بين الاناث و</w:t>
      </w:r>
      <w:r w:rsidR="00273BEB" w:rsidRPr="00281826">
        <w:rPr>
          <w:rFonts w:ascii="Simplified Arabic" w:hAnsi="Simplified Arabic" w:cs="Simplified Arabic"/>
          <w:snapToGrid w:val="0"/>
          <w:color w:val="000000"/>
          <w:sz w:val="26"/>
          <w:szCs w:val="26"/>
          <w:lang w:eastAsia="en-US"/>
        </w:rPr>
        <w:t>32</w:t>
      </w:r>
      <w:r w:rsidR="00273BEB" w:rsidRPr="00281826">
        <w:rPr>
          <w:rFonts w:ascii="Simplified Arabic" w:hAnsi="Simplified Arabic" w:cs="Simplified Arabic"/>
          <w:snapToGrid w:val="0"/>
          <w:color w:val="000000"/>
          <w:sz w:val="26"/>
          <w:szCs w:val="26"/>
          <w:rtl/>
          <w:lang w:eastAsia="en-US"/>
        </w:rPr>
        <w:t xml:space="preserve">% بين الذكور، وكانت الاعلى في قطاع غزة مقارنة بالضفة الغربية؛ </w:t>
      </w:r>
      <w:r w:rsidR="00273BEB" w:rsidRPr="00281826">
        <w:rPr>
          <w:rFonts w:ascii="Simplified Arabic" w:hAnsi="Simplified Arabic" w:cs="Simplified Arabic"/>
          <w:snapToGrid w:val="0"/>
          <w:color w:val="000000"/>
          <w:sz w:val="26"/>
          <w:szCs w:val="26"/>
          <w:lang w:eastAsia="en-US"/>
        </w:rPr>
        <w:t>75</w:t>
      </w:r>
      <w:r w:rsidR="00273BEB" w:rsidRPr="00281826">
        <w:rPr>
          <w:rFonts w:ascii="Simplified Arabic" w:hAnsi="Simplified Arabic" w:cs="Simplified Arabic"/>
          <w:snapToGrid w:val="0"/>
          <w:color w:val="000000"/>
          <w:sz w:val="26"/>
          <w:szCs w:val="26"/>
          <w:rtl/>
          <w:lang w:eastAsia="en-US"/>
        </w:rPr>
        <w:t xml:space="preserve">% و30% على التوالي. ولعل اعلى معدلات للبطالة بين الشباب في العمر 18-29 سنة سجلت بين الخريجين منهم من حملة الدبلوم المتوسط فأعلى؛ </w:t>
      </w:r>
      <w:r w:rsidR="00281826">
        <w:rPr>
          <w:rFonts w:ascii="Simplified Arabic" w:hAnsi="Simplified Arabic" w:cs="Simplified Arabic" w:hint="cs"/>
          <w:snapToGrid w:val="0"/>
          <w:color w:val="000000"/>
          <w:sz w:val="26"/>
          <w:szCs w:val="26"/>
          <w:rtl/>
          <w:lang w:eastAsia="en-US"/>
        </w:rPr>
        <w:t xml:space="preserve">     </w:t>
      </w:r>
      <w:r w:rsidR="00273BEB" w:rsidRPr="00281826">
        <w:rPr>
          <w:rFonts w:ascii="Simplified Arabic" w:hAnsi="Simplified Arabic" w:cs="Simplified Arabic"/>
          <w:snapToGrid w:val="0"/>
          <w:color w:val="000000"/>
          <w:sz w:val="26"/>
          <w:szCs w:val="26"/>
          <w:rtl/>
          <w:lang w:eastAsia="en-US"/>
        </w:rPr>
        <w:t>48% بفرق واضح بين الشباب الذكور والاناث، 34% للذكور و61% للإناث</w:t>
      </w:r>
      <w:r w:rsidRPr="00281826">
        <w:rPr>
          <w:rFonts w:ascii="Simplified Arabic" w:hAnsi="Simplified Arabic" w:cs="Simplified Arabic"/>
          <w:snapToGrid w:val="0"/>
          <w:color w:val="000000"/>
          <w:sz w:val="26"/>
          <w:szCs w:val="26"/>
          <w:rtl/>
          <w:lang w:eastAsia="en-US"/>
        </w:rPr>
        <w:t>.</w:t>
      </w:r>
    </w:p>
    <w:p w:rsidR="001B1643" w:rsidRPr="00281826" w:rsidRDefault="001B1643" w:rsidP="001B1643">
      <w:pPr>
        <w:rPr>
          <w:rFonts w:ascii="Simplified Arabic" w:hAnsi="Simplified Arabic" w:cs="Simplified Arabic"/>
          <w:snapToGrid w:val="0"/>
          <w:color w:val="000000"/>
          <w:sz w:val="26"/>
          <w:szCs w:val="26"/>
          <w:rtl/>
          <w:lang w:eastAsia="en-US"/>
        </w:rPr>
      </w:pPr>
    </w:p>
    <w:p w:rsidR="006110C0" w:rsidRPr="00281826" w:rsidRDefault="006110C0" w:rsidP="00273BEB">
      <w:pPr>
        <w:rPr>
          <w:rFonts w:ascii="Simplified Arabic" w:hAnsi="Simplified Arabic" w:cs="Simplified Arabic"/>
          <w:b/>
          <w:bCs/>
          <w:snapToGrid w:val="0"/>
          <w:sz w:val="16"/>
          <w:szCs w:val="16"/>
          <w:rtl/>
          <w:lang w:eastAsia="en-US"/>
        </w:rPr>
      </w:pPr>
    </w:p>
    <w:p w:rsidR="006B207F" w:rsidRPr="00281826" w:rsidRDefault="006B207F" w:rsidP="00273BEB">
      <w:pPr>
        <w:rPr>
          <w:rFonts w:ascii="Simplified Arabic" w:hAnsi="Simplified Arabic" w:cs="Simplified Arabic"/>
          <w:b/>
          <w:bCs/>
          <w:snapToGrid w:val="0"/>
          <w:sz w:val="16"/>
          <w:szCs w:val="16"/>
          <w:rtl/>
          <w:lang w:eastAsia="en-US"/>
        </w:rPr>
      </w:pPr>
    </w:p>
    <w:p w:rsidR="006B207F" w:rsidRPr="00281826" w:rsidRDefault="006B207F" w:rsidP="00273BEB">
      <w:pPr>
        <w:rPr>
          <w:rFonts w:ascii="Simplified Arabic" w:hAnsi="Simplified Arabic" w:cs="Simplified Arabic"/>
          <w:b/>
          <w:bCs/>
          <w:snapToGrid w:val="0"/>
          <w:sz w:val="16"/>
          <w:szCs w:val="16"/>
          <w:lang w:eastAsia="en-US"/>
        </w:rPr>
      </w:pPr>
    </w:p>
    <w:p w:rsidR="00273BEB" w:rsidRPr="00281826" w:rsidRDefault="00273BEB" w:rsidP="00273BEB">
      <w:pPr>
        <w:rPr>
          <w:rFonts w:ascii="Simplified Arabic" w:hAnsi="Simplified Arabic" w:cs="Simplified Arabic"/>
          <w:b/>
          <w:bCs/>
          <w:snapToGrid w:val="0"/>
          <w:color w:val="000000"/>
          <w:sz w:val="28"/>
          <w:szCs w:val="28"/>
          <w:rtl/>
          <w:lang w:eastAsia="en-US"/>
        </w:rPr>
      </w:pPr>
      <w:r w:rsidRPr="00281826">
        <w:rPr>
          <w:rFonts w:ascii="Simplified Arabic" w:hAnsi="Simplified Arabic" w:cs="Simplified Arabic"/>
          <w:b/>
          <w:bCs/>
          <w:snapToGrid w:val="0"/>
          <w:color w:val="000000"/>
          <w:sz w:val="28"/>
          <w:szCs w:val="28"/>
          <w:rtl/>
          <w:lang w:eastAsia="en-US"/>
        </w:rPr>
        <w:t>حوالي 149 ألف شاب يعملون في القطاع غير المنظم</w:t>
      </w:r>
    </w:p>
    <w:p w:rsidR="00273BEB" w:rsidRPr="00281826" w:rsidRDefault="00273BEB" w:rsidP="008525A8">
      <w:pPr>
        <w:jc w:val="both"/>
        <w:rPr>
          <w:rFonts w:ascii="Simplified Arabic" w:hAnsi="Simplified Arabic" w:cs="Simplified Arabic"/>
          <w:snapToGrid w:val="0"/>
          <w:color w:val="000000"/>
          <w:sz w:val="26"/>
          <w:szCs w:val="26"/>
          <w:rtl/>
          <w:lang w:eastAsia="en-US"/>
        </w:rPr>
      </w:pPr>
      <w:r w:rsidRPr="00281826">
        <w:rPr>
          <w:rFonts w:ascii="Simplified Arabic" w:hAnsi="Simplified Arabic" w:cs="Simplified Arabic"/>
          <w:snapToGrid w:val="0"/>
          <w:color w:val="000000"/>
          <w:sz w:val="26"/>
          <w:szCs w:val="26"/>
          <w:rtl/>
          <w:lang w:eastAsia="en-US"/>
        </w:rPr>
        <w:t>بلغ عدد الشباب (18-29 سنة) العاملين في القطاع غير المنظم لعام 2022 في فلسطين 148,700</w:t>
      </w:r>
      <w:r w:rsidR="008525A8" w:rsidRPr="00281826">
        <w:rPr>
          <w:rFonts w:ascii="Simplified Arabic" w:hAnsi="Simplified Arabic" w:cs="Simplified Arabic"/>
          <w:snapToGrid w:val="0"/>
          <w:color w:val="000000"/>
          <w:sz w:val="26"/>
          <w:szCs w:val="26"/>
          <w:rtl/>
          <w:lang w:eastAsia="en-US"/>
        </w:rPr>
        <w:t xml:space="preserve"> </w:t>
      </w:r>
      <w:r w:rsidR="00281826">
        <w:rPr>
          <w:rFonts w:ascii="Simplified Arabic" w:hAnsi="Simplified Arabic" w:cs="Simplified Arabic" w:hint="cs"/>
          <w:snapToGrid w:val="0"/>
          <w:color w:val="000000"/>
          <w:sz w:val="26"/>
          <w:szCs w:val="26"/>
          <w:rtl/>
          <w:lang w:eastAsia="en-US"/>
        </w:rPr>
        <w:t xml:space="preserve">                               </w:t>
      </w:r>
      <w:r w:rsidR="008525A8" w:rsidRPr="00281826">
        <w:rPr>
          <w:rFonts w:ascii="Simplified Arabic" w:hAnsi="Simplified Arabic" w:cs="Simplified Arabic"/>
          <w:snapToGrid w:val="0"/>
          <w:color w:val="000000"/>
          <w:sz w:val="26"/>
          <w:szCs w:val="26"/>
          <w:rtl/>
          <w:lang w:eastAsia="en-US"/>
        </w:rPr>
        <w:t>منهم</w:t>
      </w:r>
      <w:r w:rsidRPr="00281826">
        <w:rPr>
          <w:rFonts w:ascii="Simplified Arabic" w:hAnsi="Simplified Arabic" w:cs="Simplified Arabic"/>
          <w:snapToGrid w:val="0"/>
          <w:color w:val="000000"/>
          <w:sz w:val="26"/>
          <w:szCs w:val="26"/>
          <w:rtl/>
          <w:lang w:eastAsia="en-US"/>
        </w:rPr>
        <w:t xml:space="preserve"> 135,500 من الذكور مقابل 13,200 انثى، وتمثل نسبة الشباب العاملين في هذا القطاع نحو </w:t>
      </w:r>
      <w:r w:rsidRPr="00281826">
        <w:rPr>
          <w:rFonts w:ascii="Simplified Arabic" w:hAnsi="Simplified Arabic" w:cs="Simplified Arabic"/>
          <w:snapToGrid w:val="0"/>
          <w:color w:val="000000"/>
          <w:sz w:val="26"/>
          <w:szCs w:val="26"/>
          <w:lang w:eastAsia="en-US"/>
        </w:rPr>
        <w:t>43</w:t>
      </w:r>
      <w:r w:rsidRPr="00281826">
        <w:rPr>
          <w:rFonts w:ascii="Simplified Arabic" w:hAnsi="Simplified Arabic" w:cs="Simplified Arabic"/>
          <w:snapToGrid w:val="0"/>
          <w:color w:val="000000"/>
          <w:sz w:val="26"/>
          <w:szCs w:val="26"/>
          <w:rtl/>
          <w:lang w:eastAsia="en-US"/>
        </w:rPr>
        <w:t xml:space="preserve">% من إجمالي الشباب العاملين في فلسطين </w:t>
      </w:r>
    </w:p>
    <w:p w:rsidR="00273BEB" w:rsidRPr="00281826" w:rsidRDefault="00273BEB" w:rsidP="00273BEB">
      <w:pPr>
        <w:rPr>
          <w:rFonts w:ascii="Simplified Arabic" w:hAnsi="Simplified Arabic" w:cs="Simplified Arabic"/>
          <w:snapToGrid w:val="0"/>
          <w:sz w:val="16"/>
          <w:szCs w:val="16"/>
          <w:rtl/>
          <w:lang w:eastAsia="en-US"/>
        </w:rPr>
      </w:pPr>
    </w:p>
    <w:p w:rsidR="00273BEB" w:rsidRPr="00281826" w:rsidRDefault="00273BEB" w:rsidP="00273BEB">
      <w:pPr>
        <w:rPr>
          <w:rFonts w:ascii="Simplified Arabic" w:hAnsi="Simplified Arabic" w:cs="Simplified Arabic"/>
          <w:b/>
          <w:bCs/>
          <w:snapToGrid w:val="0"/>
          <w:color w:val="000000"/>
          <w:sz w:val="28"/>
          <w:szCs w:val="28"/>
          <w:rtl/>
          <w:lang w:eastAsia="en-US"/>
        </w:rPr>
      </w:pPr>
      <w:r w:rsidRPr="00281826">
        <w:rPr>
          <w:rFonts w:ascii="Simplified Arabic" w:hAnsi="Simplified Arabic" w:cs="Simplified Arabic"/>
          <w:b/>
          <w:bCs/>
          <w:snapToGrid w:val="0"/>
          <w:color w:val="000000"/>
          <w:sz w:val="28"/>
          <w:szCs w:val="28"/>
          <w:rtl/>
          <w:lang w:eastAsia="en-US"/>
        </w:rPr>
        <w:t>حوالي نصف الشباب ليسوا في دائرة العمل أو التعليم/التدريب</w:t>
      </w:r>
    </w:p>
    <w:p w:rsidR="00273BEB" w:rsidRPr="00281826" w:rsidRDefault="00273BEB" w:rsidP="00273BEB">
      <w:pPr>
        <w:jc w:val="both"/>
        <w:rPr>
          <w:rFonts w:ascii="Simplified Arabic" w:hAnsi="Simplified Arabic" w:cs="Simplified Arabic"/>
          <w:snapToGrid w:val="0"/>
          <w:color w:val="000000"/>
          <w:sz w:val="26"/>
          <w:szCs w:val="26"/>
          <w:rtl/>
          <w:lang w:eastAsia="en-US"/>
        </w:rPr>
      </w:pPr>
      <w:r w:rsidRPr="00281826">
        <w:rPr>
          <w:rFonts w:ascii="Simplified Arabic" w:hAnsi="Simplified Arabic" w:cs="Simplified Arabic"/>
          <w:snapToGrid w:val="0"/>
          <w:color w:val="000000"/>
          <w:sz w:val="26"/>
          <w:szCs w:val="26"/>
          <w:rtl/>
          <w:lang w:eastAsia="en-US"/>
        </w:rPr>
        <w:t>47% من الشباب (18-29 سنة) خارج</w:t>
      </w:r>
      <w:r w:rsidR="003171FF" w:rsidRPr="00281826">
        <w:rPr>
          <w:rFonts w:ascii="Simplified Arabic" w:hAnsi="Simplified Arabic" w:cs="Simplified Arabic"/>
          <w:snapToGrid w:val="0"/>
          <w:color w:val="000000"/>
          <w:sz w:val="26"/>
          <w:szCs w:val="26"/>
          <w:rtl/>
          <w:lang w:eastAsia="en-US"/>
        </w:rPr>
        <w:t xml:space="preserve"> سوق</w:t>
      </w:r>
      <w:r w:rsidRPr="00281826">
        <w:rPr>
          <w:rFonts w:ascii="Simplified Arabic" w:hAnsi="Simplified Arabic" w:cs="Simplified Arabic"/>
          <w:snapToGrid w:val="0"/>
          <w:color w:val="000000"/>
          <w:sz w:val="26"/>
          <w:szCs w:val="26"/>
          <w:rtl/>
          <w:lang w:eastAsia="en-US"/>
        </w:rPr>
        <w:t xml:space="preserve"> العمل والتعليم/التدريب (الشباب غير المنخرطين في عمل او ملتحقين في التعليم/التدريب) في العام 2022؛ 37% في الضفة الغربية مقابل 60% في قطاع غزة، وكانت الاعلى بين الاناث منها بين الذكور، اذ بلغت 63% للإناث مقابل 31% للذكور.</w:t>
      </w:r>
    </w:p>
    <w:p w:rsidR="001B1643" w:rsidRPr="00281826" w:rsidRDefault="001B1643" w:rsidP="008D612E">
      <w:pPr>
        <w:rPr>
          <w:rFonts w:ascii="Simplified Arabic" w:hAnsi="Simplified Arabic" w:cs="Simplified Arabic"/>
          <w:snapToGrid w:val="0"/>
          <w:sz w:val="16"/>
          <w:szCs w:val="16"/>
          <w:rtl/>
          <w:lang w:eastAsia="en-US"/>
        </w:rPr>
      </w:pPr>
    </w:p>
    <w:p w:rsidR="00C07CAA" w:rsidRPr="00281826" w:rsidRDefault="00C07CAA" w:rsidP="00C07CAA">
      <w:pPr>
        <w:pStyle w:val="Heading4"/>
        <w:jc w:val="both"/>
        <w:rPr>
          <w:rFonts w:ascii="Simplified Arabic" w:hAnsi="Simplified Arabic"/>
          <w:snapToGrid w:val="0"/>
          <w:color w:val="000000"/>
          <w:sz w:val="28"/>
          <w:szCs w:val="28"/>
          <w:rtl/>
          <w:lang w:eastAsia="en-US"/>
        </w:rPr>
      </w:pPr>
      <w:r w:rsidRPr="00281826">
        <w:rPr>
          <w:rFonts w:ascii="Simplified Arabic" w:hAnsi="Simplified Arabic"/>
          <w:snapToGrid w:val="0"/>
          <w:color w:val="000000"/>
          <w:sz w:val="28"/>
          <w:szCs w:val="28"/>
          <w:rtl/>
          <w:lang w:eastAsia="en-US"/>
        </w:rPr>
        <w:t>مجتمع فلسطيني شاب</w:t>
      </w:r>
    </w:p>
    <w:p w:rsidR="00C07CAA" w:rsidRPr="00281826" w:rsidRDefault="00C07CAA" w:rsidP="0041190A">
      <w:pPr>
        <w:jc w:val="both"/>
        <w:rPr>
          <w:rFonts w:ascii="Simplified Arabic" w:hAnsi="Simplified Arabic" w:cs="Simplified Arabic"/>
          <w:snapToGrid w:val="0"/>
          <w:color w:val="000000"/>
          <w:sz w:val="26"/>
          <w:szCs w:val="26"/>
          <w:rtl/>
          <w:lang w:eastAsia="en-US"/>
        </w:rPr>
      </w:pPr>
      <w:r w:rsidRPr="00281826">
        <w:rPr>
          <w:rFonts w:ascii="Simplified Arabic" w:hAnsi="Simplified Arabic" w:cs="Simplified Arabic"/>
          <w:snapToGrid w:val="0"/>
          <w:color w:val="000000"/>
          <w:sz w:val="26"/>
          <w:szCs w:val="26"/>
          <w:rtl/>
          <w:lang w:eastAsia="en-US"/>
        </w:rPr>
        <w:t xml:space="preserve">هناك </w:t>
      </w:r>
      <w:r w:rsidR="00EB6E98" w:rsidRPr="00281826">
        <w:rPr>
          <w:rFonts w:ascii="Simplified Arabic" w:hAnsi="Simplified Arabic" w:cs="Simplified Arabic"/>
          <w:snapToGrid w:val="0"/>
          <w:color w:val="000000"/>
          <w:sz w:val="26"/>
          <w:szCs w:val="26"/>
          <w:rtl/>
          <w:lang w:eastAsia="en-US"/>
        </w:rPr>
        <w:t>1.19</w:t>
      </w:r>
      <w:r w:rsidRPr="00281826">
        <w:rPr>
          <w:rFonts w:ascii="Simplified Arabic" w:hAnsi="Simplified Arabic" w:cs="Simplified Arabic"/>
          <w:snapToGrid w:val="0"/>
          <w:color w:val="000000"/>
          <w:sz w:val="26"/>
          <w:szCs w:val="26"/>
          <w:rtl/>
          <w:lang w:eastAsia="en-US"/>
        </w:rPr>
        <w:t xml:space="preserve"> مليون شاب</w:t>
      </w:r>
      <w:r w:rsidR="00F64E21" w:rsidRPr="00281826">
        <w:rPr>
          <w:rFonts w:ascii="Simplified Arabic" w:hAnsi="Simplified Arabic" w:cs="Simplified Arabic"/>
          <w:snapToGrid w:val="0"/>
          <w:color w:val="000000"/>
          <w:sz w:val="26"/>
          <w:szCs w:val="26"/>
          <w:rtl/>
          <w:lang w:eastAsia="en-US"/>
        </w:rPr>
        <w:t xml:space="preserve"> وشابة</w:t>
      </w:r>
      <w:r w:rsidRPr="00281826">
        <w:rPr>
          <w:rFonts w:ascii="Simplified Arabic" w:hAnsi="Simplified Arabic" w:cs="Simplified Arabic"/>
          <w:snapToGrid w:val="0"/>
          <w:color w:val="000000"/>
          <w:sz w:val="26"/>
          <w:szCs w:val="26"/>
          <w:rtl/>
          <w:lang w:eastAsia="en-US"/>
        </w:rPr>
        <w:t xml:space="preserve"> 18-29 سنة في فلسطين يشكلون </w:t>
      </w:r>
      <w:r w:rsidR="002A4938" w:rsidRPr="00281826">
        <w:rPr>
          <w:rFonts w:ascii="Simplified Arabic" w:hAnsi="Simplified Arabic" w:cs="Simplified Arabic"/>
          <w:snapToGrid w:val="0"/>
          <w:color w:val="000000"/>
          <w:sz w:val="26"/>
          <w:szCs w:val="26"/>
          <w:rtl/>
          <w:lang w:eastAsia="en-US"/>
        </w:rPr>
        <w:t>أكثر</w:t>
      </w:r>
      <w:r w:rsidR="006C4E26" w:rsidRPr="00281826">
        <w:rPr>
          <w:rFonts w:ascii="Simplified Arabic" w:hAnsi="Simplified Arabic" w:cs="Simplified Arabic"/>
          <w:snapToGrid w:val="0"/>
          <w:color w:val="000000"/>
          <w:sz w:val="26"/>
          <w:szCs w:val="26"/>
          <w:rtl/>
          <w:lang w:eastAsia="en-US"/>
        </w:rPr>
        <w:t xml:space="preserve"> من</w:t>
      </w:r>
      <w:r w:rsidRPr="00281826">
        <w:rPr>
          <w:rFonts w:ascii="Simplified Arabic" w:hAnsi="Simplified Arabic" w:cs="Simplified Arabic"/>
          <w:snapToGrid w:val="0"/>
          <w:color w:val="000000"/>
          <w:sz w:val="26"/>
          <w:szCs w:val="26"/>
          <w:rtl/>
          <w:lang w:eastAsia="en-US"/>
        </w:rPr>
        <w:t xml:space="preserve"> خمس المجتمع </w:t>
      </w:r>
      <w:r w:rsidR="00E5290E" w:rsidRPr="00281826">
        <w:rPr>
          <w:rFonts w:ascii="Simplified Arabic" w:hAnsi="Simplified Arabic" w:cs="Simplified Arabic"/>
          <w:snapToGrid w:val="0"/>
          <w:color w:val="000000"/>
          <w:sz w:val="26"/>
          <w:szCs w:val="26"/>
          <w:rtl/>
          <w:lang w:eastAsia="en-US"/>
        </w:rPr>
        <w:t>الفلسطيني</w:t>
      </w:r>
      <w:r w:rsidR="00846EF2" w:rsidRPr="00281826">
        <w:rPr>
          <w:rFonts w:ascii="Simplified Arabic" w:hAnsi="Simplified Arabic" w:cs="Simplified Arabic"/>
          <w:snapToGrid w:val="0"/>
          <w:color w:val="000000"/>
          <w:sz w:val="26"/>
          <w:szCs w:val="26"/>
          <w:rtl/>
          <w:lang w:eastAsia="en-US"/>
        </w:rPr>
        <w:t>؛</w:t>
      </w:r>
      <w:r w:rsidR="00E5290E" w:rsidRPr="00281826">
        <w:rPr>
          <w:rFonts w:ascii="Simplified Arabic" w:hAnsi="Simplified Arabic" w:cs="Simplified Arabic"/>
          <w:snapToGrid w:val="0"/>
          <w:color w:val="000000"/>
          <w:sz w:val="26"/>
          <w:szCs w:val="26"/>
          <w:rtl/>
          <w:lang w:eastAsia="en-US"/>
        </w:rPr>
        <w:t xml:space="preserve"> </w:t>
      </w:r>
      <w:r w:rsidR="006B207F" w:rsidRPr="00281826">
        <w:rPr>
          <w:rFonts w:ascii="Simplified Arabic" w:hAnsi="Simplified Arabic" w:cs="Simplified Arabic"/>
          <w:snapToGrid w:val="0"/>
          <w:color w:val="000000"/>
          <w:sz w:val="26"/>
          <w:szCs w:val="26"/>
          <w:rtl/>
          <w:lang w:eastAsia="en-US"/>
        </w:rPr>
        <w:t>22</w:t>
      </w:r>
      <w:r w:rsidR="00E5290E" w:rsidRPr="00281826">
        <w:rPr>
          <w:rFonts w:ascii="Simplified Arabic" w:hAnsi="Simplified Arabic" w:cs="Simplified Arabic"/>
          <w:snapToGrid w:val="0"/>
          <w:color w:val="000000"/>
          <w:sz w:val="26"/>
          <w:szCs w:val="26"/>
          <w:rtl/>
          <w:lang w:eastAsia="en-US"/>
        </w:rPr>
        <w:t xml:space="preserve">% </w:t>
      </w:r>
      <w:r w:rsidRPr="00281826">
        <w:rPr>
          <w:rFonts w:ascii="Simplified Arabic" w:hAnsi="Simplified Arabic" w:cs="Simplified Arabic"/>
          <w:snapToGrid w:val="0"/>
          <w:color w:val="000000"/>
          <w:sz w:val="26"/>
          <w:szCs w:val="26"/>
          <w:rtl/>
          <w:lang w:eastAsia="en-US"/>
        </w:rPr>
        <w:t xml:space="preserve">من إجمالي السكان في فلسطين منتصف العام </w:t>
      </w:r>
      <w:r w:rsidR="00EB6E98" w:rsidRPr="00281826">
        <w:rPr>
          <w:rFonts w:ascii="Simplified Arabic" w:hAnsi="Simplified Arabic" w:cs="Simplified Arabic"/>
          <w:snapToGrid w:val="0"/>
          <w:color w:val="000000"/>
          <w:sz w:val="26"/>
          <w:szCs w:val="26"/>
          <w:rtl/>
          <w:lang w:eastAsia="en-US"/>
        </w:rPr>
        <w:t>2023</w:t>
      </w:r>
      <w:r w:rsidRPr="00281826">
        <w:rPr>
          <w:rFonts w:ascii="Simplified Arabic" w:hAnsi="Simplified Arabic" w:cs="Simplified Arabic"/>
          <w:snapToGrid w:val="0"/>
          <w:color w:val="000000"/>
          <w:sz w:val="26"/>
          <w:szCs w:val="26"/>
          <w:rtl/>
          <w:lang w:eastAsia="en-US"/>
        </w:rPr>
        <w:t xml:space="preserve">، </w:t>
      </w:r>
      <w:r w:rsidR="00922061" w:rsidRPr="00281826">
        <w:rPr>
          <w:rFonts w:ascii="Simplified Arabic" w:hAnsi="Simplified Arabic" w:cs="Simplified Arabic"/>
          <w:snapToGrid w:val="0"/>
          <w:color w:val="000000"/>
          <w:sz w:val="26"/>
          <w:szCs w:val="26"/>
          <w:lang w:eastAsia="en-US"/>
        </w:rPr>
        <w:t>22)</w:t>
      </w:r>
      <w:r w:rsidR="00922061" w:rsidRPr="00281826">
        <w:rPr>
          <w:rFonts w:ascii="Simplified Arabic" w:hAnsi="Simplified Arabic" w:cs="Simplified Arabic"/>
          <w:snapToGrid w:val="0"/>
          <w:color w:val="000000"/>
          <w:sz w:val="26"/>
          <w:szCs w:val="26"/>
          <w:rtl/>
          <w:lang w:eastAsia="en-US"/>
        </w:rPr>
        <w:t>%</w:t>
      </w:r>
      <w:r w:rsidRPr="00281826">
        <w:rPr>
          <w:rFonts w:ascii="Simplified Arabic" w:hAnsi="Simplified Arabic" w:cs="Simplified Arabic"/>
          <w:snapToGrid w:val="0"/>
          <w:color w:val="000000"/>
          <w:sz w:val="26"/>
          <w:szCs w:val="26"/>
          <w:rtl/>
          <w:lang w:eastAsia="en-US"/>
        </w:rPr>
        <w:t xml:space="preserve"> في الضفة الغربية و</w:t>
      </w:r>
      <w:r w:rsidR="00E837AB" w:rsidRPr="00281826">
        <w:rPr>
          <w:rFonts w:ascii="Simplified Arabic" w:hAnsi="Simplified Arabic" w:cs="Simplified Arabic"/>
          <w:snapToGrid w:val="0"/>
          <w:color w:val="000000"/>
          <w:sz w:val="26"/>
          <w:szCs w:val="26"/>
          <w:lang w:eastAsia="en-US" w:bidi="ar-JO"/>
        </w:rPr>
        <w:t>21</w:t>
      </w:r>
      <w:r w:rsidRPr="00281826">
        <w:rPr>
          <w:rFonts w:ascii="Simplified Arabic" w:hAnsi="Simplified Arabic" w:cs="Simplified Arabic"/>
          <w:snapToGrid w:val="0"/>
          <w:color w:val="000000"/>
          <w:sz w:val="26"/>
          <w:szCs w:val="26"/>
          <w:rtl/>
          <w:lang w:eastAsia="en-US" w:bidi="ar-JO"/>
        </w:rPr>
        <w:t xml:space="preserve">% في </w:t>
      </w:r>
      <w:r w:rsidR="00F62319" w:rsidRPr="00281826">
        <w:rPr>
          <w:rFonts w:ascii="Simplified Arabic" w:hAnsi="Simplified Arabic" w:cs="Simplified Arabic"/>
          <w:snapToGrid w:val="0"/>
          <w:color w:val="000000"/>
          <w:sz w:val="26"/>
          <w:szCs w:val="26"/>
          <w:rtl/>
          <w:lang w:eastAsia="en-US"/>
        </w:rPr>
        <w:t>قطاع غزة</w:t>
      </w:r>
      <w:r w:rsidR="00F64E21" w:rsidRPr="00281826">
        <w:rPr>
          <w:rFonts w:ascii="Simplified Arabic" w:hAnsi="Simplified Arabic" w:cs="Simplified Arabic"/>
          <w:snapToGrid w:val="0"/>
          <w:color w:val="000000"/>
          <w:sz w:val="26"/>
          <w:szCs w:val="26"/>
          <w:rtl/>
          <w:lang w:eastAsia="en-US"/>
        </w:rPr>
        <w:t>)، هذا و</w:t>
      </w:r>
      <w:r w:rsidRPr="00281826">
        <w:rPr>
          <w:rFonts w:ascii="Simplified Arabic" w:hAnsi="Simplified Arabic" w:cs="Simplified Arabic"/>
          <w:snapToGrid w:val="0"/>
          <w:color w:val="000000"/>
          <w:sz w:val="26"/>
          <w:szCs w:val="26"/>
          <w:rtl/>
          <w:lang w:eastAsia="en-US"/>
        </w:rPr>
        <w:t>بلغت نسبة الجنس بين الشباب نحو 10</w:t>
      </w:r>
      <w:r w:rsidR="00EB6E98" w:rsidRPr="00281826">
        <w:rPr>
          <w:rFonts w:ascii="Simplified Arabic" w:hAnsi="Simplified Arabic" w:cs="Simplified Arabic"/>
          <w:snapToGrid w:val="0"/>
          <w:color w:val="000000"/>
          <w:sz w:val="26"/>
          <w:szCs w:val="26"/>
          <w:rtl/>
          <w:lang w:eastAsia="en-US"/>
        </w:rPr>
        <w:t>4</w:t>
      </w:r>
      <w:r w:rsidRPr="00281826">
        <w:rPr>
          <w:rFonts w:ascii="Simplified Arabic" w:hAnsi="Simplified Arabic" w:cs="Simplified Arabic"/>
          <w:snapToGrid w:val="0"/>
          <w:color w:val="000000"/>
          <w:sz w:val="26"/>
          <w:szCs w:val="26"/>
          <w:rtl/>
          <w:lang w:eastAsia="en-US"/>
        </w:rPr>
        <w:t xml:space="preserve"> شباب ذكور لكل 100 شابة.</w:t>
      </w:r>
    </w:p>
    <w:p w:rsidR="00033F64" w:rsidRPr="00281826" w:rsidRDefault="00033F64" w:rsidP="00EB6E98">
      <w:pPr>
        <w:jc w:val="both"/>
        <w:rPr>
          <w:rFonts w:ascii="Simplified Arabic" w:hAnsi="Simplified Arabic" w:cs="Simplified Arabic"/>
          <w:snapToGrid w:val="0"/>
          <w:sz w:val="16"/>
          <w:szCs w:val="16"/>
          <w:rtl/>
          <w:lang w:eastAsia="en-US"/>
        </w:rPr>
      </w:pPr>
    </w:p>
    <w:p w:rsidR="00033F64" w:rsidRPr="00281826" w:rsidRDefault="0041190A" w:rsidP="008525A8">
      <w:pPr>
        <w:jc w:val="center"/>
        <w:rPr>
          <w:rFonts w:ascii="Simplified Arabic" w:hAnsi="Simplified Arabic" w:cs="Simplified Arabic"/>
          <w:b/>
          <w:bCs/>
          <w:color w:val="000000"/>
          <w:sz w:val="28"/>
          <w:szCs w:val="28"/>
          <w:rtl/>
        </w:rPr>
      </w:pPr>
      <w:r w:rsidRPr="00281826">
        <w:rPr>
          <w:rFonts w:ascii="Simplified Arabic" w:hAnsi="Simplified Arabic" w:cs="Simplified Arabic"/>
          <w:b/>
          <w:bCs/>
          <w:color w:val="000000"/>
          <w:sz w:val="28"/>
          <w:szCs w:val="28"/>
          <w:rtl/>
        </w:rPr>
        <w:t>التوزيع النسبي للسكان في فلسطين منتصف 2023</w:t>
      </w:r>
    </w:p>
    <w:p w:rsidR="00F3077B" w:rsidRPr="00281826" w:rsidRDefault="00BE5FC8" w:rsidP="0041190A">
      <w:pPr>
        <w:jc w:val="center"/>
        <w:rPr>
          <w:rFonts w:ascii="Simplified Arabic" w:hAnsi="Simplified Arabic" w:cs="Simplified Arabic"/>
          <w:b/>
          <w:bCs/>
          <w:sz w:val="26"/>
          <w:szCs w:val="26"/>
          <w:rtl/>
        </w:rPr>
      </w:pPr>
      <w:r w:rsidRPr="00281826">
        <w:rPr>
          <w:rFonts w:ascii="Simplified Arabic" w:hAnsi="Simplified Arabic" w:cs="Simplified Arabic"/>
          <w:noProof/>
          <w:sz w:val="26"/>
          <w:szCs w:val="26"/>
          <w:bdr w:val="single" w:sz="4" w:space="0" w:color="auto"/>
          <w:lang w:eastAsia="en-US"/>
        </w:rPr>
        <w:drawing>
          <wp:inline distT="0" distB="0" distL="0" distR="0">
            <wp:extent cx="4886325" cy="1819275"/>
            <wp:effectExtent l="0" t="0" r="9525" b="9525"/>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077B" w:rsidRPr="00281826" w:rsidRDefault="00F3077B" w:rsidP="00273BEB">
      <w:pPr>
        <w:jc w:val="both"/>
        <w:rPr>
          <w:rFonts w:ascii="Simplified Arabic" w:hAnsi="Simplified Arabic" w:cs="Simplified Arabic"/>
          <w:b/>
          <w:bCs/>
          <w:sz w:val="16"/>
          <w:szCs w:val="16"/>
          <w:rtl/>
        </w:rPr>
      </w:pPr>
    </w:p>
    <w:p w:rsidR="00273BEB" w:rsidRPr="00281826" w:rsidRDefault="00273BEB" w:rsidP="00273BEB">
      <w:pPr>
        <w:jc w:val="both"/>
        <w:rPr>
          <w:rFonts w:ascii="Simplified Arabic" w:hAnsi="Simplified Arabic" w:cs="Simplified Arabic"/>
          <w:color w:val="000000"/>
          <w:sz w:val="28"/>
          <w:szCs w:val="28"/>
        </w:rPr>
      </w:pPr>
      <w:r w:rsidRPr="00281826">
        <w:rPr>
          <w:rFonts w:ascii="Simplified Arabic" w:hAnsi="Simplified Arabic" w:cs="Simplified Arabic"/>
          <w:b/>
          <w:bCs/>
          <w:color w:val="000000"/>
          <w:sz w:val="28"/>
          <w:szCs w:val="28"/>
          <w:rtl/>
        </w:rPr>
        <w:t>أسرة من بين كل 10 أسر يرأسها شاب</w:t>
      </w:r>
      <w:r w:rsidRPr="00281826">
        <w:rPr>
          <w:rFonts w:ascii="Simplified Arabic" w:hAnsi="Simplified Arabic" w:cs="Simplified Arabic"/>
          <w:color w:val="000000"/>
          <w:sz w:val="28"/>
          <w:szCs w:val="28"/>
          <w:rtl/>
        </w:rPr>
        <w:t xml:space="preserve"> </w:t>
      </w:r>
    </w:p>
    <w:p w:rsidR="00273BEB" w:rsidRPr="00281826" w:rsidRDefault="00273BEB" w:rsidP="00273BEB">
      <w:pPr>
        <w:jc w:val="both"/>
        <w:rPr>
          <w:rFonts w:ascii="Simplified Arabic" w:hAnsi="Simplified Arabic" w:cs="Simplified Arabic"/>
          <w:snapToGrid w:val="0"/>
          <w:color w:val="000000"/>
          <w:sz w:val="26"/>
          <w:szCs w:val="26"/>
          <w:rtl/>
          <w:lang w:eastAsia="en-US"/>
        </w:rPr>
      </w:pPr>
      <w:r w:rsidRPr="00281826">
        <w:rPr>
          <w:rFonts w:ascii="Simplified Arabic" w:hAnsi="Simplified Arabic" w:cs="Simplified Arabic"/>
          <w:snapToGrid w:val="0"/>
          <w:color w:val="000000"/>
          <w:sz w:val="26"/>
          <w:szCs w:val="26"/>
          <w:rtl/>
          <w:lang w:eastAsia="en-US"/>
        </w:rPr>
        <w:t>تشير البيانات للعام 2022، إلى أن 7% من الأسر يرأسها شاب/شابة في فلسطين، بواقع 8% للذكور و1.4% للإناث، وتساوت هذه النسبة على مستوى المنطقة بواقع 7% لكل من الضفة الغربية وقطاع غزة.</w:t>
      </w:r>
    </w:p>
    <w:p w:rsidR="008F4BF1" w:rsidRPr="00281826" w:rsidRDefault="008F4BF1" w:rsidP="0006642F">
      <w:pPr>
        <w:jc w:val="both"/>
        <w:rPr>
          <w:rFonts w:ascii="Simplified Arabic" w:hAnsi="Simplified Arabic" w:cs="Simplified Arabic"/>
          <w:b/>
          <w:bCs/>
          <w:snapToGrid w:val="0"/>
          <w:sz w:val="16"/>
          <w:szCs w:val="16"/>
          <w:rtl/>
          <w:lang w:eastAsia="en-US"/>
        </w:rPr>
      </w:pPr>
    </w:p>
    <w:p w:rsidR="00AD7D0A" w:rsidRPr="00281826" w:rsidRDefault="00AD7D0A" w:rsidP="00AD7D0A">
      <w:pPr>
        <w:jc w:val="both"/>
        <w:rPr>
          <w:rFonts w:ascii="Simplified Arabic" w:hAnsi="Simplified Arabic" w:cs="Simplified Arabic"/>
          <w:b/>
          <w:bCs/>
          <w:color w:val="000000"/>
          <w:sz w:val="28"/>
          <w:szCs w:val="28"/>
          <w:rtl/>
        </w:rPr>
      </w:pPr>
      <w:r w:rsidRPr="00281826">
        <w:rPr>
          <w:rFonts w:ascii="Simplified Arabic" w:hAnsi="Simplified Arabic" w:cs="Simplified Arabic"/>
          <w:b/>
          <w:bCs/>
          <w:snapToGrid w:val="0"/>
          <w:color w:val="000000"/>
          <w:sz w:val="28"/>
          <w:szCs w:val="28"/>
          <w:rtl/>
          <w:lang w:eastAsia="en-US"/>
        </w:rPr>
        <w:t xml:space="preserve">تلاشي الأمية بين الشباب </w:t>
      </w:r>
    </w:p>
    <w:p w:rsidR="00AD7D0A" w:rsidRPr="00281826" w:rsidRDefault="00AD7D0A" w:rsidP="00AD7D0A">
      <w:pPr>
        <w:jc w:val="both"/>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انخفضت نسبة الأمية بين الشباب (18-29 سنة) في فلسطين لعام 2022 إلى نحو 0.6% وبنفس النسبة لكل من الضفة الغربية وكذلك قطاع غزة، في حين كانت هذه النسبة (1.1% في الضفة الغربية و1.2% في قطاع غزة) في العام 2007</w:t>
      </w:r>
    </w:p>
    <w:p w:rsidR="0006642F" w:rsidRPr="00281826" w:rsidRDefault="0006642F" w:rsidP="0006642F">
      <w:pPr>
        <w:jc w:val="both"/>
        <w:rPr>
          <w:rFonts w:ascii="Simplified Arabic" w:hAnsi="Simplified Arabic" w:cs="Simplified Arabic"/>
          <w:sz w:val="16"/>
          <w:szCs w:val="16"/>
          <w:rtl/>
        </w:rPr>
      </w:pPr>
    </w:p>
    <w:p w:rsidR="00B37153" w:rsidRPr="00281826" w:rsidRDefault="00B37153" w:rsidP="0006642F">
      <w:pPr>
        <w:jc w:val="both"/>
        <w:rPr>
          <w:rFonts w:ascii="Simplified Arabic" w:hAnsi="Simplified Arabic" w:cs="Simplified Arabic"/>
          <w:sz w:val="16"/>
          <w:szCs w:val="16"/>
          <w:rtl/>
        </w:rPr>
      </w:pPr>
    </w:p>
    <w:p w:rsidR="006B207F" w:rsidRPr="00281826" w:rsidRDefault="006B207F" w:rsidP="0006642F">
      <w:pPr>
        <w:jc w:val="both"/>
        <w:rPr>
          <w:rFonts w:ascii="Simplified Arabic" w:hAnsi="Simplified Arabic" w:cs="Simplified Arabic"/>
          <w:sz w:val="16"/>
          <w:szCs w:val="16"/>
        </w:rPr>
      </w:pPr>
    </w:p>
    <w:p w:rsidR="00DF4404" w:rsidRPr="00281826" w:rsidRDefault="00DF4404" w:rsidP="0006642F">
      <w:pPr>
        <w:jc w:val="both"/>
        <w:rPr>
          <w:rFonts w:ascii="Simplified Arabic" w:hAnsi="Simplified Arabic" w:cs="Simplified Arabic"/>
          <w:sz w:val="16"/>
          <w:szCs w:val="16"/>
        </w:rPr>
      </w:pPr>
    </w:p>
    <w:p w:rsidR="00DF4404" w:rsidRPr="00281826" w:rsidRDefault="00DF4404" w:rsidP="0006642F">
      <w:pPr>
        <w:jc w:val="both"/>
        <w:rPr>
          <w:rFonts w:ascii="Simplified Arabic" w:hAnsi="Simplified Arabic" w:cs="Simplified Arabic"/>
          <w:sz w:val="16"/>
          <w:szCs w:val="16"/>
          <w:rtl/>
        </w:rPr>
      </w:pPr>
    </w:p>
    <w:p w:rsidR="006B207F" w:rsidRPr="00281826" w:rsidRDefault="006B207F" w:rsidP="0006642F">
      <w:pPr>
        <w:jc w:val="both"/>
        <w:rPr>
          <w:rFonts w:ascii="Simplified Arabic" w:hAnsi="Simplified Arabic" w:cs="Simplified Arabic"/>
          <w:sz w:val="16"/>
          <w:szCs w:val="16"/>
          <w:rtl/>
        </w:rPr>
      </w:pPr>
    </w:p>
    <w:p w:rsidR="006E210B" w:rsidRPr="00281826" w:rsidRDefault="006E210B" w:rsidP="006E210B">
      <w:pPr>
        <w:pStyle w:val="BodyText"/>
        <w:jc w:val="both"/>
        <w:rPr>
          <w:rFonts w:ascii="Simplified Arabic" w:hAnsi="Simplified Arabic"/>
          <w:b/>
          <w:bCs/>
          <w:color w:val="000000"/>
          <w:sz w:val="32"/>
          <w:szCs w:val="32"/>
          <w:rtl/>
          <w:lang w:eastAsia="ar-SA"/>
        </w:rPr>
      </w:pPr>
      <w:bookmarkStart w:id="1" w:name="OLE_LINK1"/>
      <w:bookmarkStart w:id="2" w:name="OLE_LINK2"/>
      <w:r w:rsidRPr="00281826">
        <w:rPr>
          <w:rFonts w:ascii="Simplified Arabic" w:hAnsi="Simplified Arabic"/>
          <w:b/>
          <w:bCs/>
          <w:color w:val="000000"/>
          <w:sz w:val="32"/>
          <w:szCs w:val="32"/>
          <w:rtl/>
          <w:lang w:eastAsia="ar-SA"/>
        </w:rPr>
        <w:t>انخفاض نسبة الزواج المبكر</w:t>
      </w:r>
    </w:p>
    <w:p w:rsidR="006E210B" w:rsidRPr="00281826" w:rsidRDefault="00FC4B76" w:rsidP="006853B2">
      <w:pPr>
        <w:jc w:val="both"/>
        <w:rPr>
          <w:rFonts w:ascii="Simplified Arabic" w:hAnsi="Simplified Arabic" w:cs="Simplified Arabic"/>
          <w:color w:val="000000"/>
          <w:sz w:val="26"/>
          <w:szCs w:val="26"/>
        </w:rPr>
      </w:pPr>
      <w:r w:rsidRPr="00281826">
        <w:rPr>
          <w:rFonts w:ascii="Simplified Arabic" w:hAnsi="Simplified Arabic" w:cs="Simplified Arabic"/>
          <w:color w:val="000000"/>
          <w:sz w:val="26"/>
          <w:szCs w:val="26"/>
          <w:rtl/>
        </w:rPr>
        <w:t>بلغت</w:t>
      </w:r>
      <w:r w:rsidR="006E210B" w:rsidRPr="00281826">
        <w:rPr>
          <w:rFonts w:ascii="Simplified Arabic" w:hAnsi="Simplified Arabic" w:cs="Simplified Arabic"/>
          <w:color w:val="000000"/>
          <w:sz w:val="26"/>
          <w:szCs w:val="26"/>
          <w:rtl/>
        </w:rPr>
        <w:t xml:space="preserve"> نسبة الشابات </w:t>
      </w:r>
      <w:r w:rsidRPr="00281826">
        <w:rPr>
          <w:rFonts w:ascii="Simplified Arabic" w:hAnsi="Simplified Arabic" w:cs="Simplified Arabic"/>
          <w:color w:val="000000"/>
          <w:sz w:val="26"/>
          <w:szCs w:val="26"/>
          <w:rtl/>
        </w:rPr>
        <w:t xml:space="preserve">في العمر 20-24 سنة </w:t>
      </w:r>
      <w:r w:rsidR="006E210B" w:rsidRPr="00281826">
        <w:rPr>
          <w:rFonts w:ascii="Simplified Arabic" w:hAnsi="Simplified Arabic" w:cs="Simplified Arabic"/>
          <w:color w:val="000000"/>
          <w:sz w:val="26"/>
          <w:szCs w:val="26"/>
          <w:rtl/>
        </w:rPr>
        <w:t xml:space="preserve">اللواتي تزوجن قبل بلوغهن سن 18 عاماً </w:t>
      </w:r>
      <w:r w:rsidR="006853B2" w:rsidRPr="00281826">
        <w:rPr>
          <w:rFonts w:ascii="Simplified Arabic" w:hAnsi="Simplified Arabic" w:cs="Simplified Arabic"/>
          <w:color w:val="000000"/>
          <w:sz w:val="26"/>
          <w:szCs w:val="26"/>
          <w:rtl/>
        </w:rPr>
        <w:t>نحو</w:t>
      </w:r>
      <w:r w:rsidR="006E210B" w:rsidRPr="00281826">
        <w:rPr>
          <w:rFonts w:ascii="Simplified Arabic" w:hAnsi="Simplified Arabic" w:cs="Simplified Arabic"/>
          <w:color w:val="000000"/>
          <w:sz w:val="26"/>
          <w:szCs w:val="26"/>
          <w:rtl/>
        </w:rPr>
        <w:t xml:space="preserve"> </w:t>
      </w:r>
      <w:r w:rsidRPr="00281826">
        <w:rPr>
          <w:rFonts w:ascii="Simplified Arabic" w:hAnsi="Simplified Arabic" w:cs="Simplified Arabic"/>
          <w:color w:val="000000"/>
          <w:sz w:val="26"/>
          <w:szCs w:val="26"/>
          <w:rtl/>
        </w:rPr>
        <w:t>13</w:t>
      </w:r>
      <w:r w:rsidR="006E210B" w:rsidRPr="00281826">
        <w:rPr>
          <w:rFonts w:ascii="Simplified Arabic" w:hAnsi="Simplified Arabic" w:cs="Simplified Arabic"/>
          <w:color w:val="000000"/>
          <w:sz w:val="26"/>
          <w:szCs w:val="26"/>
          <w:rtl/>
        </w:rPr>
        <w:t xml:space="preserve"> شابة لكل 100 شابة </w:t>
      </w:r>
      <w:r w:rsidRPr="00281826">
        <w:rPr>
          <w:rFonts w:ascii="Simplified Arabic" w:hAnsi="Simplified Arabic" w:cs="Simplified Arabic"/>
          <w:color w:val="000000"/>
          <w:sz w:val="26"/>
          <w:szCs w:val="26"/>
          <w:rtl/>
        </w:rPr>
        <w:t xml:space="preserve">في العام </w:t>
      </w:r>
      <w:r w:rsidR="006E210B" w:rsidRPr="00281826">
        <w:rPr>
          <w:rFonts w:ascii="Simplified Arabic" w:hAnsi="Simplified Arabic" w:cs="Simplified Arabic"/>
          <w:color w:val="000000"/>
          <w:sz w:val="26"/>
          <w:szCs w:val="26"/>
          <w:rtl/>
        </w:rPr>
        <w:t>2020 (</w:t>
      </w:r>
      <w:r w:rsidR="006853B2" w:rsidRPr="00281826">
        <w:rPr>
          <w:rFonts w:ascii="Simplified Arabic" w:hAnsi="Simplified Arabic" w:cs="Simplified Arabic"/>
          <w:color w:val="000000"/>
          <w:sz w:val="26"/>
          <w:szCs w:val="26"/>
          <w:rtl/>
        </w:rPr>
        <w:t>12</w:t>
      </w:r>
      <w:r w:rsidR="006E210B" w:rsidRPr="00281826">
        <w:rPr>
          <w:rFonts w:ascii="Simplified Arabic" w:hAnsi="Simplified Arabic" w:cs="Simplified Arabic"/>
          <w:color w:val="000000"/>
          <w:sz w:val="26"/>
          <w:szCs w:val="26"/>
          <w:rtl/>
        </w:rPr>
        <w:t xml:space="preserve">% في الضفة الغربية، 17% في قطاع غزة)، </w:t>
      </w:r>
      <w:r w:rsidRPr="00281826">
        <w:rPr>
          <w:rFonts w:ascii="Simplified Arabic" w:hAnsi="Simplified Arabic" w:cs="Simplified Arabic"/>
          <w:color w:val="000000"/>
          <w:sz w:val="26"/>
          <w:szCs w:val="26"/>
          <w:rtl/>
        </w:rPr>
        <w:t>في حين كانت</w:t>
      </w:r>
      <w:r w:rsidR="008B6C53" w:rsidRPr="00281826">
        <w:rPr>
          <w:rFonts w:ascii="Simplified Arabic" w:hAnsi="Simplified Arabic" w:cs="Simplified Arabic"/>
          <w:color w:val="000000"/>
          <w:sz w:val="26"/>
          <w:szCs w:val="26"/>
          <w:rtl/>
        </w:rPr>
        <w:t xml:space="preserve"> هذه النسبة</w:t>
      </w:r>
      <w:r w:rsidR="006E210B" w:rsidRPr="00281826">
        <w:rPr>
          <w:rFonts w:ascii="Simplified Arabic" w:hAnsi="Simplified Arabic" w:cs="Simplified Arabic"/>
          <w:color w:val="000000"/>
          <w:sz w:val="26"/>
          <w:szCs w:val="26"/>
          <w:rtl/>
        </w:rPr>
        <w:t xml:space="preserve"> </w:t>
      </w:r>
      <w:r w:rsidR="006E210B" w:rsidRPr="00281826">
        <w:rPr>
          <w:rFonts w:ascii="Simplified Arabic" w:hAnsi="Simplified Arabic" w:cs="Simplified Arabic"/>
          <w:color w:val="000000"/>
          <w:sz w:val="26"/>
          <w:szCs w:val="26"/>
        </w:rPr>
        <w:t>37</w:t>
      </w:r>
      <w:r w:rsidR="006E210B" w:rsidRPr="00281826">
        <w:rPr>
          <w:rFonts w:ascii="Simplified Arabic" w:hAnsi="Simplified Arabic" w:cs="Simplified Arabic"/>
          <w:color w:val="000000"/>
          <w:sz w:val="26"/>
          <w:szCs w:val="26"/>
          <w:rtl/>
        </w:rPr>
        <w:t xml:space="preserve"> شابة </w:t>
      </w:r>
      <w:r w:rsidR="00281826">
        <w:rPr>
          <w:rFonts w:ascii="Simplified Arabic" w:hAnsi="Simplified Arabic" w:cs="Simplified Arabic" w:hint="cs"/>
          <w:color w:val="000000"/>
          <w:sz w:val="26"/>
          <w:szCs w:val="26"/>
          <w:rtl/>
        </w:rPr>
        <w:t xml:space="preserve">                                 </w:t>
      </w:r>
      <w:r w:rsidR="006E210B" w:rsidRPr="00281826">
        <w:rPr>
          <w:rFonts w:ascii="Simplified Arabic" w:hAnsi="Simplified Arabic" w:cs="Simplified Arabic"/>
          <w:color w:val="000000"/>
          <w:sz w:val="26"/>
          <w:szCs w:val="26"/>
          <w:rtl/>
        </w:rPr>
        <w:t xml:space="preserve">لكل 100 شابة </w:t>
      </w:r>
      <w:r w:rsidRPr="00281826">
        <w:rPr>
          <w:rFonts w:ascii="Simplified Arabic" w:hAnsi="Simplified Arabic" w:cs="Simplified Arabic"/>
          <w:color w:val="000000"/>
          <w:sz w:val="26"/>
          <w:szCs w:val="26"/>
          <w:rtl/>
        </w:rPr>
        <w:t>في العام</w:t>
      </w:r>
      <w:r w:rsidR="006E210B" w:rsidRPr="00281826">
        <w:rPr>
          <w:rFonts w:ascii="Simplified Arabic" w:hAnsi="Simplified Arabic" w:cs="Simplified Arabic"/>
          <w:color w:val="000000"/>
          <w:sz w:val="26"/>
          <w:szCs w:val="26"/>
          <w:rtl/>
        </w:rPr>
        <w:t xml:space="preserve"> 2010.</w:t>
      </w:r>
    </w:p>
    <w:p w:rsidR="006C4E26" w:rsidRPr="00281826" w:rsidRDefault="006C4E26" w:rsidP="00C07CAA">
      <w:pPr>
        <w:jc w:val="both"/>
        <w:rPr>
          <w:rFonts w:ascii="Simplified Arabic" w:hAnsi="Simplified Arabic" w:cs="Simplified Arabic"/>
          <w:b/>
          <w:bCs/>
          <w:sz w:val="16"/>
          <w:szCs w:val="16"/>
          <w:rtl/>
        </w:rPr>
      </w:pPr>
    </w:p>
    <w:p w:rsidR="009917D8" w:rsidRPr="00281826" w:rsidRDefault="009917D8" w:rsidP="009917D8">
      <w:pPr>
        <w:jc w:val="both"/>
        <w:rPr>
          <w:rFonts w:ascii="Simplified Arabic" w:hAnsi="Simplified Arabic" w:cs="Simplified Arabic"/>
          <w:b/>
          <w:bCs/>
          <w:color w:val="000000"/>
          <w:sz w:val="32"/>
          <w:szCs w:val="32"/>
          <w:rtl/>
        </w:rPr>
      </w:pPr>
      <w:r w:rsidRPr="00281826">
        <w:rPr>
          <w:rFonts w:ascii="Simplified Arabic" w:hAnsi="Simplified Arabic" w:cs="Simplified Arabic"/>
          <w:b/>
          <w:bCs/>
          <w:color w:val="000000"/>
          <w:sz w:val="32"/>
          <w:szCs w:val="32"/>
          <w:rtl/>
        </w:rPr>
        <w:t>حوالي ثلث الشباب يمارسون عادة التدخين</w:t>
      </w:r>
    </w:p>
    <w:p w:rsidR="00AD10A9" w:rsidRPr="00281826" w:rsidRDefault="009917D8" w:rsidP="00510611">
      <w:pPr>
        <w:jc w:val="both"/>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بلغت نسبة الشباب (18-29 سنة) الذين يمارسون عادة التدخين لعام 2021 حوالي 31% (43% في الضفة الغربية، 13% في قطاع غزة)، وعلى مستوى الجنس فقد بلغت نسبة الشباب من الذكور الذين يمارسون عادة التدخين نحو 54% مقابل 7% للإناث.</w:t>
      </w:r>
    </w:p>
    <w:p w:rsidR="00B55427" w:rsidRPr="00281826" w:rsidRDefault="00B55427" w:rsidP="00B55427">
      <w:pPr>
        <w:pStyle w:val="Heading4"/>
        <w:jc w:val="center"/>
        <w:rPr>
          <w:rFonts w:ascii="Simplified Arabic" w:hAnsi="Simplified Arabic"/>
          <w:sz w:val="16"/>
          <w:szCs w:val="16"/>
          <w:rtl/>
        </w:rPr>
      </w:pPr>
    </w:p>
    <w:p w:rsidR="00B55427" w:rsidRPr="00281826" w:rsidRDefault="00B55427" w:rsidP="00B55427">
      <w:pPr>
        <w:pStyle w:val="Heading4"/>
        <w:jc w:val="center"/>
        <w:rPr>
          <w:rFonts w:ascii="Simplified Arabic" w:hAnsi="Simplified Arabic"/>
          <w:color w:val="000000"/>
          <w:sz w:val="32"/>
          <w:szCs w:val="32"/>
          <w:rtl/>
        </w:rPr>
      </w:pPr>
      <w:r w:rsidRPr="00281826">
        <w:rPr>
          <w:rFonts w:ascii="Simplified Arabic" w:hAnsi="Simplified Arabic"/>
          <w:color w:val="000000"/>
          <w:sz w:val="32"/>
          <w:szCs w:val="32"/>
          <w:rtl/>
        </w:rPr>
        <w:t>نسبة ممارسة عادة التدخين في فلسطين بين الشباب 18-29 سنة حسب الجنس، 2021</w:t>
      </w:r>
    </w:p>
    <w:tbl>
      <w:tblPr>
        <w:bidiVisual/>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8"/>
        <w:gridCol w:w="2962"/>
      </w:tblGrid>
      <w:tr w:rsidR="00B55427" w:rsidRPr="00281826" w:rsidTr="00281826">
        <w:trPr>
          <w:trHeight w:val="284"/>
          <w:jc w:val="center"/>
        </w:trPr>
        <w:tc>
          <w:tcPr>
            <w:tcW w:w="1021" w:type="dxa"/>
          </w:tcPr>
          <w:p w:rsidR="00B55427" w:rsidRPr="00281826" w:rsidRDefault="00B55427" w:rsidP="00281826">
            <w:pPr>
              <w:jc w:val="center"/>
              <w:rPr>
                <w:rFonts w:ascii="Simplified Arabic" w:hAnsi="Simplified Arabic" w:cs="Simplified Arabic"/>
                <w:b/>
                <w:bCs/>
                <w:color w:val="000000"/>
                <w:sz w:val="26"/>
                <w:szCs w:val="26"/>
                <w:rtl/>
              </w:rPr>
            </w:pPr>
            <w:r w:rsidRPr="00281826">
              <w:rPr>
                <w:rFonts w:ascii="Simplified Arabic" w:hAnsi="Simplified Arabic" w:cs="Simplified Arabic"/>
                <w:b/>
                <w:bCs/>
                <w:color w:val="000000"/>
                <w:sz w:val="26"/>
                <w:szCs w:val="26"/>
                <w:rtl/>
              </w:rPr>
              <w:t>الجنس</w:t>
            </w:r>
          </w:p>
        </w:tc>
        <w:tc>
          <w:tcPr>
            <w:tcW w:w="1376" w:type="dxa"/>
          </w:tcPr>
          <w:p w:rsidR="00B55427" w:rsidRPr="00281826" w:rsidRDefault="00B55427" w:rsidP="00281826">
            <w:pPr>
              <w:pStyle w:val="Heading4"/>
              <w:jc w:val="center"/>
              <w:rPr>
                <w:rFonts w:ascii="Simplified Arabic" w:hAnsi="Simplified Arabic"/>
                <w:color w:val="000000"/>
                <w:sz w:val="26"/>
                <w:szCs w:val="26"/>
                <w:rtl/>
              </w:rPr>
            </w:pPr>
            <w:r w:rsidRPr="00281826">
              <w:rPr>
                <w:rFonts w:ascii="Simplified Arabic" w:hAnsi="Simplified Arabic"/>
                <w:color w:val="000000"/>
                <w:sz w:val="26"/>
                <w:szCs w:val="26"/>
                <w:rtl/>
              </w:rPr>
              <w:t>النسبة</w:t>
            </w:r>
          </w:p>
        </w:tc>
      </w:tr>
      <w:tr w:rsidR="00B55427" w:rsidRPr="00281826" w:rsidTr="00281826">
        <w:trPr>
          <w:trHeight w:val="284"/>
          <w:jc w:val="center"/>
        </w:trPr>
        <w:tc>
          <w:tcPr>
            <w:tcW w:w="1021" w:type="dxa"/>
            <w:vAlign w:val="center"/>
          </w:tcPr>
          <w:p w:rsidR="00B55427" w:rsidRPr="00281826" w:rsidRDefault="00B55427" w:rsidP="00281826">
            <w:pPr>
              <w:jc w:val="center"/>
              <w:rPr>
                <w:rFonts w:ascii="Simplified Arabic" w:hAnsi="Simplified Arabic" w:cs="Simplified Arabic"/>
                <w:b/>
                <w:bCs/>
                <w:color w:val="000000"/>
                <w:sz w:val="26"/>
                <w:szCs w:val="26"/>
                <w:rtl/>
              </w:rPr>
            </w:pPr>
            <w:r w:rsidRPr="00281826">
              <w:rPr>
                <w:rFonts w:ascii="Simplified Arabic" w:hAnsi="Simplified Arabic" w:cs="Simplified Arabic"/>
                <w:b/>
                <w:bCs/>
                <w:color w:val="000000"/>
                <w:sz w:val="26"/>
                <w:szCs w:val="26"/>
                <w:rtl/>
              </w:rPr>
              <w:t>كلا الجنسين</w:t>
            </w:r>
          </w:p>
        </w:tc>
        <w:tc>
          <w:tcPr>
            <w:tcW w:w="1376" w:type="dxa"/>
            <w:vAlign w:val="center"/>
          </w:tcPr>
          <w:p w:rsidR="00B55427" w:rsidRPr="00281826" w:rsidRDefault="00B55427" w:rsidP="00281826">
            <w:pPr>
              <w:pStyle w:val="Heading4"/>
              <w:jc w:val="center"/>
              <w:rPr>
                <w:rFonts w:ascii="Simplified Arabic" w:hAnsi="Simplified Arabic"/>
                <w:b w:val="0"/>
                <w:bCs w:val="0"/>
                <w:color w:val="000000"/>
                <w:sz w:val="26"/>
                <w:szCs w:val="26"/>
                <w:rtl/>
              </w:rPr>
            </w:pPr>
            <w:r w:rsidRPr="00281826">
              <w:rPr>
                <w:rFonts w:ascii="Simplified Arabic" w:hAnsi="Simplified Arabic"/>
                <w:b w:val="0"/>
                <w:bCs w:val="0"/>
                <w:color w:val="000000"/>
                <w:sz w:val="26"/>
                <w:szCs w:val="26"/>
                <w:rtl/>
              </w:rPr>
              <w:t>31</w:t>
            </w:r>
          </w:p>
        </w:tc>
      </w:tr>
      <w:tr w:rsidR="00B55427" w:rsidRPr="00281826" w:rsidTr="00281826">
        <w:trPr>
          <w:trHeight w:val="284"/>
          <w:jc w:val="center"/>
        </w:trPr>
        <w:tc>
          <w:tcPr>
            <w:tcW w:w="1021" w:type="dxa"/>
            <w:vAlign w:val="center"/>
          </w:tcPr>
          <w:p w:rsidR="00B55427" w:rsidRPr="00281826" w:rsidRDefault="00B55427" w:rsidP="00281826">
            <w:pPr>
              <w:jc w:val="center"/>
              <w:rPr>
                <w:rFonts w:ascii="Simplified Arabic" w:hAnsi="Simplified Arabic" w:cs="Simplified Arabic"/>
                <w:b/>
                <w:bCs/>
                <w:color w:val="000000"/>
                <w:sz w:val="26"/>
                <w:szCs w:val="26"/>
                <w:rtl/>
              </w:rPr>
            </w:pPr>
            <w:r w:rsidRPr="00281826">
              <w:rPr>
                <w:rFonts w:ascii="Simplified Arabic" w:hAnsi="Simplified Arabic" w:cs="Simplified Arabic"/>
                <w:b/>
                <w:bCs/>
                <w:color w:val="000000"/>
                <w:sz w:val="26"/>
                <w:szCs w:val="26"/>
                <w:rtl/>
              </w:rPr>
              <w:t>ذكور</w:t>
            </w:r>
          </w:p>
        </w:tc>
        <w:tc>
          <w:tcPr>
            <w:tcW w:w="1376" w:type="dxa"/>
            <w:vAlign w:val="center"/>
          </w:tcPr>
          <w:p w:rsidR="00B55427" w:rsidRPr="00281826" w:rsidRDefault="00B55427" w:rsidP="00281826">
            <w:pPr>
              <w:jc w:val="center"/>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54</w:t>
            </w:r>
          </w:p>
        </w:tc>
      </w:tr>
      <w:tr w:rsidR="00B55427" w:rsidRPr="00281826" w:rsidTr="00281826">
        <w:trPr>
          <w:trHeight w:val="284"/>
          <w:jc w:val="center"/>
        </w:trPr>
        <w:tc>
          <w:tcPr>
            <w:tcW w:w="1021" w:type="dxa"/>
            <w:vAlign w:val="center"/>
          </w:tcPr>
          <w:p w:rsidR="00B55427" w:rsidRPr="00281826" w:rsidRDefault="00B55427" w:rsidP="00281826">
            <w:pPr>
              <w:jc w:val="center"/>
              <w:rPr>
                <w:rFonts w:ascii="Simplified Arabic" w:hAnsi="Simplified Arabic" w:cs="Simplified Arabic"/>
                <w:b/>
                <w:bCs/>
                <w:color w:val="000000"/>
                <w:sz w:val="26"/>
                <w:szCs w:val="26"/>
                <w:rtl/>
              </w:rPr>
            </w:pPr>
            <w:r w:rsidRPr="00281826">
              <w:rPr>
                <w:rFonts w:ascii="Simplified Arabic" w:hAnsi="Simplified Arabic" w:cs="Simplified Arabic"/>
                <w:b/>
                <w:bCs/>
                <w:color w:val="000000"/>
                <w:sz w:val="26"/>
                <w:szCs w:val="26"/>
                <w:rtl/>
              </w:rPr>
              <w:t>إناث</w:t>
            </w:r>
          </w:p>
        </w:tc>
        <w:tc>
          <w:tcPr>
            <w:tcW w:w="1376" w:type="dxa"/>
            <w:vAlign w:val="center"/>
          </w:tcPr>
          <w:p w:rsidR="00B55427" w:rsidRPr="00281826" w:rsidRDefault="00B55427" w:rsidP="00281826">
            <w:pPr>
              <w:jc w:val="center"/>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7</w:t>
            </w:r>
          </w:p>
        </w:tc>
      </w:tr>
    </w:tbl>
    <w:p w:rsidR="006B207F" w:rsidRPr="00281826" w:rsidRDefault="006B207F" w:rsidP="00952400">
      <w:pPr>
        <w:jc w:val="both"/>
        <w:rPr>
          <w:rFonts w:ascii="Simplified Arabic" w:hAnsi="Simplified Arabic" w:cs="Simplified Arabic"/>
          <w:b/>
          <w:bCs/>
          <w:sz w:val="16"/>
          <w:szCs w:val="16"/>
          <w:rtl/>
        </w:rPr>
      </w:pPr>
    </w:p>
    <w:p w:rsidR="00952400" w:rsidRPr="00281826" w:rsidRDefault="00952400" w:rsidP="00952400">
      <w:pPr>
        <w:jc w:val="both"/>
        <w:rPr>
          <w:rFonts w:ascii="Simplified Arabic" w:hAnsi="Simplified Arabic" w:cs="Simplified Arabic"/>
          <w:b/>
          <w:bCs/>
          <w:color w:val="000000"/>
          <w:sz w:val="32"/>
          <w:szCs w:val="32"/>
          <w:rtl/>
        </w:rPr>
      </w:pPr>
      <w:r w:rsidRPr="00281826">
        <w:rPr>
          <w:rFonts w:ascii="Simplified Arabic" w:hAnsi="Simplified Arabic" w:cs="Simplified Arabic"/>
          <w:b/>
          <w:bCs/>
          <w:color w:val="000000"/>
          <w:sz w:val="32"/>
          <w:szCs w:val="32"/>
          <w:rtl/>
        </w:rPr>
        <w:t>غالبية الشباب يستخدمون الانترنت ويمتلكون هاتف ذكي</w:t>
      </w:r>
    </w:p>
    <w:p w:rsidR="00952400" w:rsidRPr="00281826" w:rsidRDefault="00952400" w:rsidP="002904E2">
      <w:pPr>
        <w:jc w:val="both"/>
        <w:rPr>
          <w:rFonts w:ascii="Simplified Arabic" w:hAnsi="Simplified Arabic" w:cs="Simplified Arabic"/>
          <w:color w:val="000000"/>
          <w:sz w:val="26"/>
          <w:szCs w:val="26"/>
          <w:rtl/>
        </w:rPr>
      </w:pPr>
      <w:r w:rsidRPr="00281826">
        <w:rPr>
          <w:rFonts w:ascii="Simplified Arabic" w:hAnsi="Simplified Arabic" w:cs="Simplified Arabic"/>
          <w:color w:val="000000"/>
          <w:sz w:val="26"/>
          <w:szCs w:val="26"/>
          <w:rtl/>
        </w:rPr>
        <w:t>أفادت بيانات مسح القوى العاملة للعام 2022، بأن حوالي 95% من الشباب في الفئة العمرية 18-29 سنة يستخدمون الانترنت من أي مكان؛ 98% في الضفة الغربية و92% في قطاع غزة، هذا وبلغت نسبة الشباب من الذكور الذين يستخدمون الانترنت من أي مكان 95% مقابل 96% للإناث.</w:t>
      </w:r>
      <w:r w:rsidR="006B207F" w:rsidRPr="00281826">
        <w:rPr>
          <w:rFonts w:ascii="Simplified Arabic" w:hAnsi="Simplified Arabic" w:cs="Simplified Arabic"/>
          <w:color w:val="000000"/>
          <w:sz w:val="26"/>
          <w:szCs w:val="26"/>
          <w:rtl/>
        </w:rPr>
        <w:t xml:space="preserve"> كما اشارت البيانات الى ان </w:t>
      </w:r>
      <w:r w:rsidRPr="00281826">
        <w:rPr>
          <w:rFonts w:ascii="Simplified Arabic" w:hAnsi="Simplified Arabic" w:cs="Simplified Arabic"/>
          <w:color w:val="000000"/>
          <w:sz w:val="26"/>
          <w:szCs w:val="26"/>
          <w:rtl/>
        </w:rPr>
        <w:t xml:space="preserve">90% من الشباب يمتلكون هاتف ذكي في فلسطين في العام 2022، بواقع 97% في الضفة الغربية و80% في قطاع غزة، </w:t>
      </w:r>
      <w:r w:rsidR="00124427" w:rsidRPr="00281826">
        <w:rPr>
          <w:rFonts w:ascii="Simplified Arabic" w:hAnsi="Simplified Arabic" w:cs="Simplified Arabic"/>
          <w:color w:val="000000"/>
          <w:sz w:val="26"/>
          <w:szCs w:val="26"/>
          <w:rtl/>
        </w:rPr>
        <w:t>فبلغت</w:t>
      </w:r>
      <w:r w:rsidRPr="00281826">
        <w:rPr>
          <w:rFonts w:ascii="Simplified Arabic" w:hAnsi="Simplified Arabic" w:cs="Simplified Arabic"/>
          <w:color w:val="000000"/>
          <w:sz w:val="26"/>
          <w:szCs w:val="26"/>
          <w:rtl/>
        </w:rPr>
        <w:t xml:space="preserve"> بين الإناث </w:t>
      </w:r>
      <w:r w:rsidR="00124427" w:rsidRPr="00281826">
        <w:rPr>
          <w:rFonts w:ascii="Simplified Arabic" w:hAnsi="Simplified Arabic" w:cs="Simplified Arabic"/>
          <w:color w:val="000000"/>
          <w:sz w:val="26"/>
          <w:szCs w:val="26"/>
          <w:rtl/>
        </w:rPr>
        <w:t>91% و</w:t>
      </w:r>
      <w:r w:rsidRPr="00281826">
        <w:rPr>
          <w:rFonts w:ascii="Simplified Arabic" w:hAnsi="Simplified Arabic" w:cs="Simplified Arabic"/>
          <w:color w:val="000000"/>
          <w:sz w:val="26"/>
          <w:szCs w:val="26"/>
          <w:rtl/>
        </w:rPr>
        <w:t xml:space="preserve">بين الذكور </w:t>
      </w:r>
      <w:r w:rsidR="00124427" w:rsidRPr="00281826">
        <w:rPr>
          <w:rFonts w:ascii="Simplified Arabic" w:hAnsi="Simplified Arabic" w:cs="Simplified Arabic"/>
          <w:color w:val="000000"/>
          <w:sz w:val="26"/>
          <w:szCs w:val="26"/>
          <w:rtl/>
        </w:rPr>
        <w:t>90</w:t>
      </w:r>
      <w:r w:rsidRPr="00281826">
        <w:rPr>
          <w:rFonts w:ascii="Simplified Arabic" w:hAnsi="Simplified Arabic" w:cs="Simplified Arabic"/>
          <w:color w:val="000000"/>
          <w:sz w:val="26"/>
          <w:szCs w:val="26"/>
          <w:rtl/>
        </w:rPr>
        <w:t>%.</w:t>
      </w:r>
    </w:p>
    <w:p w:rsidR="00D760FF" w:rsidRPr="00281826" w:rsidRDefault="00D760FF" w:rsidP="00791581">
      <w:pPr>
        <w:jc w:val="both"/>
        <w:rPr>
          <w:rFonts w:ascii="Simplified Arabic" w:hAnsi="Simplified Arabic" w:cs="Simplified Arabic"/>
          <w:color w:val="000000"/>
          <w:sz w:val="26"/>
          <w:szCs w:val="26"/>
          <w:rtl/>
        </w:rPr>
      </w:pPr>
    </w:p>
    <w:p w:rsidR="008950A7" w:rsidRPr="00281826" w:rsidRDefault="008950A7" w:rsidP="00D760FF">
      <w:pPr>
        <w:jc w:val="both"/>
        <w:rPr>
          <w:rFonts w:ascii="Simplified Arabic" w:hAnsi="Simplified Arabic" w:cs="Simplified Arabic" w:hint="cs"/>
          <w:snapToGrid w:val="0"/>
          <w:color w:val="000000"/>
          <w:sz w:val="26"/>
          <w:szCs w:val="26"/>
          <w:rtl/>
          <w:lang w:eastAsia="en-US"/>
        </w:rPr>
      </w:pPr>
    </w:p>
    <w:tbl>
      <w:tblPr>
        <w:bidiVisual/>
        <w:tblW w:w="4944" w:type="dxa"/>
        <w:tblLook w:val="04A0" w:firstRow="1" w:lastRow="0" w:firstColumn="1" w:lastColumn="0" w:noHBand="0" w:noVBand="1"/>
      </w:tblPr>
      <w:tblGrid>
        <w:gridCol w:w="3228"/>
        <w:gridCol w:w="1716"/>
      </w:tblGrid>
      <w:tr w:rsidR="008950A7" w:rsidRPr="00EC17A7" w:rsidTr="00227AF4">
        <w:trPr>
          <w:trHeight w:val="2187"/>
        </w:trPr>
        <w:tc>
          <w:tcPr>
            <w:tcW w:w="3261" w:type="dxa"/>
            <w:shd w:val="clear" w:color="auto" w:fill="auto"/>
          </w:tcPr>
          <w:bookmarkEnd w:id="1"/>
          <w:bookmarkEnd w:id="2"/>
          <w:p w:rsidR="008950A7" w:rsidRPr="00227AF4" w:rsidRDefault="008950A7" w:rsidP="00227AF4">
            <w:pPr>
              <w:jc w:val="both"/>
              <w:rPr>
                <w:rFonts w:cs="Simplified Arabic"/>
                <w:color w:val="000000"/>
                <w:sz w:val="20"/>
                <w:szCs w:val="20"/>
                <w:rtl/>
              </w:rPr>
            </w:pPr>
            <w:r w:rsidRPr="00227AF4">
              <w:rPr>
                <w:rFonts w:cs="Simplified Arabic" w:hint="cs"/>
                <w:b/>
                <w:bCs/>
                <w:color w:val="000000"/>
                <w:sz w:val="20"/>
                <w:szCs w:val="20"/>
                <w:rtl/>
              </w:rPr>
              <w:t>لمزيد من المعلومات يرجى الاتصال:</w:t>
            </w:r>
          </w:p>
          <w:p w:rsidR="008950A7" w:rsidRPr="00227AF4" w:rsidRDefault="008950A7" w:rsidP="00227AF4">
            <w:pPr>
              <w:pStyle w:val="BodyText"/>
              <w:jc w:val="both"/>
              <w:rPr>
                <w:b/>
                <w:bCs/>
                <w:color w:val="000000"/>
                <w:rtl/>
              </w:rPr>
            </w:pPr>
            <w:r w:rsidRPr="00227AF4">
              <w:rPr>
                <w:rFonts w:hint="cs"/>
                <w:b/>
                <w:bCs/>
                <w:color w:val="000000"/>
                <w:rtl/>
              </w:rPr>
              <w:t>الجهاز المركزي للإحصاء الفلسطيني</w:t>
            </w:r>
          </w:p>
          <w:p w:rsidR="008950A7" w:rsidRPr="00227AF4" w:rsidRDefault="008950A7" w:rsidP="00227AF4">
            <w:pPr>
              <w:pStyle w:val="BodyText"/>
              <w:jc w:val="both"/>
              <w:rPr>
                <w:b/>
                <w:bCs/>
                <w:color w:val="000000"/>
                <w:rtl/>
              </w:rPr>
            </w:pPr>
            <w:r w:rsidRPr="00227AF4">
              <w:rPr>
                <w:b/>
                <w:bCs/>
                <w:color w:val="000000"/>
                <w:rtl/>
              </w:rPr>
              <w:t xml:space="preserve">ص.ب. 1647، رام الله، </w:t>
            </w:r>
            <w:r w:rsidRPr="00227AF4">
              <w:rPr>
                <w:b/>
                <w:bCs/>
                <w:color w:val="000000"/>
              </w:rPr>
              <w:t>P6028179</w:t>
            </w:r>
            <w:r w:rsidRPr="00227AF4">
              <w:rPr>
                <w:b/>
                <w:bCs/>
                <w:color w:val="000000"/>
                <w:rtl/>
              </w:rPr>
              <w:t xml:space="preserve">، فلسطين  </w:t>
            </w:r>
          </w:p>
          <w:p w:rsidR="008950A7" w:rsidRPr="00227AF4" w:rsidRDefault="008950A7" w:rsidP="00227AF4">
            <w:pPr>
              <w:jc w:val="both"/>
              <w:rPr>
                <w:rFonts w:cs="Simplified Arabic"/>
                <w:color w:val="000000"/>
                <w:sz w:val="20"/>
                <w:szCs w:val="20"/>
                <w:rtl/>
              </w:rPr>
            </w:pPr>
            <w:r w:rsidRPr="00227AF4">
              <w:rPr>
                <w:rFonts w:cs="Simplified Arabic"/>
                <w:color w:val="000000"/>
                <w:sz w:val="20"/>
                <w:szCs w:val="20"/>
                <w:rtl/>
              </w:rPr>
              <w:t>ه</w:t>
            </w:r>
            <w:r w:rsidRPr="00227AF4">
              <w:rPr>
                <w:rFonts w:cs="Simplified Arabic" w:hint="cs"/>
                <w:color w:val="000000"/>
                <w:sz w:val="20"/>
                <w:szCs w:val="20"/>
                <w:rtl/>
              </w:rPr>
              <w:t xml:space="preserve">اتف: </w:t>
            </w:r>
            <w:r w:rsidRPr="00227AF4">
              <w:rPr>
                <w:rFonts w:cs="Simplified Arabic"/>
                <w:color w:val="000000"/>
                <w:sz w:val="20"/>
                <w:szCs w:val="20"/>
              </w:rPr>
              <w:t>02-2982700</w:t>
            </w:r>
            <w:r w:rsidRPr="00227AF4">
              <w:rPr>
                <w:rFonts w:cs="Simplified Arabic"/>
                <w:color w:val="000000"/>
                <w:sz w:val="20"/>
                <w:szCs w:val="20"/>
                <w:rtl/>
              </w:rPr>
              <w:t xml:space="preserve"> (972/970) </w:t>
            </w:r>
          </w:p>
          <w:p w:rsidR="008950A7" w:rsidRPr="00227AF4" w:rsidRDefault="008950A7" w:rsidP="00227AF4">
            <w:pPr>
              <w:jc w:val="both"/>
              <w:rPr>
                <w:rFonts w:cs="Simplified Arabic"/>
                <w:color w:val="000000"/>
                <w:sz w:val="20"/>
                <w:szCs w:val="20"/>
                <w:rtl/>
              </w:rPr>
            </w:pPr>
            <w:r w:rsidRPr="00227AF4">
              <w:rPr>
                <w:rFonts w:cs="Simplified Arabic" w:hint="cs"/>
                <w:color w:val="000000"/>
                <w:sz w:val="20"/>
                <w:szCs w:val="20"/>
                <w:rtl/>
              </w:rPr>
              <w:t xml:space="preserve">فاكس: </w:t>
            </w:r>
            <w:r w:rsidRPr="00227AF4">
              <w:rPr>
                <w:rFonts w:cs="Simplified Arabic"/>
                <w:color w:val="000000"/>
                <w:sz w:val="20"/>
                <w:szCs w:val="20"/>
              </w:rPr>
              <w:t>02- 2982710</w:t>
            </w:r>
            <w:r w:rsidRPr="00227AF4">
              <w:rPr>
                <w:rFonts w:cs="Simplified Arabic"/>
                <w:color w:val="000000"/>
                <w:sz w:val="20"/>
                <w:szCs w:val="20"/>
                <w:rtl/>
              </w:rPr>
              <w:t xml:space="preserve"> (972/970) </w:t>
            </w:r>
          </w:p>
          <w:p w:rsidR="008950A7" w:rsidRPr="00227AF4" w:rsidRDefault="008950A7" w:rsidP="00227AF4">
            <w:pPr>
              <w:jc w:val="both"/>
              <w:rPr>
                <w:rFonts w:cs="Simplified Arabic"/>
                <w:color w:val="000000"/>
                <w:sz w:val="20"/>
                <w:szCs w:val="20"/>
                <w:rtl/>
              </w:rPr>
            </w:pPr>
            <w:r w:rsidRPr="00227AF4">
              <w:rPr>
                <w:rFonts w:cs="Simplified Arabic"/>
                <w:color w:val="000000"/>
                <w:sz w:val="20"/>
                <w:szCs w:val="20"/>
                <w:rtl/>
              </w:rPr>
              <w:t>خط مجاني</w:t>
            </w:r>
            <w:r w:rsidRPr="00227AF4">
              <w:rPr>
                <w:rFonts w:cs="Simplified Arabic" w:hint="cs"/>
                <w:color w:val="000000"/>
                <w:sz w:val="20"/>
                <w:szCs w:val="20"/>
                <w:rtl/>
              </w:rPr>
              <w:t xml:space="preserve">: </w:t>
            </w:r>
            <w:r w:rsidRPr="00227AF4">
              <w:rPr>
                <w:rFonts w:cs="Simplified Arabic"/>
                <w:color w:val="000000"/>
                <w:sz w:val="20"/>
                <w:szCs w:val="20"/>
              </w:rPr>
              <w:t>1800300300</w:t>
            </w:r>
          </w:p>
          <w:p w:rsidR="008950A7" w:rsidRPr="00227AF4" w:rsidRDefault="008950A7" w:rsidP="00227AF4">
            <w:pPr>
              <w:jc w:val="both"/>
              <w:rPr>
                <w:rFonts w:cs="Simplified Arabic"/>
                <w:color w:val="000000"/>
                <w:sz w:val="20"/>
                <w:szCs w:val="20"/>
                <w:rtl/>
              </w:rPr>
            </w:pPr>
            <w:r w:rsidRPr="00227AF4">
              <w:rPr>
                <w:rFonts w:cs="Simplified Arabic" w:hint="cs"/>
                <w:color w:val="000000"/>
                <w:sz w:val="20"/>
                <w:szCs w:val="20"/>
                <w:rtl/>
              </w:rPr>
              <w:t xml:space="preserve">بريد إلكتروني: </w:t>
            </w:r>
            <w:r w:rsidRPr="00227AF4">
              <w:rPr>
                <w:rFonts w:cs="Simplified Arabic"/>
                <w:color w:val="000000"/>
                <w:sz w:val="20"/>
                <w:szCs w:val="20"/>
              </w:rPr>
              <w:t>diwan@pcbs.gov.ps</w:t>
            </w:r>
            <w:r w:rsidRPr="00227AF4">
              <w:rPr>
                <w:rFonts w:cs="Simplified Arabic"/>
                <w:color w:val="000000"/>
                <w:sz w:val="20"/>
                <w:szCs w:val="20"/>
                <w:rtl/>
              </w:rPr>
              <w:t xml:space="preserve"> </w:t>
            </w:r>
          </w:p>
          <w:p w:rsidR="008950A7" w:rsidRPr="00227AF4" w:rsidRDefault="008950A7" w:rsidP="008950A7">
            <w:pPr>
              <w:rPr>
                <w:rFonts w:cs="Simplified Arabic"/>
                <w:color w:val="000000"/>
                <w:sz w:val="20"/>
                <w:szCs w:val="20"/>
                <w:rtl/>
              </w:rPr>
            </w:pPr>
            <w:r w:rsidRPr="00227AF4">
              <w:rPr>
                <w:rFonts w:cs="Simplified Arabic" w:hint="cs"/>
                <w:color w:val="000000"/>
                <w:sz w:val="20"/>
                <w:szCs w:val="20"/>
                <w:rtl/>
              </w:rPr>
              <w:t>الصفحة</w:t>
            </w:r>
            <w:r w:rsidR="008525A8" w:rsidRPr="00227AF4">
              <w:rPr>
                <w:rFonts w:cs="Simplified Arabic" w:hint="cs"/>
                <w:color w:val="000000"/>
                <w:sz w:val="20"/>
                <w:szCs w:val="20"/>
                <w:rtl/>
              </w:rPr>
              <w:t xml:space="preserve"> </w:t>
            </w:r>
            <w:r w:rsidRPr="00227AF4">
              <w:rPr>
                <w:rFonts w:cs="Simplified Arabic" w:hint="cs"/>
                <w:color w:val="000000"/>
                <w:sz w:val="20"/>
                <w:szCs w:val="20"/>
                <w:rtl/>
              </w:rPr>
              <w:t>الالكترونية:</w:t>
            </w:r>
            <w:hyperlink r:id="rId9" w:history="1">
              <w:r w:rsidRPr="00227AF4">
                <w:rPr>
                  <w:rStyle w:val="Hyperlink"/>
                  <w:rFonts w:cs="Simplified Arabic"/>
                  <w:color w:val="000000"/>
                  <w:sz w:val="20"/>
                  <w:szCs w:val="20"/>
                </w:rPr>
                <w:t>www.pcbs.gov.ps</w:t>
              </w:r>
            </w:hyperlink>
          </w:p>
        </w:tc>
        <w:tc>
          <w:tcPr>
            <w:tcW w:w="1683" w:type="dxa"/>
            <w:shd w:val="clear" w:color="auto" w:fill="auto"/>
          </w:tcPr>
          <w:p w:rsidR="00281826" w:rsidRDefault="00281826" w:rsidP="00227AF4">
            <w:pPr>
              <w:jc w:val="right"/>
              <w:rPr>
                <w:rFonts w:cs="Simplified Arabic"/>
                <w:color w:val="000000"/>
                <w:sz w:val="20"/>
                <w:szCs w:val="20"/>
              </w:rPr>
            </w:pPr>
          </w:p>
          <w:p w:rsidR="008950A7" w:rsidRPr="00227AF4" w:rsidRDefault="00BE5FC8" w:rsidP="00227AF4">
            <w:pPr>
              <w:jc w:val="right"/>
              <w:rPr>
                <w:rFonts w:cs="Simplified Arabic"/>
                <w:color w:val="000000"/>
                <w:sz w:val="20"/>
                <w:szCs w:val="20"/>
              </w:rPr>
            </w:pPr>
            <w:r w:rsidRPr="00227AF4">
              <w:rPr>
                <w:rFonts w:cs="Simplified Arabic"/>
                <w:noProof/>
                <w:color w:val="000000"/>
                <w:sz w:val="20"/>
                <w:szCs w:val="20"/>
                <w:lang w:eastAsia="en-US"/>
              </w:rPr>
              <w:drawing>
                <wp:inline distT="0" distB="0" distL="0" distR="0">
                  <wp:extent cx="952500" cy="11811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tc>
      </w:tr>
    </w:tbl>
    <w:p w:rsidR="005B759C" w:rsidRPr="000B45D5" w:rsidRDefault="005B759C" w:rsidP="00DC2C5F">
      <w:pPr>
        <w:jc w:val="both"/>
        <w:rPr>
          <w:rFonts w:ascii="Simplified Arabic" w:hAnsi="Simplified Arabic" w:cs="Simplified Arabic"/>
          <w:color w:val="000000"/>
          <w:sz w:val="20"/>
          <w:szCs w:val="20"/>
          <w:rtl/>
        </w:rPr>
      </w:pPr>
    </w:p>
    <w:sectPr w:rsidR="005B759C" w:rsidRPr="000B45D5" w:rsidSect="00281826">
      <w:footerReference w:type="default" r:id="rId11"/>
      <w:pgSz w:w="11906" w:h="16838"/>
      <w:pgMar w:top="1134" w:right="1134"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DAC" w:rsidRDefault="00F51DAC" w:rsidP="00C07CAA">
      <w:r>
        <w:separator/>
      </w:r>
    </w:p>
  </w:endnote>
  <w:endnote w:type="continuationSeparator" w:id="0">
    <w:p w:rsidR="00F51DAC" w:rsidRDefault="00F51DAC" w:rsidP="00C0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oto Naskh Arabic">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AA" w:rsidRDefault="00DD33E8">
    <w:pPr>
      <w:pStyle w:val="Footer"/>
      <w:jc w:val="center"/>
    </w:pPr>
    <w:r>
      <w:fldChar w:fldCharType="begin"/>
    </w:r>
    <w:r>
      <w:instrText xml:space="preserve"> PAGE   \* MERGEFORMAT </w:instrText>
    </w:r>
    <w:r>
      <w:fldChar w:fldCharType="separate"/>
    </w:r>
    <w:r w:rsidR="00281826">
      <w:rPr>
        <w:noProof/>
        <w:rtl/>
      </w:rPr>
      <w:t>3</w:t>
    </w:r>
    <w:r>
      <w:rPr>
        <w:noProof/>
      </w:rPr>
      <w:fldChar w:fldCharType="end"/>
    </w:r>
  </w:p>
  <w:p w:rsidR="00C07CAA" w:rsidRDefault="00C0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DAC" w:rsidRDefault="00F51DAC" w:rsidP="00C07CAA">
      <w:r>
        <w:separator/>
      </w:r>
    </w:p>
  </w:footnote>
  <w:footnote w:type="continuationSeparator" w:id="0">
    <w:p w:rsidR="00F51DAC" w:rsidRDefault="00F51DAC" w:rsidP="00C0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AA"/>
    <w:rsid w:val="00002F67"/>
    <w:rsid w:val="00015D93"/>
    <w:rsid w:val="00015F92"/>
    <w:rsid w:val="00033F64"/>
    <w:rsid w:val="00065FCB"/>
    <w:rsid w:val="0006642F"/>
    <w:rsid w:val="000A09C4"/>
    <w:rsid w:val="000A2986"/>
    <w:rsid w:val="000B45D5"/>
    <w:rsid w:val="000D70F9"/>
    <w:rsid w:val="000E12FC"/>
    <w:rsid w:val="00117227"/>
    <w:rsid w:val="00120145"/>
    <w:rsid w:val="00124427"/>
    <w:rsid w:val="00130C63"/>
    <w:rsid w:val="0013481C"/>
    <w:rsid w:val="00153D99"/>
    <w:rsid w:val="00194720"/>
    <w:rsid w:val="001B0F4F"/>
    <w:rsid w:val="001B153B"/>
    <w:rsid w:val="001B1643"/>
    <w:rsid w:val="001B22F4"/>
    <w:rsid w:val="001C62C4"/>
    <w:rsid w:val="001E0949"/>
    <w:rsid w:val="002049BC"/>
    <w:rsid w:val="00217A81"/>
    <w:rsid w:val="00227AF4"/>
    <w:rsid w:val="0024203B"/>
    <w:rsid w:val="00245A3E"/>
    <w:rsid w:val="002563B2"/>
    <w:rsid w:val="00273BEB"/>
    <w:rsid w:val="00281826"/>
    <w:rsid w:val="00287043"/>
    <w:rsid w:val="002904E2"/>
    <w:rsid w:val="002A254C"/>
    <w:rsid w:val="002A4938"/>
    <w:rsid w:val="002D02A9"/>
    <w:rsid w:val="002D1BB0"/>
    <w:rsid w:val="002D6E14"/>
    <w:rsid w:val="00307713"/>
    <w:rsid w:val="00310B67"/>
    <w:rsid w:val="003171FF"/>
    <w:rsid w:val="003270AF"/>
    <w:rsid w:val="0032766D"/>
    <w:rsid w:val="00330A7C"/>
    <w:rsid w:val="00345DF2"/>
    <w:rsid w:val="003470BB"/>
    <w:rsid w:val="003479E9"/>
    <w:rsid w:val="00394336"/>
    <w:rsid w:val="003D2F05"/>
    <w:rsid w:val="003D65B9"/>
    <w:rsid w:val="003F41C6"/>
    <w:rsid w:val="0041190A"/>
    <w:rsid w:val="00412275"/>
    <w:rsid w:val="00415591"/>
    <w:rsid w:val="00436F2E"/>
    <w:rsid w:val="004478A2"/>
    <w:rsid w:val="00462524"/>
    <w:rsid w:val="00492FD9"/>
    <w:rsid w:val="00493112"/>
    <w:rsid w:val="004C1692"/>
    <w:rsid w:val="004C7FC1"/>
    <w:rsid w:val="004D1078"/>
    <w:rsid w:val="004D5CCC"/>
    <w:rsid w:val="004F0333"/>
    <w:rsid w:val="00501107"/>
    <w:rsid w:val="00510611"/>
    <w:rsid w:val="00517D3F"/>
    <w:rsid w:val="00542902"/>
    <w:rsid w:val="00556183"/>
    <w:rsid w:val="00556303"/>
    <w:rsid w:val="00580EE4"/>
    <w:rsid w:val="005834BC"/>
    <w:rsid w:val="0059699E"/>
    <w:rsid w:val="005B52E9"/>
    <w:rsid w:val="005B759C"/>
    <w:rsid w:val="005D20F3"/>
    <w:rsid w:val="005D4AB4"/>
    <w:rsid w:val="005F2BA6"/>
    <w:rsid w:val="006110C0"/>
    <w:rsid w:val="00636FDE"/>
    <w:rsid w:val="00654377"/>
    <w:rsid w:val="006652B7"/>
    <w:rsid w:val="006775DD"/>
    <w:rsid w:val="006853B2"/>
    <w:rsid w:val="006B207F"/>
    <w:rsid w:val="006B27C7"/>
    <w:rsid w:val="006C0C1B"/>
    <w:rsid w:val="006C14E0"/>
    <w:rsid w:val="006C4E26"/>
    <w:rsid w:val="006D1E25"/>
    <w:rsid w:val="006E210B"/>
    <w:rsid w:val="00706E08"/>
    <w:rsid w:val="007352B8"/>
    <w:rsid w:val="00755B9F"/>
    <w:rsid w:val="0078738A"/>
    <w:rsid w:val="00791581"/>
    <w:rsid w:val="007C3F50"/>
    <w:rsid w:val="007D439C"/>
    <w:rsid w:val="00846EF2"/>
    <w:rsid w:val="008525A8"/>
    <w:rsid w:val="008607CB"/>
    <w:rsid w:val="00872D8F"/>
    <w:rsid w:val="00890BD0"/>
    <w:rsid w:val="00892D0D"/>
    <w:rsid w:val="008950A7"/>
    <w:rsid w:val="008B0E75"/>
    <w:rsid w:val="008B13C2"/>
    <w:rsid w:val="008B6C53"/>
    <w:rsid w:val="008D2A7C"/>
    <w:rsid w:val="008D612E"/>
    <w:rsid w:val="008E7F64"/>
    <w:rsid w:val="008F4BF1"/>
    <w:rsid w:val="0091406D"/>
    <w:rsid w:val="00922061"/>
    <w:rsid w:val="00923DB5"/>
    <w:rsid w:val="00952400"/>
    <w:rsid w:val="009917D8"/>
    <w:rsid w:val="009B0AB8"/>
    <w:rsid w:val="009B26B5"/>
    <w:rsid w:val="009D72F6"/>
    <w:rsid w:val="009E00C4"/>
    <w:rsid w:val="009E612C"/>
    <w:rsid w:val="009F5339"/>
    <w:rsid w:val="00A7181C"/>
    <w:rsid w:val="00A876AE"/>
    <w:rsid w:val="00A93969"/>
    <w:rsid w:val="00A95E20"/>
    <w:rsid w:val="00AA4F66"/>
    <w:rsid w:val="00AB15EF"/>
    <w:rsid w:val="00AC4959"/>
    <w:rsid w:val="00AD10A9"/>
    <w:rsid w:val="00AD4373"/>
    <w:rsid w:val="00AD7D0A"/>
    <w:rsid w:val="00B0406E"/>
    <w:rsid w:val="00B20594"/>
    <w:rsid w:val="00B37153"/>
    <w:rsid w:val="00B3792D"/>
    <w:rsid w:val="00B55382"/>
    <w:rsid w:val="00B55427"/>
    <w:rsid w:val="00BE03BE"/>
    <w:rsid w:val="00BE5FC8"/>
    <w:rsid w:val="00BE7BC0"/>
    <w:rsid w:val="00BF5477"/>
    <w:rsid w:val="00C07CAA"/>
    <w:rsid w:val="00C55F01"/>
    <w:rsid w:val="00C632BF"/>
    <w:rsid w:val="00C65E3A"/>
    <w:rsid w:val="00C72365"/>
    <w:rsid w:val="00C97ACB"/>
    <w:rsid w:val="00CD7BB4"/>
    <w:rsid w:val="00CE637B"/>
    <w:rsid w:val="00D006E3"/>
    <w:rsid w:val="00D17B55"/>
    <w:rsid w:val="00D60527"/>
    <w:rsid w:val="00D6503C"/>
    <w:rsid w:val="00D678F6"/>
    <w:rsid w:val="00D760FF"/>
    <w:rsid w:val="00D76116"/>
    <w:rsid w:val="00D932A8"/>
    <w:rsid w:val="00D97657"/>
    <w:rsid w:val="00DB684B"/>
    <w:rsid w:val="00DC158B"/>
    <w:rsid w:val="00DC2C5F"/>
    <w:rsid w:val="00DD33E8"/>
    <w:rsid w:val="00DE0C9A"/>
    <w:rsid w:val="00DF3C17"/>
    <w:rsid w:val="00DF4404"/>
    <w:rsid w:val="00E32B9E"/>
    <w:rsid w:val="00E5290E"/>
    <w:rsid w:val="00E837AB"/>
    <w:rsid w:val="00E85808"/>
    <w:rsid w:val="00EB180E"/>
    <w:rsid w:val="00EB6E98"/>
    <w:rsid w:val="00ED6055"/>
    <w:rsid w:val="00F00C8E"/>
    <w:rsid w:val="00F257DD"/>
    <w:rsid w:val="00F3077B"/>
    <w:rsid w:val="00F51DAC"/>
    <w:rsid w:val="00F62319"/>
    <w:rsid w:val="00F62F8F"/>
    <w:rsid w:val="00F64E21"/>
    <w:rsid w:val="00F66142"/>
    <w:rsid w:val="00F8774E"/>
    <w:rsid w:val="00F9696A"/>
    <w:rsid w:val="00FC4B76"/>
    <w:rsid w:val="00FD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8354"/>
  <w15:docId w15:val="{FE17C6C5-C4E9-4FB2-A8E8-65209E60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AA"/>
    <w:pPr>
      <w:bidi/>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194720"/>
    <w:pPr>
      <w:keepNext/>
      <w:keepLines/>
      <w:spacing w:before="40"/>
      <w:outlineLvl w:val="1"/>
    </w:pPr>
    <w:rPr>
      <w:rFonts w:ascii="Cambria" w:hAnsi="Cambria"/>
      <w:color w:val="365F91"/>
      <w:sz w:val="26"/>
      <w:szCs w:val="26"/>
    </w:rPr>
  </w:style>
  <w:style w:type="paragraph" w:styleId="Heading4">
    <w:name w:val="heading 4"/>
    <w:basedOn w:val="Normal"/>
    <w:next w:val="Normal"/>
    <w:link w:val="Heading4Char"/>
    <w:qFormat/>
    <w:rsid w:val="00C07CAA"/>
    <w:pPr>
      <w:keepNext/>
      <w:jc w:val="lowKashida"/>
      <w:outlineLvl w:val="3"/>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C07CAA"/>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C07CAA"/>
    <w:pPr>
      <w:jc w:val="lowKashida"/>
    </w:pPr>
    <w:rPr>
      <w:rFonts w:cs="Simplified Arabic"/>
      <w:snapToGrid w:val="0"/>
      <w:sz w:val="20"/>
      <w:szCs w:val="20"/>
      <w:lang w:eastAsia="en-US"/>
    </w:rPr>
  </w:style>
  <w:style w:type="character" w:customStyle="1" w:styleId="BodyTextChar">
    <w:name w:val="Body Text Char"/>
    <w:link w:val="BodyText"/>
    <w:semiHidden/>
    <w:rsid w:val="00C07CAA"/>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C07CAA"/>
    <w:pPr>
      <w:tabs>
        <w:tab w:val="center" w:pos="4320"/>
        <w:tab w:val="right" w:pos="8640"/>
      </w:tabs>
    </w:pPr>
    <w:rPr>
      <w:rFonts w:cs="Traditional Arabic"/>
      <w:snapToGrid w:val="0"/>
      <w:sz w:val="20"/>
      <w:szCs w:val="20"/>
      <w:lang w:eastAsia="en-US"/>
    </w:rPr>
  </w:style>
  <w:style w:type="character" w:customStyle="1" w:styleId="HeaderChar">
    <w:name w:val="Header Char"/>
    <w:link w:val="Header"/>
    <w:uiPriority w:val="99"/>
    <w:rsid w:val="00C07CAA"/>
    <w:rPr>
      <w:rFonts w:ascii="Times New Roman" w:eastAsia="Times New Roman" w:hAnsi="Times New Roman" w:cs="Traditional Arabic"/>
      <w:snapToGrid w:val="0"/>
      <w:sz w:val="20"/>
      <w:szCs w:val="20"/>
    </w:rPr>
  </w:style>
  <w:style w:type="character" w:styleId="Hyperlink">
    <w:name w:val="Hyperlink"/>
    <w:uiPriority w:val="99"/>
    <w:rsid w:val="00C07CAA"/>
    <w:rPr>
      <w:color w:val="0000FF"/>
      <w:u w:val="single"/>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C07CAA"/>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C07CAA"/>
    <w:rPr>
      <w:rFonts w:ascii="Times New Roman" w:eastAsia="Times New Roman" w:hAnsi="Times New Roman" w:cs="Times New Roman"/>
      <w:sz w:val="24"/>
      <w:szCs w:val="24"/>
      <w:lang w:eastAsia="ar-SA"/>
    </w:rPr>
  </w:style>
  <w:style w:type="paragraph" w:styleId="NoSpacing">
    <w:name w:val="No Spacing"/>
    <w:uiPriority w:val="1"/>
    <w:qFormat/>
    <w:rsid w:val="00C07CAA"/>
    <w:pPr>
      <w:bidi/>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07CAA"/>
    <w:rPr>
      <w:rFonts w:ascii="Tahoma" w:hAnsi="Tahoma" w:cs="Tahoma"/>
      <w:sz w:val="16"/>
      <w:szCs w:val="16"/>
    </w:rPr>
  </w:style>
  <w:style w:type="character" w:customStyle="1" w:styleId="BalloonTextChar">
    <w:name w:val="Balloon Text Char"/>
    <w:link w:val="BalloonText"/>
    <w:uiPriority w:val="99"/>
    <w:semiHidden/>
    <w:rsid w:val="00C07CAA"/>
    <w:rPr>
      <w:rFonts w:ascii="Tahoma" w:eastAsia="Times New Roman" w:hAnsi="Tahoma" w:cs="Tahoma"/>
      <w:sz w:val="16"/>
      <w:szCs w:val="16"/>
      <w:lang w:eastAsia="ar-SA"/>
    </w:rPr>
  </w:style>
  <w:style w:type="paragraph" w:styleId="Footer">
    <w:name w:val="footer"/>
    <w:basedOn w:val="Normal"/>
    <w:link w:val="FooterChar"/>
    <w:uiPriority w:val="99"/>
    <w:unhideWhenUsed/>
    <w:rsid w:val="00C07CAA"/>
    <w:pPr>
      <w:tabs>
        <w:tab w:val="center" w:pos="4153"/>
        <w:tab w:val="right" w:pos="8306"/>
      </w:tabs>
    </w:pPr>
  </w:style>
  <w:style w:type="character" w:customStyle="1" w:styleId="FooterChar">
    <w:name w:val="Footer Char"/>
    <w:link w:val="Footer"/>
    <w:uiPriority w:val="99"/>
    <w:rsid w:val="00C07CAA"/>
    <w:rPr>
      <w:rFonts w:ascii="Times New Roman" w:eastAsia="Times New Roman" w:hAnsi="Times New Roman" w:cs="Times New Roman"/>
      <w:sz w:val="24"/>
      <w:szCs w:val="24"/>
      <w:lang w:eastAsia="ar-SA"/>
    </w:rPr>
  </w:style>
  <w:style w:type="character" w:customStyle="1" w:styleId="Heading2Char">
    <w:name w:val="Heading 2 Char"/>
    <w:link w:val="Heading2"/>
    <w:uiPriority w:val="9"/>
    <w:rsid w:val="00194720"/>
    <w:rPr>
      <w:rFonts w:ascii="Cambria" w:eastAsia="Times New Roman" w:hAnsi="Cambria" w:cs="Times New Roman"/>
      <w:color w:val="365F91"/>
      <w:sz w:val="26"/>
      <w:szCs w:val="26"/>
      <w:lang w:eastAsia="ar-SA"/>
    </w:rPr>
  </w:style>
  <w:style w:type="paragraph" w:styleId="NormalWeb">
    <w:name w:val="Normal (Web)"/>
    <w:basedOn w:val="Normal"/>
    <w:uiPriority w:val="99"/>
    <w:semiHidden/>
    <w:unhideWhenUsed/>
    <w:rsid w:val="00194720"/>
    <w:pPr>
      <w:bidi w:val="0"/>
      <w:spacing w:after="180"/>
    </w:pPr>
    <w:rPr>
      <w:rFonts w:ascii="Noto Naskh Arabic" w:hAnsi="Noto Naskh Arabic"/>
      <w:color w:val="454545"/>
      <w:spacing w:val="-5"/>
      <w:lang w:eastAsia="en-US"/>
    </w:rPr>
  </w:style>
  <w:style w:type="character" w:styleId="Strong">
    <w:name w:val="Strong"/>
    <w:uiPriority w:val="22"/>
    <w:qFormat/>
    <w:rsid w:val="00287043"/>
    <w:rPr>
      <w:b/>
      <w:bCs/>
    </w:rPr>
  </w:style>
  <w:style w:type="table" w:styleId="TableGrid">
    <w:name w:val="Table Grid"/>
    <w:basedOn w:val="TableNormal"/>
    <w:uiPriority w:val="59"/>
    <w:rsid w:val="008950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3077B"/>
    <w:rPr>
      <w:sz w:val="16"/>
      <w:szCs w:val="16"/>
    </w:rPr>
  </w:style>
  <w:style w:type="paragraph" w:styleId="CommentText">
    <w:name w:val="annotation text"/>
    <w:basedOn w:val="Normal"/>
    <w:link w:val="CommentTextChar"/>
    <w:uiPriority w:val="99"/>
    <w:semiHidden/>
    <w:unhideWhenUsed/>
    <w:rsid w:val="00F3077B"/>
    <w:rPr>
      <w:sz w:val="20"/>
      <w:szCs w:val="20"/>
    </w:rPr>
  </w:style>
  <w:style w:type="character" w:customStyle="1" w:styleId="CommentTextChar">
    <w:name w:val="Comment Text Char"/>
    <w:link w:val="CommentText"/>
    <w:uiPriority w:val="99"/>
    <w:semiHidden/>
    <w:rsid w:val="00F3077B"/>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F3077B"/>
    <w:rPr>
      <w:b/>
      <w:bCs/>
    </w:rPr>
  </w:style>
  <w:style w:type="character" w:customStyle="1" w:styleId="CommentSubjectChar">
    <w:name w:val="Comment Subject Char"/>
    <w:link w:val="CommentSubject"/>
    <w:uiPriority w:val="99"/>
    <w:semiHidden/>
    <w:rsid w:val="00F3077B"/>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509">
      <w:bodyDiv w:val="1"/>
      <w:marLeft w:val="0"/>
      <w:marRight w:val="0"/>
      <w:marTop w:val="0"/>
      <w:marBottom w:val="0"/>
      <w:divBdr>
        <w:top w:val="none" w:sz="0" w:space="0" w:color="auto"/>
        <w:left w:val="none" w:sz="0" w:space="0" w:color="auto"/>
        <w:bottom w:val="none" w:sz="0" w:space="0" w:color="auto"/>
        <w:right w:val="none" w:sz="0" w:space="0" w:color="auto"/>
      </w:divBdr>
      <w:divsChild>
        <w:div w:id="1649899542">
          <w:marLeft w:val="0"/>
          <w:marRight w:val="0"/>
          <w:marTop w:val="0"/>
          <w:marBottom w:val="0"/>
          <w:divBdr>
            <w:top w:val="none" w:sz="0" w:space="0" w:color="auto"/>
            <w:left w:val="none" w:sz="0" w:space="0" w:color="auto"/>
            <w:bottom w:val="none" w:sz="0" w:space="0" w:color="auto"/>
            <w:right w:val="none" w:sz="0" w:space="0" w:color="auto"/>
          </w:divBdr>
          <w:divsChild>
            <w:div w:id="640615020">
              <w:marLeft w:val="0"/>
              <w:marRight w:val="0"/>
              <w:marTop w:val="0"/>
              <w:marBottom w:val="0"/>
              <w:divBdr>
                <w:top w:val="none" w:sz="0" w:space="0" w:color="auto"/>
                <w:left w:val="none" w:sz="0" w:space="0" w:color="auto"/>
                <w:bottom w:val="none" w:sz="0" w:space="0" w:color="auto"/>
                <w:right w:val="none" w:sz="0" w:space="0" w:color="auto"/>
              </w:divBdr>
              <w:divsChild>
                <w:div w:id="555823028">
                  <w:marLeft w:val="-225"/>
                  <w:marRight w:val="-225"/>
                  <w:marTop w:val="0"/>
                  <w:marBottom w:val="0"/>
                  <w:divBdr>
                    <w:top w:val="none" w:sz="0" w:space="0" w:color="auto"/>
                    <w:left w:val="none" w:sz="0" w:space="0" w:color="auto"/>
                    <w:bottom w:val="none" w:sz="0" w:space="0" w:color="auto"/>
                    <w:right w:val="none" w:sz="0" w:space="0" w:color="auto"/>
                  </w:divBdr>
                  <w:divsChild>
                    <w:div w:id="1536380377">
                      <w:marLeft w:val="0"/>
                      <w:marRight w:val="0"/>
                      <w:marTop w:val="0"/>
                      <w:marBottom w:val="0"/>
                      <w:divBdr>
                        <w:top w:val="none" w:sz="0" w:space="0" w:color="auto"/>
                        <w:left w:val="none" w:sz="0" w:space="0" w:color="auto"/>
                        <w:bottom w:val="none" w:sz="0" w:space="0" w:color="auto"/>
                        <w:right w:val="none" w:sz="0" w:space="0" w:color="auto"/>
                      </w:divBdr>
                      <w:divsChild>
                        <w:div w:id="303195045">
                          <w:marLeft w:val="0"/>
                          <w:marRight w:val="0"/>
                          <w:marTop w:val="0"/>
                          <w:marBottom w:val="0"/>
                          <w:divBdr>
                            <w:top w:val="none" w:sz="0" w:space="0" w:color="auto"/>
                            <w:left w:val="none" w:sz="0" w:space="0" w:color="auto"/>
                            <w:bottom w:val="none" w:sz="0" w:space="0" w:color="auto"/>
                            <w:right w:val="none" w:sz="0" w:space="0" w:color="auto"/>
                          </w:divBdr>
                          <w:divsChild>
                            <w:div w:id="943464127">
                              <w:marLeft w:val="-225"/>
                              <w:marRight w:val="-225"/>
                              <w:marTop w:val="0"/>
                              <w:marBottom w:val="0"/>
                              <w:divBdr>
                                <w:top w:val="none" w:sz="0" w:space="0" w:color="auto"/>
                                <w:left w:val="none" w:sz="0" w:space="0" w:color="auto"/>
                                <w:bottom w:val="none" w:sz="0" w:space="0" w:color="auto"/>
                                <w:right w:val="none" w:sz="0" w:space="0" w:color="auto"/>
                              </w:divBdr>
                              <w:divsChild>
                                <w:div w:id="382366342">
                                  <w:marLeft w:val="0"/>
                                  <w:marRight w:val="0"/>
                                  <w:marTop w:val="0"/>
                                  <w:marBottom w:val="0"/>
                                  <w:divBdr>
                                    <w:top w:val="none" w:sz="0" w:space="0" w:color="auto"/>
                                    <w:left w:val="none" w:sz="0" w:space="0" w:color="auto"/>
                                    <w:bottom w:val="none" w:sz="0" w:space="0" w:color="auto"/>
                                    <w:right w:val="none" w:sz="0" w:space="0" w:color="auto"/>
                                  </w:divBdr>
                                  <w:divsChild>
                                    <w:div w:id="150755181">
                                      <w:marLeft w:val="0"/>
                                      <w:marRight w:val="0"/>
                                      <w:marTop w:val="0"/>
                                      <w:marBottom w:val="0"/>
                                      <w:divBdr>
                                        <w:top w:val="none" w:sz="0" w:space="0" w:color="auto"/>
                                        <w:left w:val="none" w:sz="0" w:space="0" w:color="auto"/>
                                        <w:bottom w:val="none" w:sz="0" w:space="0" w:color="auto"/>
                                        <w:right w:val="none" w:sz="0" w:space="0" w:color="auto"/>
                                      </w:divBdr>
                                      <w:divsChild>
                                        <w:div w:id="449016176">
                                          <w:marLeft w:val="0"/>
                                          <w:marRight w:val="0"/>
                                          <w:marTop w:val="0"/>
                                          <w:marBottom w:val="0"/>
                                          <w:divBdr>
                                            <w:top w:val="none" w:sz="0" w:space="0" w:color="auto"/>
                                            <w:left w:val="none" w:sz="0" w:space="0" w:color="auto"/>
                                            <w:bottom w:val="none" w:sz="0" w:space="0" w:color="auto"/>
                                            <w:right w:val="none" w:sz="0" w:space="0" w:color="auto"/>
                                          </w:divBdr>
                                          <w:divsChild>
                                            <w:div w:id="604381904">
                                              <w:marLeft w:val="0"/>
                                              <w:marRight w:val="0"/>
                                              <w:marTop w:val="0"/>
                                              <w:marBottom w:val="0"/>
                                              <w:divBdr>
                                                <w:top w:val="none" w:sz="0" w:space="0" w:color="auto"/>
                                                <w:left w:val="none" w:sz="0" w:space="0" w:color="auto"/>
                                                <w:bottom w:val="none" w:sz="0" w:space="0" w:color="auto"/>
                                                <w:right w:val="none" w:sz="0" w:space="0" w:color="auto"/>
                                              </w:divBdr>
                                              <w:divsChild>
                                                <w:div w:id="1474101506">
                                                  <w:marLeft w:val="0"/>
                                                  <w:marRight w:val="0"/>
                                                  <w:marTop w:val="0"/>
                                                  <w:marBottom w:val="0"/>
                                                  <w:divBdr>
                                                    <w:top w:val="none" w:sz="0" w:space="0" w:color="auto"/>
                                                    <w:left w:val="none" w:sz="0" w:space="0" w:color="auto"/>
                                                    <w:bottom w:val="none" w:sz="0" w:space="0" w:color="auto"/>
                                                    <w:right w:val="none" w:sz="0" w:space="0" w:color="auto"/>
                                                  </w:divBdr>
                                                  <w:divsChild>
                                                    <w:div w:id="548348075">
                                                      <w:marLeft w:val="0"/>
                                                      <w:marRight w:val="0"/>
                                                      <w:marTop w:val="0"/>
                                                      <w:marBottom w:val="0"/>
                                                      <w:divBdr>
                                                        <w:top w:val="none" w:sz="0" w:space="0" w:color="auto"/>
                                                        <w:left w:val="none" w:sz="0" w:space="0" w:color="auto"/>
                                                        <w:bottom w:val="none" w:sz="0" w:space="0" w:color="auto"/>
                                                        <w:right w:val="none" w:sz="0" w:space="0" w:color="auto"/>
                                                      </w:divBdr>
                                                      <w:divsChild>
                                                        <w:div w:id="420680573">
                                                          <w:marLeft w:val="0"/>
                                                          <w:marRight w:val="0"/>
                                                          <w:marTop w:val="0"/>
                                                          <w:marBottom w:val="0"/>
                                                          <w:divBdr>
                                                            <w:top w:val="none" w:sz="0" w:space="0" w:color="auto"/>
                                                            <w:left w:val="none" w:sz="0" w:space="0" w:color="auto"/>
                                                            <w:bottom w:val="none" w:sz="0" w:space="0" w:color="auto"/>
                                                            <w:right w:val="none" w:sz="0" w:space="0" w:color="auto"/>
                                                          </w:divBdr>
                                                          <w:divsChild>
                                                            <w:div w:id="187525511">
                                                              <w:marLeft w:val="0"/>
                                                              <w:marRight w:val="0"/>
                                                              <w:marTop w:val="0"/>
                                                              <w:marBottom w:val="0"/>
                                                              <w:divBdr>
                                                                <w:top w:val="none" w:sz="0" w:space="0" w:color="auto"/>
                                                                <w:left w:val="none" w:sz="0" w:space="0" w:color="auto"/>
                                                                <w:bottom w:val="none" w:sz="0" w:space="0" w:color="auto"/>
                                                                <w:right w:val="none" w:sz="0" w:space="0" w:color="auto"/>
                                                              </w:divBdr>
                                                              <w:divsChild>
                                                                <w:div w:id="6998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3052393">
      <w:bodyDiv w:val="1"/>
      <w:marLeft w:val="0"/>
      <w:marRight w:val="0"/>
      <w:marTop w:val="0"/>
      <w:marBottom w:val="0"/>
      <w:divBdr>
        <w:top w:val="none" w:sz="0" w:space="0" w:color="auto"/>
        <w:left w:val="none" w:sz="0" w:space="0" w:color="auto"/>
        <w:bottom w:val="none" w:sz="0" w:space="0" w:color="auto"/>
        <w:right w:val="none" w:sz="0" w:space="0" w:color="auto"/>
      </w:divBdr>
    </w:div>
    <w:div w:id="980309028">
      <w:bodyDiv w:val="1"/>
      <w:marLeft w:val="0"/>
      <w:marRight w:val="0"/>
      <w:marTop w:val="0"/>
      <w:marBottom w:val="0"/>
      <w:divBdr>
        <w:top w:val="none" w:sz="0" w:space="0" w:color="auto"/>
        <w:left w:val="none" w:sz="0" w:space="0" w:color="auto"/>
        <w:bottom w:val="none" w:sz="0" w:space="0" w:color="auto"/>
        <w:right w:val="none" w:sz="0" w:space="0" w:color="auto"/>
      </w:divBdr>
    </w:div>
    <w:div w:id="998071483">
      <w:bodyDiv w:val="1"/>
      <w:marLeft w:val="0"/>
      <w:marRight w:val="0"/>
      <w:marTop w:val="0"/>
      <w:marBottom w:val="0"/>
      <w:divBdr>
        <w:top w:val="none" w:sz="0" w:space="0" w:color="auto"/>
        <w:left w:val="none" w:sz="0" w:space="0" w:color="auto"/>
        <w:bottom w:val="none" w:sz="0" w:space="0" w:color="auto"/>
        <w:right w:val="none" w:sz="0" w:space="0" w:color="auto"/>
      </w:divBdr>
    </w:div>
    <w:div w:id="1163663492">
      <w:bodyDiv w:val="1"/>
      <w:marLeft w:val="0"/>
      <w:marRight w:val="0"/>
      <w:marTop w:val="0"/>
      <w:marBottom w:val="0"/>
      <w:divBdr>
        <w:top w:val="none" w:sz="0" w:space="0" w:color="auto"/>
        <w:left w:val="none" w:sz="0" w:space="0" w:color="auto"/>
        <w:bottom w:val="none" w:sz="0" w:space="0" w:color="auto"/>
        <w:right w:val="none" w:sz="0" w:space="0" w:color="auto"/>
      </w:divBdr>
    </w:div>
    <w:div w:id="1189837332">
      <w:bodyDiv w:val="1"/>
      <w:marLeft w:val="0"/>
      <w:marRight w:val="0"/>
      <w:marTop w:val="0"/>
      <w:marBottom w:val="0"/>
      <w:divBdr>
        <w:top w:val="none" w:sz="0" w:space="0" w:color="auto"/>
        <w:left w:val="none" w:sz="0" w:space="0" w:color="auto"/>
        <w:bottom w:val="none" w:sz="0" w:space="0" w:color="auto"/>
        <w:right w:val="none" w:sz="0" w:space="0" w:color="auto"/>
      </w:divBdr>
    </w:div>
    <w:div w:id="14863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org/ar/documents/viewdoc.asp?docnumber=A/RES/54/1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cbs.gov.p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14111523964102"/>
          <c:y val="0"/>
          <c:w val="0.73700322383041128"/>
          <c:h val="1"/>
        </c:manualLayout>
      </c:layout>
      <c:barChart>
        <c:barDir val="col"/>
        <c:grouping val="clustered"/>
        <c:varyColors val="0"/>
        <c:ser>
          <c:idx val="0"/>
          <c:order val="0"/>
          <c:tx>
            <c:strRef>
              <c:f>Sheet1!$B$1</c:f>
              <c:strCache>
                <c:ptCount val="1"/>
                <c:pt idx="0">
                  <c:v>النسبة</c:v>
                </c:pt>
              </c:strCache>
            </c:strRef>
          </c:tx>
          <c:spPr>
            <a:solidFill>
              <a:srgbClr val="5B9BD5"/>
            </a:solidFill>
            <a:ln w="25402">
              <a:noFill/>
            </a:ln>
          </c:spPr>
          <c:invertIfNegative val="0"/>
          <c:dLbls>
            <c:spPr>
              <a:noFill/>
              <a:ln w="2540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17-0</c:v>
                </c:pt>
                <c:pt idx="1">
                  <c:v>29-18</c:v>
                </c:pt>
                <c:pt idx="2">
                  <c:v>59-30</c:v>
                </c:pt>
                <c:pt idx="3">
                  <c:v>60+</c:v>
                </c:pt>
              </c:strCache>
            </c:strRef>
          </c:cat>
          <c:val>
            <c:numRef>
              <c:f>Sheet1!$B$2:$B$5</c:f>
              <c:numCache>
                <c:formatCode>#,##0.0</c:formatCode>
                <c:ptCount val="4"/>
                <c:pt idx="0">
                  <c:v>43.7</c:v>
                </c:pt>
                <c:pt idx="1">
                  <c:v>21.6</c:v>
                </c:pt>
                <c:pt idx="2">
                  <c:v>29</c:v>
                </c:pt>
                <c:pt idx="3">
                  <c:v>5.7</c:v>
                </c:pt>
              </c:numCache>
            </c:numRef>
          </c:val>
          <c:extLst>
            <c:ext xmlns:c16="http://schemas.microsoft.com/office/drawing/2014/chart" uri="{C3380CC4-5D6E-409C-BE32-E72D297353CC}">
              <c16:uniqueId val="{00000000-5604-400A-9DB9-200B889C7B97}"/>
            </c:ext>
          </c:extLst>
        </c:ser>
        <c:dLbls>
          <c:showLegendKey val="0"/>
          <c:showVal val="0"/>
          <c:showCatName val="0"/>
          <c:showSerName val="0"/>
          <c:showPercent val="0"/>
          <c:showBubbleSize val="0"/>
        </c:dLbls>
        <c:gapWidth val="219"/>
        <c:axId val="185829680"/>
        <c:axId val="1"/>
      </c:barChart>
      <c:catAx>
        <c:axId val="18582968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l"/>
        <c:majorGridlines>
          <c:spPr>
            <a:ln w="9526"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85829680"/>
        <c:crosses val="autoZero"/>
        <c:crossBetween val="between"/>
      </c:valAx>
      <c:spPr>
        <a:noFill/>
        <a:ln w="25402">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16975-6977-437F-9A8F-8595E47E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458779</vt:i4>
      </vt:variant>
      <vt:variant>
        <vt:i4>0</vt:i4>
      </vt:variant>
      <vt:variant>
        <vt:i4>0</vt:i4>
      </vt:variant>
      <vt:variant>
        <vt:i4>5</vt:i4>
      </vt:variant>
      <vt:variant>
        <vt:lpwstr>http://www.un.org/ar/documents/viewdoc.asp?docnumber=A/RES/54/120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cp:lastModifiedBy>Hadeel Badran</cp:lastModifiedBy>
  <cp:revision>3</cp:revision>
  <cp:lastPrinted>2023-08-09T06:02:00Z</cp:lastPrinted>
  <dcterms:created xsi:type="dcterms:W3CDTF">2023-07-31T11:21:00Z</dcterms:created>
  <dcterms:modified xsi:type="dcterms:W3CDTF">2023-08-09T06:03:00Z</dcterms:modified>
</cp:coreProperties>
</file>