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72" w:rsidRDefault="005D7C72" w:rsidP="005D7C72">
      <w:pPr>
        <w:pStyle w:val="Heading3"/>
        <w:bidi w:val="0"/>
        <w:jc w:val="center"/>
        <w:rPr>
          <w:color w:val="000000"/>
          <w:sz w:val="32"/>
          <w:szCs w:val="32"/>
          <w:u w:val="none"/>
        </w:rPr>
      </w:pPr>
    </w:p>
    <w:p w:rsidR="005D7C72" w:rsidRDefault="005D7C72" w:rsidP="005D7C72">
      <w:pPr>
        <w:pStyle w:val="Heading3"/>
        <w:bidi w:val="0"/>
        <w:jc w:val="center"/>
        <w:rPr>
          <w:rFonts w:ascii="Simplified Arabic" w:hAnsi="Simplified Arabic" w:cs="Simplified Arabic"/>
          <w:color w:val="000000"/>
          <w:sz w:val="32"/>
          <w:szCs w:val="32"/>
          <w:u w:val="none"/>
        </w:rPr>
      </w:pPr>
      <w:r>
        <w:rPr>
          <w:color w:val="000000"/>
          <w:sz w:val="32"/>
          <w:szCs w:val="32"/>
          <w:u w:val="none"/>
        </w:rPr>
        <w:t xml:space="preserve">Palestinian </w:t>
      </w:r>
      <w:r w:rsidRPr="005D7C72">
        <w:rPr>
          <w:sz w:val="32"/>
          <w:szCs w:val="32"/>
          <w:u w:val="none"/>
        </w:rPr>
        <w:t>Central</w:t>
      </w:r>
      <w:r>
        <w:rPr>
          <w:color w:val="000000"/>
          <w:sz w:val="32"/>
          <w:szCs w:val="32"/>
          <w:u w:val="none"/>
        </w:rPr>
        <w:t xml:space="preserve"> Bureau of Statistics (PCBS)</w:t>
      </w:r>
    </w:p>
    <w:p w:rsidR="00D9559F" w:rsidRPr="005D7C72" w:rsidRDefault="00D9559F" w:rsidP="005D7C72">
      <w:pPr>
        <w:pStyle w:val="Heading7"/>
        <w:bidi w:val="0"/>
        <w:ind w:right="-110"/>
        <w:jc w:val="center"/>
        <w:rPr>
          <w:lang w:val="en-GB"/>
        </w:rPr>
      </w:pPr>
    </w:p>
    <w:p w:rsidR="00D9559F" w:rsidRPr="005D7C72" w:rsidRDefault="00D9559F" w:rsidP="005D7C72">
      <w:pPr>
        <w:pStyle w:val="Heading7"/>
        <w:bidi w:val="0"/>
        <w:ind w:right="-110"/>
        <w:jc w:val="center"/>
        <w:rPr>
          <w:rFonts w:cs="Times New Roman"/>
          <w:sz w:val="28"/>
          <w:szCs w:val="28"/>
          <w:lang w:eastAsia="en-US"/>
        </w:rPr>
      </w:pPr>
      <w:r w:rsidRPr="005D7C72">
        <w:rPr>
          <w:sz w:val="28"/>
          <w:szCs w:val="28"/>
        </w:rPr>
        <w:t>Gross Domestic Product</w:t>
      </w:r>
      <w:r w:rsidRPr="005D7C72">
        <w:rPr>
          <w:rFonts w:cs="Times New Roman"/>
          <w:sz w:val="28"/>
          <w:szCs w:val="28"/>
          <w:lang w:eastAsia="en-US"/>
        </w:rPr>
        <w:t xml:space="preserve"> (GDP) at constant prices decreased by </w:t>
      </w:r>
      <w:r w:rsidRPr="005D7C72">
        <w:rPr>
          <w:rFonts w:cs="Times New Roman" w:hint="cs"/>
          <w:sz w:val="28"/>
          <w:szCs w:val="28"/>
          <w:rtl/>
          <w:lang w:eastAsia="en-US"/>
        </w:rPr>
        <w:t>3</w:t>
      </w:r>
      <w:r w:rsidRPr="005D7C72">
        <w:rPr>
          <w:rFonts w:cs="Times New Roman"/>
          <w:sz w:val="28"/>
          <w:szCs w:val="28"/>
          <w:lang w:eastAsia="en-US"/>
        </w:rPr>
        <w:t xml:space="preserve">% in  the West Bank and </w:t>
      </w:r>
      <w:r w:rsidRPr="005D7C72">
        <w:rPr>
          <w:rFonts w:cs="Times New Roman" w:hint="cs"/>
          <w:sz w:val="28"/>
          <w:szCs w:val="28"/>
          <w:rtl/>
          <w:lang w:eastAsia="en-US"/>
        </w:rPr>
        <w:t>0.3</w:t>
      </w:r>
      <w:r w:rsidRPr="005D7C72">
        <w:rPr>
          <w:rFonts w:cs="Times New Roman"/>
          <w:sz w:val="28"/>
          <w:szCs w:val="28"/>
          <w:lang w:eastAsia="en-US"/>
        </w:rPr>
        <w:t xml:space="preserve">% in Gaza Strip during the </w:t>
      </w:r>
      <w:r w:rsidRPr="005D7C72">
        <w:rPr>
          <w:sz w:val="28"/>
          <w:szCs w:val="28"/>
          <w:lang w:eastAsia="en-US"/>
        </w:rPr>
        <w:t>1</w:t>
      </w:r>
      <w:r w:rsidRPr="005D7C72">
        <w:rPr>
          <w:sz w:val="28"/>
          <w:szCs w:val="28"/>
          <w:vertAlign w:val="superscript"/>
          <w:lang w:eastAsia="en-US"/>
        </w:rPr>
        <w:t>st</w:t>
      </w:r>
      <w:r w:rsidRPr="005D7C72">
        <w:rPr>
          <w:rFonts w:cs="Times New Roman"/>
          <w:sz w:val="28"/>
          <w:szCs w:val="28"/>
          <w:lang w:eastAsia="en-US"/>
        </w:rPr>
        <w:t xml:space="preserve"> quarter 2019 compared to the </w:t>
      </w:r>
      <w:r w:rsidRPr="005D7C72">
        <w:rPr>
          <w:sz w:val="28"/>
          <w:szCs w:val="28"/>
          <w:lang w:eastAsia="en-US"/>
        </w:rPr>
        <w:t>4</w:t>
      </w:r>
      <w:r w:rsidRPr="005D7C72">
        <w:rPr>
          <w:sz w:val="28"/>
          <w:szCs w:val="28"/>
          <w:vertAlign w:val="superscript"/>
          <w:lang w:eastAsia="en-US"/>
        </w:rPr>
        <w:t>th</w:t>
      </w:r>
      <w:r w:rsidRPr="005D7C72">
        <w:rPr>
          <w:rFonts w:cs="Times New Roman"/>
          <w:sz w:val="28"/>
          <w:szCs w:val="28"/>
          <w:lang w:eastAsia="en-US"/>
        </w:rPr>
        <w:t xml:space="preserve"> quarter 2018</w:t>
      </w:r>
    </w:p>
    <w:p w:rsidR="00D9559F" w:rsidRPr="00947EA4" w:rsidRDefault="00D9559F" w:rsidP="00D9559F">
      <w:pPr>
        <w:bidi w:val="0"/>
        <w:jc w:val="lowKashida"/>
        <w:rPr>
          <w:lang w:eastAsia="en-US"/>
        </w:rPr>
      </w:pPr>
    </w:p>
    <w:p w:rsidR="00D9559F" w:rsidRPr="005D7C72" w:rsidRDefault="00D9559F" w:rsidP="00D9559F">
      <w:pPr>
        <w:bidi w:val="0"/>
        <w:jc w:val="lowKashida"/>
        <w:rPr>
          <w:sz w:val="16"/>
          <w:szCs w:val="16"/>
          <w:lang w:eastAsia="en-US"/>
        </w:rPr>
      </w:pPr>
    </w:p>
    <w:p w:rsidR="00D9559F" w:rsidRDefault="00D9559F" w:rsidP="00D9559F">
      <w:pPr>
        <w:bidi w:val="0"/>
        <w:jc w:val="lowKashida"/>
        <w:rPr>
          <w:lang w:eastAsia="en-US"/>
        </w:rPr>
      </w:pPr>
      <w:r w:rsidRPr="00947EA4">
        <w:rPr>
          <w:lang w:eastAsia="en-US"/>
        </w:rPr>
        <w:t xml:space="preserve">Preliminary estimates at constant prices showed a decrease of </w:t>
      </w:r>
      <w:r>
        <w:rPr>
          <w:rFonts w:hint="cs"/>
          <w:rtl/>
          <w:lang w:eastAsia="en-US"/>
        </w:rPr>
        <w:t>2.5</w:t>
      </w:r>
      <w:r w:rsidRPr="00947EA4">
        <w:rPr>
          <w:lang w:eastAsia="en-US"/>
        </w:rPr>
        <w:t>% in Palestine</w:t>
      </w:r>
      <w:r w:rsidRPr="00947EA4">
        <w:rPr>
          <w:b/>
          <w:bCs/>
          <w:lang w:eastAsia="en-US"/>
        </w:rPr>
        <w:t>*</w:t>
      </w:r>
      <w:r w:rsidRPr="00947EA4">
        <w:rPr>
          <w:lang w:eastAsia="en-US"/>
        </w:rPr>
        <w:t xml:space="preserve"> during the 1</w:t>
      </w:r>
      <w:r w:rsidRPr="00947EA4">
        <w:rPr>
          <w:vertAlign w:val="superscript"/>
          <w:lang w:eastAsia="en-US"/>
        </w:rPr>
        <w:t>st</w:t>
      </w:r>
      <w:r w:rsidRPr="00947EA4">
        <w:rPr>
          <w:lang w:eastAsia="en-US"/>
        </w:rPr>
        <w:t xml:space="preserve"> quarter 2019 compared to the 4</w:t>
      </w:r>
      <w:r w:rsidRPr="00947EA4">
        <w:rPr>
          <w:vertAlign w:val="superscript"/>
          <w:lang w:eastAsia="en-US"/>
        </w:rPr>
        <w:t>th</w:t>
      </w:r>
      <w:r w:rsidRPr="00947EA4">
        <w:rPr>
          <w:lang w:eastAsia="en-US"/>
        </w:rPr>
        <w:t xml:space="preserve"> quarter 2018 at constant prices,</w:t>
      </w:r>
      <w:r>
        <w:rPr>
          <w:lang w:eastAsia="en-US"/>
        </w:rPr>
        <w:t xml:space="preserve"> (mainly in </w:t>
      </w:r>
      <w:r w:rsidRPr="004116C8">
        <w:rPr>
          <w:lang w:eastAsia="en-US"/>
        </w:rPr>
        <w:t>Agriculture and fishing</w:t>
      </w:r>
      <w:r>
        <w:rPr>
          <w:lang w:eastAsia="en-US"/>
        </w:rPr>
        <w:t xml:space="preserve">, </w:t>
      </w:r>
      <w:r w:rsidRPr="004116C8">
        <w:rPr>
          <w:lang w:eastAsia="en-US"/>
        </w:rPr>
        <w:t>Mining</w:t>
      </w:r>
      <w:r>
        <w:rPr>
          <w:lang w:eastAsia="en-US"/>
        </w:rPr>
        <w:t xml:space="preserve"> and</w:t>
      </w:r>
      <w:r w:rsidRPr="004116C8">
        <w:rPr>
          <w:lang w:eastAsia="en-US"/>
        </w:rPr>
        <w:t xml:space="preserve"> manufacturing</w:t>
      </w:r>
      <w:r>
        <w:rPr>
          <w:lang w:eastAsia="en-US"/>
        </w:rPr>
        <w:t xml:space="preserve"> and </w:t>
      </w:r>
      <w:r w:rsidRPr="004116C8">
        <w:rPr>
          <w:lang w:eastAsia="en-US"/>
        </w:rPr>
        <w:t>electricity and water</w:t>
      </w:r>
      <w:r>
        <w:rPr>
          <w:lang w:eastAsia="en-US"/>
        </w:rPr>
        <w:t xml:space="preserve">, </w:t>
      </w:r>
      <w:r w:rsidRPr="003D7B72">
        <w:rPr>
          <w:lang w:eastAsia="en-US"/>
        </w:rPr>
        <w:t>Wholesale and Retail Trade</w:t>
      </w:r>
      <w:r>
        <w:rPr>
          <w:lang w:eastAsia="en-US"/>
        </w:rPr>
        <w:t xml:space="preserve"> and</w:t>
      </w:r>
      <w:r w:rsidRPr="003D7B72">
        <w:rPr>
          <w:lang w:eastAsia="en-US"/>
        </w:rPr>
        <w:t xml:space="preserve"> Repair of Motor Vehicles and Motorcycles</w:t>
      </w:r>
      <w:r>
        <w:rPr>
          <w:lang w:eastAsia="en-US"/>
        </w:rPr>
        <w:t xml:space="preserve">, </w:t>
      </w:r>
      <w:r w:rsidRPr="004116C8">
        <w:rPr>
          <w:lang w:eastAsia="en-US"/>
        </w:rPr>
        <w:t>Construction</w:t>
      </w:r>
      <w:r>
        <w:rPr>
          <w:lang w:eastAsia="en-US"/>
        </w:rPr>
        <w:t>).</w:t>
      </w:r>
      <w:r w:rsidRPr="00947EA4">
        <w:rPr>
          <w:lang w:eastAsia="en-US"/>
        </w:rPr>
        <w:t xml:space="preserve"> </w:t>
      </w:r>
      <w:r>
        <w:rPr>
          <w:lang w:eastAsia="en-US"/>
        </w:rPr>
        <w:t xml:space="preserve"> </w:t>
      </w:r>
    </w:p>
    <w:p w:rsidR="00D9559F" w:rsidRPr="005D7C72" w:rsidRDefault="00D9559F" w:rsidP="00D9559F">
      <w:pPr>
        <w:bidi w:val="0"/>
        <w:jc w:val="lowKashida"/>
        <w:rPr>
          <w:sz w:val="16"/>
          <w:szCs w:val="16"/>
          <w:lang w:eastAsia="en-US"/>
        </w:rPr>
      </w:pPr>
    </w:p>
    <w:p w:rsidR="00D9559F" w:rsidRPr="00947EA4" w:rsidRDefault="00D9559F" w:rsidP="00D9559F">
      <w:pPr>
        <w:bidi w:val="0"/>
        <w:jc w:val="lowKashida"/>
        <w:rPr>
          <w:lang w:eastAsia="en-US"/>
        </w:rPr>
      </w:pPr>
      <w:r w:rsidRPr="005A03A0">
        <w:rPr>
          <w:lang w:eastAsia="en-US"/>
        </w:rPr>
        <w:t>On the other hand</w:t>
      </w:r>
      <w:r>
        <w:rPr>
          <w:lang w:eastAsia="en-US"/>
        </w:rPr>
        <w:t>,</w:t>
      </w:r>
      <w:r w:rsidRPr="005A03A0">
        <w:rPr>
          <w:lang w:eastAsia="en-US"/>
        </w:rPr>
        <w:t xml:space="preserve"> </w:t>
      </w:r>
      <w:r w:rsidRPr="00947EA4">
        <w:rPr>
          <w:lang w:eastAsia="en-US"/>
        </w:rPr>
        <w:t xml:space="preserve">it showed an increase of </w:t>
      </w:r>
      <w:r>
        <w:rPr>
          <w:rFonts w:hint="cs"/>
          <w:rtl/>
          <w:lang w:eastAsia="en-US"/>
        </w:rPr>
        <w:t>3.8</w:t>
      </w:r>
      <w:r w:rsidRPr="00947EA4">
        <w:rPr>
          <w:lang w:eastAsia="en-US"/>
        </w:rPr>
        <w:t>% in GDP in Palestine</w:t>
      </w:r>
      <w:r w:rsidRPr="00947EA4">
        <w:rPr>
          <w:b/>
          <w:bCs/>
          <w:lang w:eastAsia="en-US"/>
        </w:rPr>
        <w:t>*</w:t>
      </w:r>
      <w:r w:rsidRPr="00947EA4">
        <w:rPr>
          <w:lang w:eastAsia="en-US"/>
        </w:rPr>
        <w:t xml:space="preserve"> during the 1</w:t>
      </w:r>
      <w:r w:rsidRPr="00947EA4">
        <w:rPr>
          <w:vertAlign w:val="superscript"/>
          <w:lang w:eastAsia="en-US"/>
        </w:rPr>
        <w:t>st</w:t>
      </w:r>
      <w:r w:rsidRPr="00947EA4">
        <w:rPr>
          <w:lang w:eastAsia="en-US"/>
        </w:rPr>
        <w:t xml:space="preserve"> quarter 2019 compared to the 1</w:t>
      </w:r>
      <w:r w:rsidRPr="00947EA4">
        <w:rPr>
          <w:vertAlign w:val="superscript"/>
          <w:lang w:eastAsia="en-US"/>
        </w:rPr>
        <w:t>st</w:t>
      </w:r>
      <w:r w:rsidRPr="00947EA4">
        <w:rPr>
          <w:lang w:eastAsia="en-US"/>
        </w:rPr>
        <w:t xml:space="preserve"> quarter 2018</w:t>
      </w:r>
      <w:r>
        <w:rPr>
          <w:lang w:eastAsia="en-US"/>
        </w:rPr>
        <w:t xml:space="preserve"> w</w:t>
      </w:r>
      <w:r w:rsidRPr="000E0723">
        <w:rPr>
          <w:lang w:eastAsia="en-US"/>
        </w:rPr>
        <w:t>h</w:t>
      </w:r>
      <w:r>
        <w:rPr>
          <w:lang w:eastAsia="en-US"/>
        </w:rPr>
        <w:t xml:space="preserve">ich </w:t>
      </w:r>
      <w:r w:rsidRPr="00822861">
        <w:rPr>
          <w:lang w:eastAsia="en-US"/>
        </w:rPr>
        <w:t xml:space="preserve">excludes </w:t>
      </w:r>
      <w:r>
        <w:rPr>
          <w:lang w:eastAsia="en-US"/>
        </w:rPr>
        <w:t>the seasonal effect</w:t>
      </w:r>
      <w:r w:rsidRPr="00947EA4">
        <w:rPr>
          <w:lang w:eastAsia="en-US"/>
        </w:rPr>
        <w:t>, meanwhile the base year is 2015. GDP for the 1</w:t>
      </w:r>
      <w:r w:rsidRPr="00947EA4">
        <w:rPr>
          <w:vertAlign w:val="superscript"/>
          <w:lang w:eastAsia="en-US"/>
        </w:rPr>
        <w:t>st</w:t>
      </w:r>
      <w:r w:rsidRPr="00947EA4">
        <w:rPr>
          <w:lang w:eastAsia="en-US"/>
        </w:rPr>
        <w:t xml:space="preserve"> quarter 2019 at constant prices was USD 2,8</w:t>
      </w:r>
      <w:r>
        <w:rPr>
          <w:rFonts w:hint="cs"/>
          <w:rtl/>
          <w:lang w:eastAsia="en-US"/>
        </w:rPr>
        <w:t>00</w:t>
      </w:r>
      <w:r w:rsidRPr="00947EA4">
        <w:rPr>
          <w:lang w:eastAsia="en-US"/>
        </w:rPr>
        <w:t xml:space="preserve"> million for the West Bank</w:t>
      </w:r>
      <w:r w:rsidRPr="00947EA4">
        <w:rPr>
          <w:b/>
          <w:bCs/>
          <w:lang w:eastAsia="en-US"/>
        </w:rPr>
        <w:t>*</w:t>
      </w:r>
      <w:r w:rsidRPr="00947EA4">
        <w:rPr>
          <w:lang w:eastAsia="en-US"/>
        </w:rPr>
        <w:t xml:space="preserve"> and USD 70</w:t>
      </w:r>
      <w:r>
        <w:rPr>
          <w:rFonts w:hint="cs"/>
          <w:rtl/>
          <w:lang w:eastAsia="en-US"/>
        </w:rPr>
        <w:t>5</w:t>
      </w:r>
      <w:r w:rsidRPr="00947EA4">
        <w:rPr>
          <w:lang w:eastAsia="en-US"/>
        </w:rPr>
        <w:t xml:space="preserve"> million for Gaza Strip. </w:t>
      </w:r>
    </w:p>
    <w:p w:rsidR="00D9559F" w:rsidRPr="005D7C72" w:rsidRDefault="00D9559F" w:rsidP="00D9559F">
      <w:pPr>
        <w:bidi w:val="0"/>
        <w:jc w:val="lowKashida"/>
        <w:rPr>
          <w:sz w:val="16"/>
          <w:szCs w:val="16"/>
          <w:lang w:eastAsia="en-US"/>
        </w:rPr>
      </w:pPr>
      <w:r w:rsidRPr="005D7C72">
        <w:rPr>
          <w:sz w:val="16"/>
          <w:szCs w:val="16"/>
          <w:lang w:eastAsia="en-US"/>
        </w:rPr>
        <w:t xml:space="preserve"> </w:t>
      </w:r>
    </w:p>
    <w:p w:rsidR="00D9559F" w:rsidRPr="005D7C72" w:rsidRDefault="00D9559F" w:rsidP="00D9559F">
      <w:pPr>
        <w:bidi w:val="0"/>
        <w:jc w:val="both"/>
        <w:rPr>
          <w:b/>
          <w:bCs/>
          <w:snapToGrid w:val="0"/>
          <w:sz w:val="26"/>
          <w:szCs w:val="26"/>
        </w:rPr>
      </w:pPr>
      <w:r w:rsidRPr="005D7C72">
        <w:rPr>
          <w:b/>
          <w:bCs/>
          <w:snapToGrid w:val="0"/>
          <w:sz w:val="26"/>
          <w:szCs w:val="26"/>
        </w:rPr>
        <w:t>Decrease in Gross Domestic Product Per Capita</w:t>
      </w:r>
    </w:p>
    <w:p w:rsidR="00D9559F" w:rsidRPr="00947EA4" w:rsidRDefault="00D9559F" w:rsidP="00D9559F">
      <w:pPr>
        <w:bidi w:val="0"/>
        <w:jc w:val="both"/>
        <w:rPr>
          <w:snapToGrid w:val="0"/>
        </w:rPr>
      </w:pPr>
      <w:r w:rsidRPr="00947EA4">
        <w:rPr>
          <w:snapToGrid w:val="0"/>
        </w:rPr>
        <w:t xml:space="preserve">GDP per Capita for </w:t>
      </w:r>
      <w:r w:rsidRPr="00947EA4">
        <w:rPr>
          <w:lang w:eastAsia="en-US"/>
        </w:rPr>
        <w:t xml:space="preserve">Palestine* at constant prices </w:t>
      </w:r>
      <w:r w:rsidRPr="00947EA4">
        <w:rPr>
          <w:snapToGrid w:val="0"/>
        </w:rPr>
        <w:t>was  USD 7</w:t>
      </w:r>
      <w:r>
        <w:rPr>
          <w:snapToGrid w:val="0"/>
        </w:rPr>
        <w:t>55</w:t>
      </w:r>
      <w:r w:rsidRPr="00947EA4">
        <w:rPr>
          <w:snapToGrid w:val="0"/>
        </w:rPr>
        <w:t xml:space="preserve"> during the </w:t>
      </w:r>
      <w:r w:rsidRPr="00947EA4">
        <w:rPr>
          <w:lang w:eastAsia="en-US"/>
        </w:rPr>
        <w:t>1</w:t>
      </w:r>
      <w:r w:rsidRPr="00947EA4">
        <w:rPr>
          <w:vertAlign w:val="superscript"/>
          <w:lang w:eastAsia="en-US"/>
        </w:rPr>
        <w:t>st</w:t>
      </w:r>
      <w:r w:rsidRPr="00947EA4">
        <w:rPr>
          <w:lang w:eastAsia="en-US"/>
        </w:rPr>
        <w:t xml:space="preserve"> quarter 2019, it showed a</w:t>
      </w:r>
      <w:r w:rsidRPr="00947EA4">
        <w:rPr>
          <w:snapToGrid w:val="0"/>
        </w:rPr>
        <w:t xml:space="preserve"> decrease of </w:t>
      </w:r>
      <w:r>
        <w:rPr>
          <w:snapToGrid w:val="0"/>
        </w:rPr>
        <w:t>3</w:t>
      </w:r>
      <w:r w:rsidRPr="00947EA4">
        <w:rPr>
          <w:snapToGrid w:val="0"/>
        </w:rPr>
        <w:t xml:space="preserve">% compared to the </w:t>
      </w:r>
      <w:r w:rsidRPr="00947EA4">
        <w:rPr>
          <w:lang w:eastAsia="en-US"/>
        </w:rPr>
        <w:t>4</w:t>
      </w:r>
      <w:r w:rsidRPr="00947EA4">
        <w:rPr>
          <w:vertAlign w:val="superscript"/>
          <w:lang w:eastAsia="en-US"/>
        </w:rPr>
        <w:t>th</w:t>
      </w:r>
      <w:r w:rsidRPr="00947EA4">
        <w:t xml:space="preserve"> </w:t>
      </w:r>
      <w:r w:rsidRPr="00947EA4">
        <w:rPr>
          <w:snapToGrid w:val="0"/>
        </w:rPr>
        <w:t>quarter 2018. As for the West Bank* it was USD 1,0</w:t>
      </w:r>
      <w:r>
        <w:rPr>
          <w:snapToGrid w:val="0"/>
        </w:rPr>
        <w:t>48</w:t>
      </w:r>
      <w:r w:rsidRPr="00947EA4">
        <w:rPr>
          <w:snapToGrid w:val="0"/>
        </w:rPr>
        <w:t xml:space="preserve"> </w:t>
      </w:r>
      <w:r w:rsidRPr="00947EA4">
        <w:rPr>
          <w:lang w:eastAsia="en-US"/>
        </w:rPr>
        <w:t xml:space="preserve">at constant prices </w:t>
      </w:r>
      <w:r w:rsidRPr="00947EA4">
        <w:rPr>
          <w:snapToGrid w:val="0"/>
        </w:rPr>
        <w:t xml:space="preserve">during the </w:t>
      </w:r>
      <w:r w:rsidRPr="00947EA4">
        <w:rPr>
          <w:lang w:eastAsia="en-US"/>
        </w:rPr>
        <w:t>1</w:t>
      </w:r>
      <w:r w:rsidRPr="00947EA4">
        <w:rPr>
          <w:vertAlign w:val="superscript"/>
          <w:lang w:eastAsia="en-US"/>
        </w:rPr>
        <w:t>st</w:t>
      </w:r>
      <w:r w:rsidRPr="00947EA4">
        <w:rPr>
          <w:lang w:eastAsia="en-US"/>
        </w:rPr>
        <w:t xml:space="preserve"> quarter 2019</w:t>
      </w:r>
      <w:r w:rsidRPr="00947EA4">
        <w:rPr>
          <w:snapToGrid w:val="0"/>
        </w:rPr>
        <w:t xml:space="preserve">, it showed a decrease </w:t>
      </w:r>
      <w:r w:rsidRPr="00947EA4">
        <w:rPr>
          <w:lang w:eastAsia="en-US"/>
        </w:rPr>
        <w:t xml:space="preserve">by </w:t>
      </w:r>
      <w:r>
        <w:rPr>
          <w:lang w:eastAsia="en-US"/>
        </w:rPr>
        <w:t>3.4</w:t>
      </w:r>
      <w:r w:rsidRPr="00947EA4">
        <w:rPr>
          <w:lang w:eastAsia="en-US"/>
        </w:rPr>
        <w:t>% during the 1</w:t>
      </w:r>
      <w:r w:rsidRPr="00947EA4">
        <w:rPr>
          <w:vertAlign w:val="superscript"/>
          <w:lang w:eastAsia="en-US"/>
        </w:rPr>
        <w:t>st</w:t>
      </w:r>
      <w:r w:rsidRPr="00947EA4">
        <w:rPr>
          <w:lang w:eastAsia="en-US"/>
        </w:rPr>
        <w:t xml:space="preserve"> quarter 2019 compared to the 4</w:t>
      </w:r>
      <w:r w:rsidRPr="00947EA4">
        <w:rPr>
          <w:vertAlign w:val="superscript"/>
          <w:lang w:eastAsia="en-US"/>
        </w:rPr>
        <w:t>th</w:t>
      </w:r>
      <w:r w:rsidRPr="00947EA4">
        <w:rPr>
          <w:lang w:eastAsia="en-US"/>
        </w:rPr>
        <w:t xml:space="preserve"> quarter 2018</w:t>
      </w:r>
      <w:r w:rsidRPr="00947EA4">
        <w:rPr>
          <w:snapToGrid w:val="0"/>
        </w:rPr>
        <w:t>, while for Gaza Strip it was USD 35</w:t>
      </w:r>
      <w:r>
        <w:rPr>
          <w:rFonts w:hint="cs"/>
          <w:snapToGrid w:val="0"/>
          <w:rtl/>
        </w:rPr>
        <w:t>8</w:t>
      </w:r>
      <w:r w:rsidRPr="00947EA4">
        <w:rPr>
          <w:snapToGrid w:val="0"/>
        </w:rPr>
        <w:t xml:space="preserve"> during the </w:t>
      </w:r>
      <w:r w:rsidRPr="00947EA4">
        <w:rPr>
          <w:lang w:eastAsia="en-US"/>
        </w:rPr>
        <w:t>1</w:t>
      </w:r>
      <w:r w:rsidRPr="00947EA4">
        <w:rPr>
          <w:vertAlign w:val="superscript"/>
          <w:lang w:eastAsia="en-US"/>
        </w:rPr>
        <w:t>st</w:t>
      </w:r>
      <w:r w:rsidRPr="00947EA4">
        <w:rPr>
          <w:lang w:eastAsia="en-US"/>
        </w:rPr>
        <w:t xml:space="preserve"> quarter 2019</w:t>
      </w:r>
      <w:r w:rsidRPr="00947EA4">
        <w:rPr>
          <w:snapToGrid w:val="0"/>
        </w:rPr>
        <w:t xml:space="preserve">, and it showed a decrease </w:t>
      </w:r>
      <w:r w:rsidRPr="00947EA4">
        <w:rPr>
          <w:lang w:eastAsia="en-US"/>
        </w:rPr>
        <w:t>by 1% during the 1</w:t>
      </w:r>
      <w:r w:rsidRPr="00947EA4">
        <w:rPr>
          <w:vertAlign w:val="superscript"/>
          <w:lang w:eastAsia="en-US"/>
        </w:rPr>
        <w:t>st</w:t>
      </w:r>
      <w:r w:rsidRPr="00947EA4">
        <w:rPr>
          <w:lang w:eastAsia="en-US"/>
        </w:rPr>
        <w:t xml:space="preserve"> quarter 2019 compared to the 4</w:t>
      </w:r>
      <w:r w:rsidRPr="00947EA4">
        <w:rPr>
          <w:vertAlign w:val="superscript"/>
          <w:lang w:eastAsia="en-US"/>
        </w:rPr>
        <w:t>th</w:t>
      </w:r>
      <w:r w:rsidRPr="00947EA4">
        <w:rPr>
          <w:lang w:eastAsia="en-US"/>
        </w:rPr>
        <w:t xml:space="preserve"> quarter 2018</w:t>
      </w:r>
      <w:r w:rsidRPr="00947EA4">
        <w:rPr>
          <w:snapToGrid w:val="0"/>
        </w:rPr>
        <w:t>.</w:t>
      </w:r>
    </w:p>
    <w:p w:rsidR="00D9559F" w:rsidRPr="005D7C72" w:rsidRDefault="00D9559F" w:rsidP="00D9559F">
      <w:pPr>
        <w:bidi w:val="0"/>
        <w:jc w:val="both"/>
        <w:rPr>
          <w:snapToGrid w:val="0"/>
          <w:sz w:val="16"/>
          <w:szCs w:val="16"/>
        </w:rPr>
      </w:pPr>
    </w:p>
    <w:p w:rsidR="00D9559F" w:rsidRPr="005D7C72" w:rsidRDefault="00D9559F" w:rsidP="00D9559F">
      <w:pPr>
        <w:pStyle w:val="BodyTextIndent2"/>
        <w:spacing w:after="0" w:line="240" w:lineRule="atLeast"/>
        <w:ind w:left="0"/>
        <w:jc w:val="center"/>
        <w:rPr>
          <w:b/>
          <w:bCs/>
          <w:sz w:val="26"/>
          <w:szCs w:val="26"/>
        </w:rPr>
      </w:pPr>
      <w:r w:rsidRPr="005D7C72">
        <w:rPr>
          <w:b/>
          <w:bCs/>
          <w:sz w:val="26"/>
          <w:szCs w:val="26"/>
        </w:rPr>
        <w:t>GDP by quarter in Palestine* at Constant Prices, 2015-2018</w:t>
      </w:r>
    </w:p>
    <w:p w:rsidR="00D9559F" w:rsidRDefault="00D9559F" w:rsidP="00D9559F">
      <w:pPr>
        <w:pStyle w:val="BodyTextIndent2"/>
        <w:jc w:val="center"/>
        <w:rPr>
          <w:rFonts w:hint="cs"/>
          <w:b/>
          <w:bCs/>
          <w:rtl/>
        </w:rPr>
      </w:pPr>
      <w:r w:rsidRPr="00947EA4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5327159" cy="2786332"/>
            <wp:effectExtent l="19050" t="0" r="25891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7C72" w:rsidRDefault="005D7C72" w:rsidP="00D9559F">
      <w:pPr>
        <w:pStyle w:val="FootnoteText"/>
        <w:rPr>
          <w:rFonts w:asciiTheme="majorBidi" w:hAnsiTheme="majorBidi" w:cstheme="majorBidi"/>
          <w:b/>
          <w:bCs/>
          <w:szCs w:val="20"/>
        </w:rPr>
      </w:pPr>
    </w:p>
    <w:p w:rsidR="00D9559F" w:rsidRPr="00947EA4" w:rsidRDefault="00D9559F" w:rsidP="00D9559F">
      <w:pPr>
        <w:pStyle w:val="FootnoteText"/>
        <w:rPr>
          <w:rFonts w:cs="Times New Roman"/>
          <w:szCs w:val="20"/>
        </w:rPr>
      </w:pPr>
      <w:r w:rsidRPr="00947EA4">
        <w:rPr>
          <w:rFonts w:asciiTheme="majorBidi" w:hAnsiTheme="majorBidi" w:cstheme="majorBidi"/>
          <w:b/>
          <w:bCs/>
          <w:szCs w:val="20"/>
        </w:rPr>
        <w:t>*</w:t>
      </w:r>
      <w:r w:rsidRPr="00947EA4">
        <w:rPr>
          <w:rFonts w:cs="Times New Roman"/>
          <w:b/>
          <w:bCs/>
          <w:szCs w:val="20"/>
        </w:rPr>
        <w:t xml:space="preserve"> </w:t>
      </w:r>
      <w:r w:rsidRPr="00947EA4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947EA4">
        <w:rPr>
          <w:rFonts w:cs="Times New Roman"/>
          <w:szCs w:val="20"/>
          <w:lang w:eastAsia="en-US"/>
        </w:rPr>
        <w:t>by</w:t>
      </w:r>
      <w:r w:rsidRPr="00947EA4">
        <w:rPr>
          <w:rFonts w:cs="Times New Roman"/>
          <w:snapToGrid w:val="0"/>
          <w:szCs w:val="20"/>
        </w:rPr>
        <w:t xml:space="preserve"> Israeli Occupation </w:t>
      </w:r>
      <w:r w:rsidRPr="00947EA4">
        <w:rPr>
          <w:rFonts w:cs="Times New Roman"/>
          <w:szCs w:val="20"/>
          <w:lang w:eastAsia="en-US"/>
        </w:rPr>
        <w:t>in 1967</w:t>
      </w:r>
      <w:r w:rsidRPr="00947EA4">
        <w:rPr>
          <w:rFonts w:cs="Times New Roman"/>
          <w:snapToGrid w:val="0"/>
          <w:szCs w:val="20"/>
        </w:rPr>
        <w:t>.</w:t>
      </w:r>
    </w:p>
    <w:p w:rsidR="00D6358D" w:rsidRPr="00D9559F" w:rsidRDefault="00D6358D" w:rsidP="00BF4482">
      <w:pPr>
        <w:rPr>
          <w:rtl/>
        </w:rPr>
      </w:pPr>
    </w:p>
    <w:sectPr w:rsidR="00D6358D" w:rsidRPr="00D9559F" w:rsidSect="005D7C72">
      <w:footerReference w:type="default" r:id="rId9"/>
      <w:pgSz w:w="11906" w:h="16838" w:code="9"/>
      <w:pgMar w:top="720" w:right="720" w:bottom="720" w:left="720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29F" w:rsidRDefault="0009129F" w:rsidP="00212081">
      <w:r>
        <w:separator/>
      </w:r>
    </w:p>
  </w:endnote>
  <w:endnote w:type="continuationSeparator" w:id="0">
    <w:p w:rsidR="0009129F" w:rsidRDefault="0009129F" w:rsidP="0021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29F" w:rsidRDefault="0009129F" w:rsidP="00212081">
      <w:r>
        <w:separator/>
      </w:r>
    </w:p>
  </w:footnote>
  <w:footnote w:type="continuationSeparator" w:id="0">
    <w:p w:rsidR="0009129F" w:rsidRDefault="0009129F" w:rsidP="00212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150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129F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4B3D"/>
    <w:rsid w:val="001D4BC5"/>
    <w:rsid w:val="001D4E08"/>
    <w:rsid w:val="001D4F49"/>
    <w:rsid w:val="001D63E6"/>
    <w:rsid w:val="001D71F5"/>
    <w:rsid w:val="001D7CE5"/>
    <w:rsid w:val="001E127C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D7C72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D0E0D"/>
    <w:rsid w:val="007D1625"/>
    <w:rsid w:val="007D17BF"/>
    <w:rsid w:val="007D18C8"/>
    <w:rsid w:val="007D26AE"/>
    <w:rsid w:val="007D48FF"/>
    <w:rsid w:val="007D49FD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87D08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522207258237262"/>
          <c:y val="4.1278468329486687E-2"/>
          <c:w val="0.80987492345936063"/>
          <c:h val="0.77814699566919132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4.0750548374129746E-2"/>
                  <c:y val="-5.6289115928672445E-2"/>
                </c:manualLayout>
              </c:layout>
              <c:showVal val="1"/>
            </c:dLbl>
            <c:dLbl>
              <c:idx val="16"/>
              <c:layout>
                <c:manualLayout>
                  <c:x val="0"/>
                  <c:y val="-4.1278468329486687E-2"/>
                </c:manualLayout>
              </c:layout>
              <c:showVal val="1"/>
            </c:dLbl>
            <c:dLbl>
              <c:idx val="19"/>
              <c:layout>
                <c:manualLayout>
                  <c:x val="-9.055637803009808E-3"/>
                  <c:y val="-5.2536232419347378E-2"/>
                </c:manualLayout>
              </c:layout>
              <c:showVal val="1"/>
            </c:dLbl>
            <c:delete val="1"/>
          </c:dLbls>
          <c:cat>
            <c:multiLvlStrRef>
              <c:f>Sheet1!$A$3:$B$19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</c:lvl>
              </c:multiLvlStrCache>
            </c:multiLvlStrRef>
          </c:cat>
          <c:val>
            <c:numRef>
              <c:f>Sheet1!$C$3:$C$19</c:f>
              <c:numCache>
                <c:formatCode>#,##0.0</c:formatCode>
                <c:ptCount val="17"/>
                <c:pt idx="0">
                  <c:v>3058.5</c:v>
                </c:pt>
                <c:pt idx="1">
                  <c:v>3220.1</c:v>
                </c:pt>
                <c:pt idx="2">
                  <c:v>3156.1</c:v>
                </c:pt>
                <c:pt idx="3">
                  <c:v>3238.3</c:v>
                </c:pt>
                <c:pt idx="4">
                  <c:v>3275.1</c:v>
                </c:pt>
                <c:pt idx="5">
                  <c:v>3362.7</c:v>
                </c:pt>
                <c:pt idx="6">
                  <c:v>3334.7</c:v>
                </c:pt>
                <c:pt idx="7">
                  <c:v>3297.2</c:v>
                </c:pt>
                <c:pt idx="8">
                  <c:v>3310.8</c:v>
                </c:pt>
                <c:pt idx="9">
                  <c:v>3396.8</c:v>
                </c:pt>
                <c:pt idx="10">
                  <c:v>3502.3</c:v>
                </c:pt>
                <c:pt idx="11">
                  <c:v>3476.5</c:v>
                </c:pt>
                <c:pt idx="12">
                  <c:v>3377.6</c:v>
                </c:pt>
                <c:pt idx="13">
                  <c:v>3351.3</c:v>
                </c:pt>
                <c:pt idx="14">
                  <c:v>3486.5</c:v>
                </c:pt>
                <c:pt idx="15">
                  <c:v>3594.9000000000005</c:v>
                </c:pt>
                <c:pt idx="16">
                  <c:v>3504.6</c:v>
                </c:pt>
              </c:numCache>
            </c:numRef>
          </c:val>
        </c:ser>
        <c:marker val="1"/>
        <c:axId val="127682432"/>
        <c:axId val="127683968"/>
      </c:lineChart>
      <c:catAx>
        <c:axId val="1276824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7683968"/>
        <c:crosses val="autoZero"/>
        <c:auto val="1"/>
        <c:lblAlgn val="ctr"/>
        <c:lblOffset val="100"/>
      </c:catAx>
      <c:valAx>
        <c:axId val="127683968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27682432"/>
        <c:crossesAt val="1"/>
        <c:crossBetween val="between"/>
        <c:majorUnit val="1000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2BA3-ED59-4273-B736-130BB9B2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hbadran</cp:lastModifiedBy>
  <cp:revision>2</cp:revision>
  <cp:lastPrinted>2017-09-25T08:47:00Z</cp:lastPrinted>
  <dcterms:created xsi:type="dcterms:W3CDTF">2019-07-01T11:25:00Z</dcterms:created>
  <dcterms:modified xsi:type="dcterms:W3CDTF">2019-07-01T11:25:00Z</dcterms:modified>
</cp:coreProperties>
</file>